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9C0A7" w14:textId="77777777" w:rsidR="00591951" w:rsidRPr="00654793" w:rsidRDefault="003328EC"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14:anchorId="5925C9C8" wp14:editId="75D2DB63">
                <wp:simplePos x="0" y="0"/>
                <wp:positionH relativeFrom="column">
                  <wp:posOffset>204470</wp:posOffset>
                </wp:positionH>
                <wp:positionV relativeFrom="paragraph">
                  <wp:posOffset>1453515</wp:posOffset>
                </wp:positionV>
                <wp:extent cx="5530215"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0215" cy="504825"/>
                        </a:xfrm>
                        <a:prstGeom prst="rect">
                          <a:avLst/>
                        </a:prstGeom>
                        <a:noFill/>
                        <a:ln w="6350">
                          <a:noFill/>
                        </a:ln>
                        <a:effectLst/>
                      </wps:spPr>
                      <wps:txbx>
                        <w:txbxContent>
                          <w:p w14:paraId="5FBFD60E" w14:textId="24760DBF" w:rsidR="003A3F5C" w:rsidRPr="00B74219" w:rsidRDefault="003A3F5C" w:rsidP="00A11307">
                            <w:pPr>
                              <w:pStyle w:val="Subtitle"/>
                            </w:pPr>
                            <w:bookmarkStart w:id="0" w:name="_Toc440375391"/>
                            <w:bookmarkStart w:id="1" w:name="_Toc443048145"/>
                            <w:bookmarkStart w:id="2" w:name="_Toc443396438"/>
                            <w:bookmarkStart w:id="3" w:name="_Toc443498107"/>
                            <w:bookmarkStart w:id="4" w:name="_Toc443824150"/>
                            <w:bookmarkStart w:id="5" w:name="_Toc444083543"/>
                            <w:bookmarkStart w:id="6" w:name="_Toc444774928"/>
                            <w:bookmarkStart w:id="7" w:name="_Toc445823235"/>
                            <w:bookmarkStart w:id="8" w:name="_Toc447200173"/>
                            <w:r w:rsidRPr="002863D7">
                              <w:t>Australian Human Rights Commission Submissi</w:t>
                            </w:r>
                            <w:r>
                              <w:t>on to the Senate community affairs</w:t>
                            </w:r>
                            <w:bookmarkEnd w:id="0"/>
                            <w:bookmarkEnd w:id="1"/>
                            <w:bookmarkEnd w:id="2"/>
                            <w:bookmarkEnd w:id="3"/>
                            <w:bookmarkEnd w:id="4"/>
                            <w:bookmarkEnd w:id="5"/>
                            <w:bookmarkEnd w:id="6"/>
                            <w:bookmarkEnd w:id="7"/>
                            <w:r>
                              <w:t xml:space="preserve"> References Committee</w:t>
                            </w:r>
                            <w:bookmarkEnd w:id="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5C9C8" id="_x0000_t202" coordsize="21600,21600" o:spt="202" path="m,l,21600r21600,l21600,xe">
                <v:stroke joinstyle="miter"/>
                <v:path gradientshapeok="t" o:connecttype="rect"/>
              </v:shapetype>
              <v:shape id="Text Box 3" o:spid="_x0000_s1026" type="#_x0000_t202" style="position:absolute;margin-left:16.1pt;margin-top:114.45pt;width:435.4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" filled="f" stroked="f" strokeweight=".5pt">
                <v:path arrowok="t"/>
                <v:textbox>
                  <w:txbxContent>
                    <w:p w14:paraId="5FBFD60E" w14:textId="24760DBF" w:rsidR="003A3F5C" w:rsidRPr="00B74219" w:rsidRDefault="003A3F5C" w:rsidP="00A11307">
                      <w:pPr>
                        <w:pStyle w:val="Subtitle"/>
                      </w:pPr>
                      <w:bookmarkStart w:id="9" w:name="_Toc440375391"/>
                      <w:bookmarkStart w:id="10" w:name="_Toc443048145"/>
                      <w:bookmarkStart w:id="11" w:name="_Toc443396438"/>
                      <w:bookmarkStart w:id="12" w:name="_Toc443498107"/>
                      <w:bookmarkStart w:id="13" w:name="_Toc443824150"/>
                      <w:bookmarkStart w:id="14" w:name="_Toc444083543"/>
                      <w:bookmarkStart w:id="15" w:name="_Toc444774928"/>
                      <w:bookmarkStart w:id="16" w:name="_Toc445823235"/>
                      <w:bookmarkStart w:id="17" w:name="_Toc447200173"/>
                      <w:r w:rsidRPr="002863D7">
                        <w:t>Australian Human Rights Commission Submissi</w:t>
                      </w:r>
                      <w:r>
                        <w:t>on to the Senate community affairs</w:t>
                      </w:r>
                      <w:bookmarkEnd w:id="9"/>
                      <w:bookmarkEnd w:id="10"/>
                      <w:bookmarkEnd w:id="11"/>
                      <w:bookmarkEnd w:id="12"/>
                      <w:bookmarkEnd w:id="13"/>
                      <w:bookmarkEnd w:id="14"/>
                      <w:bookmarkEnd w:id="15"/>
                      <w:bookmarkEnd w:id="16"/>
                      <w:r>
                        <w:t xml:space="preserve"> References Committee</w:t>
                      </w:r>
                      <w:bookmarkEnd w:id="17"/>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33FAE66" wp14:editId="2D125C1E">
                <wp:simplePos x="0" y="0"/>
                <wp:positionH relativeFrom="column">
                  <wp:posOffset>-294005</wp:posOffset>
                </wp:positionH>
                <wp:positionV relativeFrom="paragraph">
                  <wp:posOffset>-45085</wp:posOffset>
                </wp:positionV>
                <wp:extent cx="6028690" cy="22764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8690" cy="2276475"/>
                        </a:xfrm>
                        <a:prstGeom prst="rect">
                          <a:avLst/>
                        </a:prstGeom>
                        <a:noFill/>
                        <a:ln w="6350">
                          <a:noFill/>
                        </a:ln>
                        <a:effectLst/>
                      </wps:spPr>
                      <wps:txbx>
                        <w:txbxContent>
                          <w:p w14:paraId="472B0CE4" w14:textId="77777777" w:rsidR="003A3F5C" w:rsidRDefault="003A3F5C" w:rsidP="00FD01B5">
                            <w:pPr>
                              <w:pStyle w:val="MainTitle"/>
                            </w:pPr>
                            <w:r>
                              <w:t xml:space="preserve">Indefinite detention of people with cognitive and psychiatric impairment in Australia </w:t>
                            </w:r>
                          </w:p>
                          <w:p w14:paraId="599A74AC" w14:textId="77777777" w:rsidR="003A3F5C" w:rsidRDefault="003A3F5C" w:rsidP="00FD01B5">
                            <w:pPr>
                              <w:pStyle w:val="Main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FAE66" id="Text Box 1" o:spid="_x0000_s1027" type="#_x0000_t202" style="position:absolute;margin-left:-23.15pt;margin-top:-3.55pt;width:474.7pt;height:17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" filled="f" stroked="f" strokeweight=".5pt">
                <v:path arrowok="t"/>
                <v:textbox>
                  <w:txbxContent>
                    <w:p w14:paraId="472B0CE4" w14:textId="77777777" w:rsidR="003A3F5C" w:rsidRDefault="003A3F5C" w:rsidP="00FD01B5">
                      <w:pPr>
                        <w:pStyle w:val="MainTitle"/>
                      </w:pPr>
                      <w:r>
                        <w:t xml:space="preserve">Indefinite detention of people with cognitive and psychiatric impairment in Australia </w:t>
                      </w:r>
                    </w:p>
                    <w:p w14:paraId="599A74AC" w14:textId="77777777" w:rsidR="003A3F5C" w:rsidRDefault="003A3F5C" w:rsidP="00FD01B5">
                      <w:pPr>
                        <w:pStyle w:val="MainTitle"/>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464B54E" wp14:editId="168C32FA">
                <wp:simplePos x="0" y="0"/>
                <wp:positionH relativeFrom="column">
                  <wp:posOffset>1959610</wp:posOffset>
                </wp:positionH>
                <wp:positionV relativeFrom="paragraph">
                  <wp:posOffset>1975485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206962CC" w14:textId="25F8CE1A" w:rsidR="003A3F5C" w:rsidRPr="00B74219" w:rsidRDefault="003A3F5C" w:rsidP="002863D7">
                            <w:pPr>
                              <w:pStyle w:val="Date"/>
                            </w:pPr>
                            <w:r w:rsidRPr="00271A35">
                              <w:t>March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4B54E"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PhFNn0ACAAB/BAAA&#10;DgAAAAAAAAAAAAAAAAAuAgAAZHJzL2Uyb0RvYy54bWxQSwECLQAUAAYACAAAACEA6DI+yd8AAAAL&#10;AQAADwAAAAAAAAAAAAAAAACaBAAAZHJzL2Rvd25yZXYueG1sUEsFBgAAAAAEAAQA8wAAAKYFAAAA&#10;AA==&#10;" filled="f" stroked="f" strokeweight=".5pt">
                <v:path arrowok="t"/>
                <v:textbox>
                  <w:txbxContent>
                    <w:p w14:paraId="206962CC" w14:textId="25F8CE1A" w:rsidR="003A3F5C" w:rsidRPr="00B74219" w:rsidRDefault="003A3F5C" w:rsidP="002863D7">
                      <w:pPr>
                        <w:pStyle w:val="Date"/>
                      </w:pPr>
                      <w:r w:rsidRPr="00271A35">
                        <w:t>March 2016</w:t>
                      </w:r>
                    </w:p>
                  </w:txbxContent>
                </v:textbox>
              </v:shape>
            </w:pict>
          </mc:Fallback>
        </mc:AlternateContent>
      </w:r>
    </w:p>
    <w:p w14:paraId="41109498" w14:textId="77777777" w:rsidR="00591951" w:rsidRPr="00827DE2" w:rsidRDefault="00591951" w:rsidP="00591951">
      <w:pPr>
        <w:pStyle w:val="MainTitle"/>
        <w:rPr>
          <w:sz w:val="44"/>
          <w:szCs w:val="44"/>
        </w:rPr>
      </w:pPr>
    </w:p>
    <w:p w14:paraId="34216176"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18" w:name="_Toc209316062"/>
      <w:bookmarkEnd w:id="18"/>
    </w:p>
    <w:p w14:paraId="78B31A47" w14:textId="38F63A59" w:rsidR="007E1398" w:rsidRPr="007E1398" w:rsidRDefault="00B63D24" w:rsidP="007E1398">
      <w:pPr>
        <w:rPr>
          <w:b/>
          <w:noProof/>
          <w:sz w:val="28"/>
          <w:szCs w:val="28"/>
        </w:rPr>
      </w:pPr>
      <w:bookmarkStart w:id="19" w:name="_Toc207761829"/>
      <w:r w:rsidRPr="00907336">
        <w:rPr>
          <w:b/>
          <w:sz w:val="28"/>
          <w:szCs w:val="28"/>
        </w:rPr>
        <w:lastRenderedPageBreak/>
        <w:t>Table of Contents</w:t>
      </w:r>
      <w:bookmarkEnd w:id="19"/>
      <w:r>
        <w:fldChar w:fldCharType="begin"/>
      </w:r>
      <w:r>
        <w:instrText xml:space="preserve"> TOC \o "1-4" \h \z \u </w:instrText>
      </w:r>
      <w:r>
        <w:fldChar w:fldCharType="separate"/>
      </w:r>
    </w:p>
    <w:p w14:paraId="0A040836" w14:textId="77777777" w:rsidR="007E1398" w:rsidRDefault="007E1398" w:rsidP="000219E4">
      <w:pPr>
        <w:pStyle w:val="TOC1"/>
        <w:rPr>
          <w:rFonts w:asciiTheme="minorHAnsi" w:eastAsiaTheme="minorEastAsia" w:hAnsiTheme="minorHAnsi" w:cstheme="minorBidi"/>
          <w:sz w:val="22"/>
          <w:szCs w:val="22"/>
        </w:rPr>
      </w:pPr>
      <w:hyperlink w:anchor="_Toc447200174" w:history="1">
        <w:r w:rsidRPr="000464E4">
          <w:rPr>
            <w:rStyle w:val="Hyperlink"/>
          </w:rPr>
          <w:t>1</w:t>
        </w:r>
        <w:r>
          <w:rPr>
            <w:rFonts w:asciiTheme="minorHAnsi" w:eastAsiaTheme="minorEastAsia" w:hAnsiTheme="minorHAnsi" w:cstheme="minorBidi"/>
            <w:sz w:val="22"/>
            <w:szCs w:val="22"/>
          </w:rPr>
          <w:tab/>
        </w:r>
        <w:r w:rsidRPr="000464E4">
          <w:rPr>
            <w:rStyle w:val="Hyperlink"/>
          </w:rPr>
          <w:t>Introduction</w:t>
        </w:r>
        <w:r>
          <w:rPr>
            <w:webHidden/>
          </w:rPr>
          <w:tab/>
        </w:r>
        <w:r>
          <w:rPr>
            <w:webHidden/>
          </w:rPr>
          <w:fldChar w:fldCharType="begin"/>
        </w:r>
        <w:r>
          <w:rPr>
            <w:webHidden/>
          </w:rPr>
          <w:instrText xml:space="preserve"> PAGEREF _Toc447200174 \h </w:instrText>
        </w:r>
        <w:r>
          <w:rPr>
            <w:webHidden/>
          </w:rPr>
        </w:r>
        <w:r>
          <w:rPr>
            <w:webHidden/>
          </w:rPr>
          <w:fldChar w:fldCharType="separate"/>
        </w:r>
        <w:r w:rsidR="002E7FDE">
          <w:rPr>
            <w:webHidden/>
          </w:rPr>
          <w:t>3</w:t>
        </w:r>
        <w:r>
          <w:rPr>
            <w:webHidden/>
          </w:rPr>
          <w:fldChar w:fldCharType="end"/>
        </w:r>
      </w:hyperlink>
    </w:p>
    <w:p w14:paraId="57BBC12E" w14:textId="77777777" w:rsidR="007E1398" w:rsidRDefault="007E1398" w:rsidP="000219E4">
      <w:pPr>
        <w:pStyle w:val="TOC1"/>
        <w:rPr>
          <w:rFonts w:asciiTheme="minorHAnsi" w:eastAsiaTheme="minorEastAsia" w:hAnsiTheme="minorHAnsi" w:cstheme="minorBidi"/>
          <w:sz w:val="22"/>
          <w:szCs w:val="22"/>
        </w:rPr>
      </w:pPr>
      <w:hyperlink w:anchor="_Toc447200175" w:history="1">
        <w:r w:rsidRPr="000464E4">
          <w:rPr>
            <w:rStyle w:val="Hyperlink"/>
          </w:rPr>
          <w:t>2</w:t>
        </w:r>
        <w:r>
          <w:rPr>
            <w:rFonts w:asciiTheme="minorHAnsi" w:eastAsiaTheme="minorEastAsia" w:hAnsiTheme="minorHAnsi" w:cstheme="minorBidi"/>
            <w:sz w:val="22"/>
            <w:szCs w:val="22"/>
          </w:rPr>
          <w:tab/>
        </w:r>
        <w:r w:rsidRPr="000464E4">
          <w:rPr>
            <w:rStyle w:val="Hyperlink"/>
          </w:rPr>
          <w:t>Summary</w:t>
        </w:r>
        <w:r>
          <w:rPr>
            <w:webHidden/>
          </w:rPr>
          <w:tab/>
        </w:r>
        <w:r>
          <w:rPr>
            <w:webHidden/>
          </w:rPr>
          <w:fldChar w:fldCharType="begin"/>
        </w:r>
        <w:r>
          <w:rPr>
            <w:webHidden/>
          </w:rPr>
          <w:instrText xml:space="preserve"> PAGEREF _Toc447200175 \h </w:instrText>
        </w:r>
        <w:r>
          <w:rPr>
            <w:webHidden/>
          </w:rPr>
        </w:r>
        <w:r>
          <w:rPr>
            <w:webHidden/>
          </w:rPr>
          <w:fldChar w:fldCharType="separate"/>
        </w:r>
        <w:r w:rsidR="002E7FDE">
          <w:rPr>
            <w:webHidden/>
          </w:rPr>
          <w:t>4</w:t>
        </w:r>
        <w:r>
          <w:rPr>
            <w:webHidden/>
          </w:rPr>
          <w:fldChar w:fldCharType="end"/>
        </w:r>
      </w:hyperlink>
    </w:p>
    <w:p w14:paraId="58EED913" w14:textId="77777777" w:rsidR="007E1398" w:rsidRDefault="007E1398" w:rsidP="000219E4">
      <w:pPr>
        <w:pStyle w:val="TOC1"/>
        <w:rPr>
          <w:rFonts w:asciiTheme="minorHAnsi" w:eastAsiaTheme="minorEastAsia" w:hAnsiTheme="minorHAnsi" w:cstheme="minorBidi"/>
          <w:sz w:val="22"/>
          <w:szCs w:val="22"/>
        </w:rPr>
      </w:pPr>
      <w:hyperlink w:anchor="_Toc447200176" w:history="1">
        <w:r w:rsidRPr="000464E4">
          <w:rPr>
            <w:rStyle w:val="Hyperlink"/>
          </w:rPr>
          <w:t>3</w:t>
        </w:r>
        <w:r>
          <w:rPr>
            <w:rFonts w:asciiTheme="minorHAnsi" w:eastAsiaTheme="minorEastAsia" w:hAnsiTheme="minorHAnsi" w:cstheme="minorBidi"/>
            <w:sz w:val="22"/>
            <w:szCs w:val="22"/>
          </w:rPr>
          <w:tab/>
        </w:r>
        <w:r w:rsidRPr="000464E4">
          <w:rPr>
            <w:rStyle w:val="Hyperlink"/>
          </w:rPr>
          <w:t>Recommendations</w:t>
        </w:r>
        <w:r>
          <w:rPr>
            <w:webHidden/>
          </w:rPr>
          <w:tab/>
        </w:r>
        <w:r>
          <w:rPr>
            <w:webHidden/>
          </w:rPr>
          <w:fldChar w:fldCharType="begin"/>
        </w:r>
        <w:r>
          <w:rPr>
            <w:webHidden/>
          </w:rPr>
          <w:instrText xml:space="preserve"> PAGEREF _Toc447200176 \h </w:instrText>
        </w:r>
        <w:r>
          <w:rPr>
            <w:webHidden/>
          </w:rPr>
        </w:r>
        <w:r>
          <w:rPr>
            <w:webHidden/>
          </w:rPr>
          <w:fldChar w:fldCharType="separate"/>
        </w:r>
        <w:r w:rsidR="002E7FDE">
          <w:rPr>
            <w:webHidden/>
          </w:rPr>
          <w:t>5</w:t>
        </w:r>
        <w:r>
          <w:rPr>
            <w:webHidden/>
          </w:rPr>
          <w:fldChar w:fldCharType="end"/>
        </w:r>
      </w:hyperlink>
    </w:p>
    <w:p w14:paraId="5E0AA629" w14:textId="77777777" w:rsidR="007E1398" w:rsidRDefault="007E1398" w:rsidP="000219E4">
      <w:pPr>
        <w:pStyle w:val="TOC1"/>
        <w:rPr>
          <w:rFonts w:asciiTheme="minorHAnsi" w:eastAsiaTheme="minorEastAsia" w:hAnsiTheme="minorHAnsi" w:cstheme="minorBidi"/>
          <w:sz w:val="22"/>
          <w:szCs w:val="22"/>
        </w:rPr>
      </w:pPr>
      <w:hyperlink w:anchor="_Toc447200177" w:history="1">
        <w:r w:rsidRPr="000464E4">
          <w:rPr>
            <w:rStyle w:val="Hyperlink"/>
          </w:rPr>
          <w:t>4</w:t>
        </w:r>
        <w:r>
          <w:rPr>
            <w:rFonts w:asciiTheme="minorHAnsi" w:eastAsiaTheme="minorEastAsia" w:hAnsiTheme="minorHAnsi" w:cstheme="minorBidi"/>
            <w:sz w:val="22"/>
            <w:szCs w:val="22"/>
          </w:rPr>
          <w:tab/>
        </w:r>
        <w:r w:rsidRPr="000464E4">
          <w:rPr>
            <w:rStyle w:val="Hyperlink"/>
          </w:rPr>
          <w:t>Persons affected by mental health laws allowing for indefinite detention</w:t>
        </w:r>
        <w:r>
          <w:rPr>
            <w:webHidden/>
          </w:rPr>
          <w:tab/>
        </w:r>
        <w:r>
          <w:rPr>
            <w:webHidden/>
          </w:rPr>
          <w:fldChar w:fldCharType="begin"/>
        </w:r>
        <w:r>
          <w:rPr>
            <w:webHidden/>
          </w:rPr>
          <w:instrText xml:space="preserve"> PAGEREF _Toc447200177 \h </w:instrText>
        </w:r>
        <w:r>
          <w:rPr>
            <w:webHidden/>
          </w:rPr>
        </w:r>
        <w:r>
          <w:rPr>
            <w:webHidden/>
          </w:rPr>
          <w:fldChar w:fldCharType="separate"/>
        </w:r>
        <w:r w:rsidR="002E7FDE">
          <w:rPr>
            <w:webHidden/>
          </w:rPr>
          <w:t>7</w:t>
        </w:r>
        <w:r>
          <w:rPr>
            <w:webHidden/>
          </w:rPr>
          <w:fldChar w:fldCharType="end"/>
        </w:r>
      </w:hyperlink>
    </w:p>
    <w:p w14:paraId="59956130" w14:textId="77777777" w:rsidR="007E1398" w:rsidRDefault="007E1398" w:rsidP="00607317">
      <w:pPr>
        <w:pStyle w:val="TOC2"/>
        <w:spacing w:after="120"/>
        <w:ind w:left="1134" w:hanging="896"/>
        <w:rPr>
          <w:rFonts w:asciiTheme="minorHAnsi" w:eastAsiaTheme="minorEastAsia" w:hAnsiTheme="minorHAnsi" w:cstheme="minorBidi"/>
          <w:b w:val="0"/>
          <w:i w:val="0"/>
        </w:rPr>
      </w:pPr>
      <w:hyperlink w:anchor="_Toc447200182" w:history="1">
        <w:r w:rsidRPr="000464E4">
          <w:rPr>
            <w:rStyle w:val="Hyperlink"/>
          </w:rPr>
          <w:t>4.1</w:t>
        </w:r>
        <w:r>
          <w:rPr>
            <w:rFonts w:asciiTheme="minorHAnsi" w:eastAsiaTheme="minorEastAsia" w:hAnsiTheme="minorHAnsi" w:cstheme="minorBidi"/>
            <w:b w:val="0"/>
            <w:i w:val="0"/>
          </w:rPr>
          <w:tab/>
        </w:r>
        <w:r w:rsidRPr="000464E4">
          <w:rPr>
            <w:rStyle w:val="Hyperlink"/>
          </w:rPr>
          <w:t>Defining ‘cognitive’ vs ‘psychiatric’ impairment</w:t>
        </w:r>
        <w:r>
          <w:rPr>
            <w:webHidden/>
          </w:rPr>
          <w:tab/>
        </w:r>
        <w:r>
          <w:rPr>
            <w:webHidden/>
          </w:rPr>
          <w:fldChar w:fldCharType="begin"/>
        </w:r>
        <w:r>
          <w:rPr>
            <w:webHidden/>
          </w:rPr>
          <w:instrText xml:space="preserve"> PAGEREF _Toc447200182 \h </w:instrText>
        </w:r>
        <w:r>
          <w:rPr>
            <w:webHidden/>
          </w:rPr>
        </w:r>
        <w:r>
          <w:rPr>
            <w:webHidden/>
          </w:rPr>
          <w:fldChar w:fldCharType="separate"/>
        </w:r>
        <w:r w:rsidR="002E7FDE">
          <w:rPr>
            <w:webHidden/>
          </w:rPr>
          <w:t>7</w:t>
        </w:r>
        <w:r>
          <w:rPr>
            <w:webHidden/>
          </w:rPr>
          <w:fldChar w:fldCharType="end"/>
        </w:r>
      </w:hyperlink>
    </w:p>
    <w:p w14:paraId="52BE56A9" w14:textId="59294218" w:rsidR="007E1398" w:rsidRDefault="007E1398" w:rsidP="00607317">
      <w:pPr>
        <w:pStyle w:val="TOC2"/>
        <w:spacing w:after="120"/>
        <w:ind w:left="1134" w:hanging="896"/>
        <w:rPr>
          <w:rFonts w:asciiTheme="minorHAnsi" w:eastAsiaTheme="minorEastAsia" w:hAnsiTheme="minorHAnsi" w:cstheme="minorBidi"/>
          <w:b w:val="0"/>
          <w:i w:val="0"/>
        </w:rPr>
      </w:pPr>
      <w:hyperlink w:anchor="_Toc447200183" w:history="1">
        <w:r w:rsidRPr="000464E4">
          <w:rPr>
            <w:rStyle w:val="Hyperlink"/>
          </w:rPr>
          <w:t>4.2</w:t>
        </w:r>
        <w:r>
          <w:rPr>
            <w:rFonts w:asciiTheme="minorHAnsi" w:eastAsiaTheme="minorEastAsia" w:hAnsiTheme="minorHAnsi" w:cstheme="minorBidi"/>
            <w:b w:val="0"/>
            <w:i w:val="0"/>
          </w:rPr>
          <w:tab/>
        </w:r>
        <w:r w:rsidRPr="000464E4">
          <w:rPr>
            <w:rStyle w:val="Hyperlink"/>
          </w:rPr>
          <w:t xml:space="preserve">People with cognitive and/or psychiatric impairment who come into </w:t>
        </w:r>
        <w:r>
          <w:rPr>
            <w:rStyle w:val="Hyperlink"/>
          </w:rPr>
          <w:t xml:space="preserve">    </w:t>
        </w:r>
        <w:r w:rsidRPr="000464E4">
          <w:rPr>
            <w:rStyle w:val="Hyperlink"/>
          </w:rPr>
          <w:t>contact with the criminal justice system</w:t>
        </w:r>
        <w:r>
          <w:rPr>
            <w:webHidden/>
          </w:rPr>
          <w:tab/>
        </w:r>
        <w:r>
          <w:rPr>
            <w:webHidden/>
          </w:rPr>
          <w:fldChar w:fldCharType="begin"/>
        </w:r>
        <w:r>
          <w:rPr>
            <w:webHidden/>
          </w:rPr>
          <w:instrText xml:space="preserve"> PAGEREF _Toc447200183 \h </w:instrText>
        </w:r>
        <w:r>
          <w:rPr>
            <w:webHidden/>
          </w:rPr>
        </w:r>
        <w:r>
          <w:rPr>
            <w:webHidden/>
          </w:rPr>
          <w:fldChar w:fldCharType="separate"/>
        </w:r>
        <w:r w:rsidR="002E7FDE">
          <w:rPr>
            <w:webHidden/>
          </w:rPr>
          <w:t>7</w:t>
        </w:r>
        <w:r>
          <w:rPr>
            <w:webHidden/>
          </w:rPr>
          <w:fldChar w:fldCharType="end"/>
        </w:r>
      </w:hyperlink>
    </w:p>
    <w:p w14:paraId="6B0F84A2" w14:textId="77777777" w:rsidR="007E1398" w:rsidRDefault="007E1398" w:rsidP="000219E4">
      <w:pPr>
        <w:pStyle w:val="TOC1"/>
        <w:rPr>
          <w:rFonts w:asciiTheme="minorHAnsi" w:eastAsiaTheme="minorEastAsia" w:hAnsiTheme="minorHAnsi" w:cstheme="minorBidi"/>
          <w:sz w:val="22"/>
          <w:szCs w:val="22"/>
        </w:rPr>
      </w:pPr>
      <w:hyperlink w:anchor="_Toc447200184" w:history="1">
        <w:r w:rsidRPr="000464E4">
          <w:rPr>
            <w:rStyle w:val="Hyperlink"/>
          </w:rPr>
          <w:t>5</w:t>
        </w:r>
        <w:r>
          <w:rPr>
            <w:rFonts w:asciiTheme="minorHAnsi" w:eastAsiaTheme="minorEastAsia" w:hAnsiTheme="minorHAnsi" w:cstheme="minorBidi"/>
            <w:sz w:val="22"/>
            <w:szCs w:val="22"/>
          </w:rPr>
          <w:tab/>
        </w:r>
        <w:r w:rsidRPr="000464E4">
          <w:rPr>
            <w:rStyle w:val="Hyperlink"/>
          </w:rPr>
          <w:t>Human rights obligations</w:t>
        </w:r>
        <w:r>
          <w:rPr>
            <w:webHidden/>
          </w:rPr>
          <w:tab/>
        </w:r>
        <w:r>
          <w:rPr>
            <w:webHidden/>
          </w:rPr>
          <w:fldChar w:fldCharType="begin"/>
        </w:r>
        <w:r>
          <w:rPr>
            <w:webHidden/>
          </w:rPr>
          <w:instrText xml:space="preserve"> PAGEREF _Toc447200184 \h </w:instrText>
        </w:r>
        <w:r>
          <w:rPr>
            <w:webHidden/>
          </w:rPr>
        </w:r>
        <w:r>
          <w:rPr>
            <w:webHidden/>
          </w:rPr>
          <w:fldChar w:fldCharType="separate"/>
        </w:r>
        <w:r w:rsidR="002E7FDE">
          <w:rPr>
            <w:webHidden/>
          </w:rPr>
          <w:t>9</w:t>
        </w:r>
        <w:r>
          <w:rPr>
            <w:webHidden/>
          </w:rPr>
          <w:fldChar w:fldCharType="end"/>
        </w:r>
      </w:hyperlink>
    </w:p>
    <w:p w14:paraId="4D6022A0" w14:textId="1ED983CA" w:rsidR="007E1398" w:rsidRDefault="007E1398" w:rsidP="000219E4">
      <w:pPr>
        <w:pStyle w:val="TOC1"/>
        <w:rPr>
          <w:rFonts w:asciiTheme="minorHAnsi" w:eastAsiaTheme="minorEastAsia" w:hAnsiTheme="minorHAnsi" w:cstheme="minorBidi"/>
          <w:sz w:val="22"/>
          <w:szCs w:val="22"/>
        </w:rPr>
      </w:pPr>
      <w:hyperlink w:anchor="_Toc447200185" w:history="1">
        <w:r w:rsidRPr="000464E4">
          <w:rPr>
            <w:rStyle w:val="Hyperlink"/>
          </w:rPr>
          <w:t>6</w:t>
        </w:r>
        <w:r>
          <w:rPr>
            <w:rFonts w:asciiTheme="minorHAnsi" w:eastAsiaTheme="minorEastAsia" w:hAnsiTheme="minorHAnsi" w:cstheme="minorBidi"/>
            <w:sz w:val="22"/>
            <w:szCs w:val="22"/>
          </w:rPr>
          <w:tab/>
        </w:r>
        <w:r w:rsidRPr="000464E4">
          <w:rPr>
            <w:rStyle w:val="Hyperlink"/>
          </w:rPr>
          <w:t xml:space="preserve">Access to justice for people with cognitive and/or psychiatric </w:t>
        </w:r>
        <w:r>
          <w:rPr>
            <w:rStyle w:val="Hyperlink"/>
          </w:rPr>
          <w:t xml:space="preserve"> </w:t>
        </w:r>
        <w:r w:rsidRPr="000464E4">
          <w:rPr>
            <w:rStyle w:val="Hyperlink"/>
          </w:rPr>
          <w:t>impairment</w:t>
        </w:r>
        <w:r>
          <w:rPr>
            <w:webHidden/>
          </w:rPr>
          <w:tab/>
        </w:r>
        <w:r>
          <w:rPr>
            <w:webHidden/>
          </w:rPr>
          <w:fldChar w:fldCharType="begin"/>
        </w:r>
        <w:r>
          <w:rPr>
            <w:webHidden/>
          </w:rPr>
          <w:instrText xml:space="preserve"> PAGEREF _Toc447200185 \h </w:instrText>
        </w:r>
        <w:r>
          <w:rPr>
            <w:webHidden/>
          </w:rPr>
        </w:r>
        <w:r>
          <w:rPr>
            <w:webHidden/>
          </w:rPr>
          <w:fldChar w:fldCharType="separate"/>
        </w:r>
        <w:r w:rsidR="002E7FDE">
          <w:rPr>
            <w:webHidden/>
          </w:rPr>
          <w:t>11</w:t>
        </w:r>
        <w:r>
          <w:rPr>
            <w:webHidden/>
          </w:rPr>
          <w:fldChar w:fldCharType="end"/>
        </w:r>
      </w:hyperlink>
    </w:p>
    <w:p w14:paraId="7C1D43FD" w14:textId="77777777" w:rsidR="007E1398" w:rsidRDefault="007E1398" w:rsidP="007E1398">
      <w:pPr>
        <w:pStyle w:val="TOC2"/>
        <w:spacing w:after="120"/>
        <w:rPr>
          <w:rFonts w:asciiTheme="minorHAnsi" w:eastAsiaTheme="minorEastAsia" w:hAnsiTheme="minorHAnsi" w:cstheme="minorBidi"/>
          <w:b w:val="0"/>
          <w:i w:val="0"/>
        </w:rPr>
      </w:pPr>
      <w:hyperlink w:anchor="_Toc447200188" w:history="1">
        <w:r w:rsidRPr="000464E4">
          <w:rPr>
            <w:rStyle w:val="Hyperlink"/>
          </w:rPr>
          <w:t>6.1</w:t>
        </w:r>
        <w:r>
          <w:rPr>
            <w:rFonts w:asciiTheme="minorHAnsi" w:eastAsiaTheme="minorEastAsia" w:hAnsiTheme="minorHAnsi" w:cstheme="minorBidi"/>
            <w:b w:val="0"/>
            <w:i w:val="0"/>
          </w:rPr>
          <w:tab/>
        </w:r>
        <w:r w:rsidRPr="000464E4">
          <w:rPr>
            <w:rStyle w:val="Hyperlink"/>
          </w:rPr>
          <w:t>Introduction</w:t>
        </w:r>
        <w:r>
          <w:rPr>
            <w:webHidden/>
          </w:rPr>
          <w:tab/>
        </w:r>
        <w:r>
          <w:rPr>
            <w:webHidden/>
          </w:rPr>
          <w:fldChar w:fldCharType="begin"/>
        </w:r>
        <w:r>
          <w:rPr>
            <w:webHidden/>
          </w:rPr>
          <w:instrText xml:space="preserve"> PAGEREF _Toc447200188 \h </w:instrText>
        </w:r>
        <w:r>
          <w:rPr>
            <w:webHidden/>
          </w:rPr>
        </w:r>
        <w:r>
          <w:rPr>
            <w:webHidden/>
          </w:rPr>
          <w:fldChar w:fldCharType="separate"/>
        </w:r>
        <w:r w:rsidR="002E7FDE">
          <w:rPr>
            <w:webHidden/>
          </w:rPr>
          <w:t>11</w:t>
        </w:r>
        <w:r>
          <w:rPr>
            <w:webHidden/>
          </w:rPr>
          <w:fldChar w:fldCharType="end"/>
        </w:r>
      </w:hyperlink>
    </w:p>
    <w:p w14:paraId="09C64862" w14:textId="77777777" w:rsidR="007E1398" w:rsidRDefault="007E1398" w:rsidP="007E1398">
      <w:pPr>
        <w:pStyle w:val="TOC2"/>
        <w:spacing w:after="120"/>
        <w:rPr>
          <w:rFonts w:asciiTheme="minorHAnsi" w:eastAsiaTheme="minorEastAsia" w:hAnsiTheme="minorHAnsi" w:cstheme="minorBidi"/>
          <w:b w:val="0"/>
          <w:i w:val="0"/>
        </w:rPr>
      </w:pPr>
      <w:hyperlink w:anchor="_Toc447200189" w:history="1">
        <w:r w:rsidRPr="000464E4">
          <w:rPr>
            <w:rStyle w:val="Hyperlink"/>
          </w:rPr>
          <w:t>6.2</w:t>
        </w:r>
        <w:r>
          <w:rPr>
            <w:rFonts w:asciiTheme="minorHAnsi" w:eastAsiaTheme="minorEastAsia" w:hAnsiTheme="minorHAnsi" w:cstheme="minorBidi"/>
            <w:b w:val="0"/>
            <w:i w:val="0"/>
          </w:rPr>
          <w:tab/>
        </w:r>
        <w:r w:rsidRPr="000464E4">
          <w:rPr>
            <w:rStyle w:val="Hyperlink"/>
          </w:rPr>
          <w:t>Lack of community support prior to contact with criminal justice system</w:t>
        </w:r>
        <w:r>
          <w:rPr>
            <w:webHidden/>
          </w:rPr>
          <w:tab/>
        </w:r>
        <w:r>
          <w:rPr>
            <w:webHidden/>
          </w:rPr>
          <w:fldChar w:fldCharType="begin"/>
        </w:r>
        <w:r>
          <w:rPr>
            <w:webHidden/>
          </w:rPr>
          <w:instrText xml:space="preserve"> PAGEREF _Toc447200189 \h </w:instrText>
        </w:r>
        <w:r>
          <w:rPr>
            <w:webHidden/>
          </w:rPr>
        </w:r>
        <w:r>
          <w:rPr>
            <w:webHidden/>
          </w:rPr>
          <w:fldChar w:fldCharType="separate"/>
        </w:r>
        <w:r w:rsidR="002E7FDE">
          <w:rPr>
            <w:webHidden/>
          </w:rPr>
          <w:t>12</w:t>
        </w:r>
        <w:r>
          <w:rPr>
            <w:webHidden/>
          </w:rPr>
          <w:fldChar w:fldCharType="end"/>
        </w:r>
      </w:hyperlink>
    </w:p>
    <w:p w14:paraId="16D39AAA" w14:textId="77777777" w:rsidR="007E1398" w:rsidRDefault="007E1398" w:rsidP="007E1398">
      <w:pPr>
        <w:pStyle w:val="TOC2"/>
        <w:spacing w:after="120"/>
        <w:rPr>
          <w:rFonts w:asciiTheme="minorHAnsi" w:eastAsiaTheme="minorEastAsia" w:hAnsiTheme="minorHAnsi" w:cstheme="minorBidi"/>
          <w:b w:val="0"/>
          <w:i w:val="0"/>
        </w:rPr>
      </w:pPr>
      <w:hyperlink w:anchor="_Toc447200190" w:history="1">
        <w:r w:rsidRPr="000464E4">
          <w:rPr>
            <w:rStyle w:val="Hyperlink"/>
          </w:rPr>
          <w:t>6.3</w:t>
        </w:r>
        <w:r>
          <w:rPr>
            <w:rFonts w:asciiTheme="minorHAnsi" w:eastAsiaTheme="minorEastAsia" w:hAnsiTheme="minorHAnsi" w:cstheme="minorBidi"/>
            <w:b w:val="0"/>
            <w:i w:val="0"/>
          </w:rPr>
          <w:tab/>
        </w:r>
        <w:r w:rsidRPr="000464E4">
          <w:rPr>
            <w:rStyle w:val="Hyperlink"/>
          </w:rPr>
          <w:t>Challenges interacting with system because of disability</w:t>
        </w:r>
        <w:r>
          <w:rPr>
            <w:webHidden/>
          </w:rPr>
          <w:tab/>
        </w:r>
        <w:r>
          <w:rPr>
            <w:webHidden/>
          </w:rPr>
          <w:fldChar w:fldCharType="begin"/>
        </w:r>
        <w:r>
          <w:rPr>
            <w:webHidden/>
          </w:rPr>
          <w:instrText xml:space="preserve"> PAGEREF _Toc447200190 \h </w:instrText>
        </w:r>
        <w:r>
          <w:rPr>
            <w:webHidden/>
          </w:rPr>
        </w:r>
        <w:r>
          <w:rPr>
            <w:webHidden/>
          </w:rPr>
          <w:fldChar w:fldCharType="separate"/>
        </w:r>
        <w:r w:rsidR="002E7FDE">
          <w:rPr>
            <w:webHidden/>
          </w:rPr>
          <w:t>13</w:t>
        </w:r>
        <w:r>
          <w:rPr>
            <w:webHidden/>
          </w:rPr>
          <w:fldChar w:fldCharType="end"/>
        </w:r>
      </w:hyperlink>
    </w:p>
    <w:p w14:paraId="4EE13509" w14:textId="77777777" w:rsidR="007E1398" w:rsidRDefault="007E1398" w:rsidP="007E1398">
      <w:pPr>
        <w:pStyle w:val="TOC2"/>
        <w:spacing w:after="120"/>
        <w:rPr>
          <w:rFonts w:asciiTheme="minorHAnsi" w:eastAsiaTheme="minorEastAsia" w:hAnsiTheme="minorHAnsi" w:cstheme="minorBidi"/>
          <w:b w:val="0"/>
          <w:i w:val="0"/>
        </w:rPr>
      </w:pPr>
      <w:hyperlink w:anchor="_Toc447200191" w:history="1">
        <w:r w:rsidRPr="000464E4">
          <w:rPr>
            <w:rStyle w:val="Hyperlink"/>
          </w:rPr>
          <w:t>6.4</w:t>
        </w:r>
        <w:r>
          <w:rPr>
            <w:rFonts w:asciiTheme="minorHAnsi" w:eastAsiaTheme="minorEastAsia" w:hAnsiTheme="minorHAnsi" w:cstheme="minorBidi"/>
            <w:b w:val="0"/>
            <w:i w:val="0"/>
          </w:rPr>
          <w:tab/>
        </w:r>
        <w:r w:rsidRPr="000464E4">
          <w:rPr>
            <w:rStyle w:val="Hyperlink"/>
          </w:rPr>
          <w:t>Tests for unfitness to stand trial</w:t>
        </w:r>
        <w:r>
          <w:rPr>
            <w:webHidden/>
          </w:rPr>
          <w:tab/>
        </w:r>
        <w:r>
          <w:rPr>
            <w:webHidden/>
          </w:rPr>
          <w:fldChar w:fldCharType="begin"/>
        </w:r>
        <w:r>
          <w:rPr>
            <w:webHidden/>
          </w:rPr>
          <w:instrText xml:space="preserve"> PAGEREF _Toc447200191 \h </w:instrText>
        </w:r>
        <w:r>
          <w:rPr>
            <w:webHidden/>
          </w:rPr>
        </w:r>
        <w:r>
          <w:rPr>
            <w:webHidden/>
          </w:rPr>
          <w:fldChar w:fldCharType="separate"/>
        </w:r>
        <w:r w:rsidR="002E7FDE">
          <w:rPr>
            <w:webHidden/>
          </w:rPr>
          <w:t>15</w:t>
        </w:r>
        <w:r>
          <w:rPr>
            <w:webHidden/>
          </w:rPr>
          <w:fldChar w:fldCharType="end"/>
        </w:r>
      </w:hyperlink>
    </w:p>
    <w:p w14:paraId="30BC8CD6" w14:textId="77777777" w:rsidR="007E1398" w:rsidRDefault="007E1398" w:rsidP="007E1398">
      <w:pPr>
        <w:pStyle w:val="TOC2"/>
        <w:spacing w:after="120"/>
        <w:rPr>
          <w:rFonts w:asciiTheme="minorHAnsi" w:eastAsiaTheme="minorEastAsia" w:hAnsiTheme="minorHAnsi" w:cstheme="minorBidi"/>
          <w:b w:val="0"/>
          <w:i w:val="0"/>
        </w:rPr>
      </w:pPr>
      <w:hyperlink w:anchor="_Toc447200192" w:history="1">
        <w:r w:rsidRPr="000464E4">
          <w:rPr>
            <w:rStyle w:val="Hyperlink"/>
          </w:rPr>
          <w:t>6.5</w:t>
        </w:r>
        <w:r>
          <w:rPr>
            <w:rFonts w:asciiTheme="minorHAnsi" w:eastAsiaTheme="minorEastAsia" w:hAnsiTheme="minorHAnsi" w:cstheme="minorBidi"/>
            <w:b w:val="0"/>
            <w:i w:val="0"/>
          </w:rPr>
          <w:tab/>
        </w:r>
        <w:r w:rsidRPr="000464E4">
          <w:rPr>
            <w:rStyle w:val="Hyperlink"/>
          </w:rPr>
          <w:t>Special hearings for unfit defendants</w:t>
        </w:r>
        <w:r>
          <w:rPr>
            <w:webHidden/>
          </w:rPr>
          <w:tab/>
        </w:r>
        <w:r>
          <w:rPr>
            <w:webHidden/>
          </w:rPr>
          <w:fldChar w:fldCharType="begin"/>
        </w:r>
        <w:r>
          <w:rPr>
            <w:webHidden/>
          </w:rPr>
          <w:instrText xml:space="preserve"> PAGEREF _Toc447200192 \h </w:instrText>
        </w:r>
        <w:r>
          <w:rPr>
            <w:webHidden/>
          </w:rPr>
        </w:r>
        <w:r>
          <w:rPr>
            <w:webHidden/>
          </w:rPr>
          <w:fldChar w:fldCharType="separate"/>
        </w:r>
        <w:r w:rsidR="002E7FDE">
          <w:rPr>
            <w:webHidden/>
          </w:rPr>
          <w:t>17</w:t>
        </w:r>
        <w:r>
          <w:rPr>
            <w:webHidden/>
          </w:rPr>
          <w:fldChar w:fldCharType="end"/>
        </w:r>
      </w:hyperlink>
    </w:p>
    <w:p w14:paraId="4C73BD2A" w14:textId="2FD44EED" w:rsidR="007E1398" w:rsidRDefault="007E1398" w:rsidP="007E1398">
      <w:pPr>
        <w:pStyle w:val="TOC2"/>
        <w:spacing w:after="120"/>
        <w:rPr>
          <w:rFonts w:asciiTheme="minorHAnsi" w:eastAsiaTheme="minorEastAsia" w:hAnsiTheme="minorHAnsi" w:cstheme="minorBidi"/>
          <w:b w:val="0"/>
          <w:i w:val="0"/>
        </w:rPr>
      </w:pPr>
      <w:hyperlink w:anchor="_Toc447200193" w:history="1">
        <w:r w:rsidRPr="000464E4">
          <w:rPr>
            <w:rStyle w:val="Hyperlink"/>
          </w:rPr>
          <w:t>6.6</w:t>
        </w:r>
        <w:r>
          <w:rPr>
            <w:rFonts w:asciiTheme="minorHAnsi" w:eastAsiaTheme="minorEastAsia" w:hAnsiTheme="minorHAnsi" w:cstheme="minorBidi"/>
            <w:b w:val="0"/>
            <w:i w:val="0"/>
          </w:rPr>
          <w:tab/>
        </w:r>
        <w:r w:rsidRPr="000464E4">
          <w:rPr>
            <w:rStyle w:val="Hyperlink"/>
          </w:rPr>
          <w:t xml:space="preserve">Lack of appropriate and effective limits on detention for people found </w:t>
        </w:r>
        <w:r w:rsidR="00094A39">
          <w:rPr>
            <w:rStyle w:val="Hyperlink"/>
          </w:rPr>
          <w:t xml:space="preserve">      </w:t>
        </w:r>
        <w:r w:rsidRPr="000464E4">
          <w:rPr>
            <w:rStyle w:val="Hyperlink"/>
          </w:rPr>
          <w:t>unfit to stand trial or not guilty by reason of mental impairment</w:t>
        </w:r>
        <w:r>
          <w:rPr>
            <w:webHidden/>
          </w:rPr>
          <w:tab/>
        </w:r>
        <w:r>
          <w:rPr>
            <w:webHidden/>
          </w:rPr>
          <w:fldChar w:fldCharType="begin"/>
        </w:r>
        <w:r>
          <w:rPr>
            <w:webHidden/>
          </w:rPr>
          <w:instrText xml:space="preserve"> PAGEREF _Toc447200193 \h </w:instrText>
        </w:r>
        <w:r>
          <w:rPr>
            <w:webHidden/>
          </w:rPr>
        </w:r>
        <w:r>
          <w:rPr>
            <w:webHidden/>
          </w:rPr>
          <w:fldChar w:fldCharType="separate"/>
        </w:r>
        <w:r w:rsidR="002E7FDE">
          <w:rPr>
            <w:webHidden/>
          </w:rPr>
          <w:t>19</w:t>
        </w:r>
        <w:r>
          <w:rPr>
            <w:webHidden/>
          </w:rPr>
          <w:fldChar w:fldCharType="end"/>
        </w:r>
      </w:hyperlink>
    </w:p>
    <w:p w14:paraId="0F2CE2C8" w14:textId="77777777" w:rsidR="007E1398" w:rsidRDefault="007E1398" w:rsidP="007E1398">
      <w:pPr>
        <w:pStyle w:val="TOC2"/>
        <w:spacing w:after="120"/>
        <w:rPr>
          <w:rFonts w:asciiTheme="minorHAnsi" w:eastAsiaTheme="minorEastAsia" w:hAnsiTheme="minorHAnsi" w:cstheme="minorBidi"/>
          <w:b w:val="0"/>
          <w:i w:val="0"/>
        </w:rPr>
      </w:pPr>
      <w:hyperlink w:anchor="_Toc447200194" w:history="1">
        <w:r w:rsidRPr="000464E4">
          <w:rPr>
            <w:rStyle w:val="Hyperlink"/>
          </w:rPr>
          <w:t>6.7</w:t>
        </w:r>
        <w:r>
          <w:rPr>
            <w:rFonts w:asciiTheme="minorHAnsi" w:eastAsiaTheme="minorEastAsia" w:hAnsiTheme="minorHAnsi" w:cstheme="minorBidi"/>
            <w:b w:val="0"/>
            <w:i w:val="0"/>
          </w:rPr>
          <w:tab/>
        </w:r>
        <w:r w:rsidRPr="000464E4">
          <w:rPr>
            <w:rStyle w:val="Hyperlink"/>
          </w:rPr>
          <w:t>Detention in prisons</w:t>
        </w:r>
        <w:r>
          <w:rPr>
            <w:webHidden/>
          </w:rPr>
          <w:tab/>
        </w:r>
        <w:r>
          <w:rPr>
            <w:webHidden/>
          </w:rPr>
          <w:fldChar w:fldCharType="begin"/>
        </w:r>
        <w:r>
          <w:rPr>
            <w:webHidden/>
          </w:rPr>
          <w:instrText xml:space="preserve"> PAGEREF _Toc447200194 \h </w:instrText>
        </w:r>
        <w:r>
          <w:rPr>
            <w:webHidden/>
          </w:rPr>
        </w:r>
        <w:r>
          <w:rPr>
            <w:webHidden/>
          </w:rPr>
          <w:fldChar w:fldCharType="separate"/>
        </w:r>
        <w:r w:rsidR="002E7FDE">
          <w:rPr>
            <w:webHidden/>
          </w:rPr>
          <w:t>21</w:t>
        </w:r>
        <w:r>
          <w:rPr>
            <w:webHidden/>
          </w:rPr>
          <w:fldChar w:fldCharType="end"/>
        </w:r>
      </w:hyperlink>
    </w:p>
    <w:p w14:paraId="4804C30F" w14:textId="77777777" w:rsidR="007E1398" w:rsidRDefault="007E1398" w:rsidP="000219E4">
      <w:pPr>
        <w:pStyle w:val="TOC1"/>
        <w:rPr>
          <w:rFonts w:asciiTheme="minorHAnsi" w:eastAsiaTheme="minorEastAsia" w:hAnsiTheme="minorHAnsi" w:cstheme="minorBidi"/>
          <w:sz w:val="22"/>
          <w:szCs w:val="22"/>
        </w:rPr>
      </w:pPr>
      <w:hyperlink w:anchor="_Toc447200195" w:history="1">
        <w:r w:rsidRPr="000464E4">
          <w:rPr>
            <w:rStyle w:val="Hyperlink"/>
          </w:rPr>
          <w:t>7</w:t>
        </w:r>
        <w:r>
          <w:rPr>
            <w:rFonts w:asciiTheme="minorHAnsi" w:eastAsiaTheme="minorEastAsia" w:hAnsiTheme="minorHAnsi" w:cstheme="minorBidi"/>
            <w:sz w:val="22"/>
            <w:szCs w:val="22"/>
          </w:rPr>
          <w:tab/>
        </w:r>
        <w:r w:rsidRPr="000464E4">
          <w:rPr>
            <w:rStyle w:val="Hyperlink"/>
          </w:rPr>
          <w:t>Case studies of people in indefinite detention</w:t>
        </w:r>
        <w:r>
          <w:rPr>
            <w:webHidden/>
          </w:rPr>
          <w:tab/>
        </w:r>
        <w:r>
          <w:rPr>
            <w:webHidden/>
          </w:rPr>
          <w:fldChar w:fldCharType="begin"/>
        </w:r>
        <w:r>
          <w:rPr>
            <w:webHidden/>
          </w:rPr>
          <w:instrText xml:space="preserve"> PAGEREF _Toc447200195 \h </w:instrText>
        </w:r>
        <w:r>
          <w:rPr>
            <w:webHidden/>
          </w:rPr>
        </w:r>
        <w:r>
          <w:rPr>
            <w:webHidden/>
          </w:rPr>
          <w:fldChar w:fldCharType="separate"/>
        </w:r>
        <w:r w:rsidR="002E7FDE">
          <w:rPr>
            <w:webHidden/>
          </w:rPr>
          <w:t>24</w:t>
        </w:r>
        <w:r>
          <w:rPr>
            <w:webHidden/>
          </w:rPr>
          <w:fldChar w:fldCharType="end"/>
        </w:r>
      </w:hyperlink>
    </w:p>
    <w:p w14:paraId="79BBFD53" w14:textId="77777777" w:rsidR="007E1398" w:rsidRDefault="007E1398" w:rsidP="000219E4">
      <w:pPr>
        <w:pStyle w:val="TOC1"/>
        <w:ind w:left="284" w:firstLine="0"/>
        <w:rPr>
          <w:rFonts w:asciiTheme="minorHAnsi" w:eastAsiaTheme="minorEastAsia" w:hAnsiTheme="minorHAnsi" w:cstheme="minorBidi"/>
          <w:sz w:val="22"/>
          <w:szCs w:val="22"/>
        </w:rPr>
      </w:pPr>
      <w:hyperlink w:anchor="_Toc447200197" w:history="1">
        <w:r w:rsidRPr="000464E4">
          <w:rPr>
            <w:rStyle w:val="Hyperlink"/>
          </w:rPr>
          <w:t xml:space="preserve">Appendix: Summary of </w:t>
        </w:r>
        <w:r w:rsidRPr="000464E4">
          <w:rPr>
            <w:rStyle w:val="Hyperlink"/>
            <w:i/>
          </w:rPr>
          <w:t>KA, KB, KC and KD v Commonwealth of Australia</w:t>
        </w:r>
        <w:r w:rsidRPr="000464E4">
          <w:rPr>
            <w:rStyle w:val="Hyperlink"/>
          </w:rPr>
          <w:t xml:space="preserve"> [2014] AusHRC 80</w:t>
        </w:r>
        <w:r>
          <w:rPr>
            <w:webHidden/>
          </w:rPr>
          <w:tab/>
        </w:r>
        <w:r>
          <w:rPr>
            <w:webHidden/>
          </w:rPr>
          <w:fldChar w:fldCharType="begin"/>
        </w:r>
        <w:r>
          <w:rPr>
            <w:webHidden/>
          </w:rPr>
          <w:instrText xml:space="preserve"> PAGEREF _Toc447200197 \h </w:instrText>
        </w:r>
        <w:r>
          <w:rPr>
            <w:webHidden/>
          </w:rPr>
        </w:r>
        <w:r>
          <w:rPr>
            <w:webHidden/>
          </w:rPr>
          <w:fldChar w:fldCharType="separate"/>
        </w:r>
        <w:r w:rsidR="002E7FDE">
          <w:rPr>
            <w:webHidden/>
          </w:rPr>
          <w:t>25</w:t>
        </w:r>
        <w:r>
          <w:rPr>
            <w:webHidden/>
          </w:rPr>
          <w:fldChar w:fldCharType="end"/>
        </w:r>
      </w:hyperlink>
    </w:p>
    <w:p w14:paraId="7C4F0D73" w14:textId="77777777" w:rsidR="00B34946" w:rsidRDefault="00B63D24" w:rsidP="00B63D24">
      <w:r>
        <w:fldChar w:fldCharType="end"/>
      </w:r>
      <w:bookmarkStart w:id="20" w:name="_GoBack"/>
      <w:bookmarkEnd w:id="20"/>
    </w:p>
    <w:p w14:paraId="7FC4010A" w14:textId="77777777" w:rsidR="00B34946" w:rsidRDefault="00B34946">
      <w:pPr>
        <w:spacing w:before="0" w:after="0"/>
      </w:pPr>
      <w:r>
        <w:br w:type="page"/>
      </w:r>
    </w:p>
    <w:p w14:paraId="1D68DE09" w14:textId="77777777" w:rsidR="00B34946" w:rsidRPr="001E1304" w:rsidRDefault="00B34946" w:rsidP="00280A08">
      <w:pPr>
        <w:pStyle w:val="Heading1"/>
        <w:numPr>
          <w:ilvl w:val="0"/>
          <w:numId w:val="16"/>
        </w:numPr>
      </w:pPr>
      <w:bookmarkStart w:id="21" w:name="_Toc207761830"/>
      <w:bookmarkStart w:id="22" w:name="_Toc209578266"/>
      <w:bookmarkStart w:id="23" w:name="_Toc447200174"/>
      <w:r w:rsidRPr="001E1304">
        <w:lastRenderedPageBreak/>
        <w:t>Introduction</w:t>
      </w:r>
      <w:bookmarkEnd w:id="21"/>
      <w:bookmarkEnd w:id="22"/>
      <w:bookmarkEnd w:id="23"/>
      <w:r w:rsidRPr="001E1304">
        <w:t xml:space="preserve"> </w:t>
      </w:r>
    </w:p>
    <w:p w14:paraId="5B1ACD6B" w14:textId="0DB120DD" w:rsidR="00B34946" w:rsidRDefault="00B34946" w:rsidP="00E93262">
      <w:pPr>
        <w:pStyle w:val="SubmissionNormal"/>
        <w:tabs>
          <w:tab w:val="clear" w:pos="720"/>
          <w:tab w:val="num" w:pos="567"/>
        </w:tabs>
        <w:ind w:left="567" w:hanging="567"/>
      </w:pPr>
      <w:r w:rsidRPr="00C5786C">
        <w:t>The Aust</w:t>
      </w:r>
      <w:r w:rsidR="00074319">
        <w:t>ralian Human Rights Commission</w:t>
      </w:r>
      <w:r w:rsidRPr="00C5786C">
        <w:t xml:space="preserve"> makes this submission </w:t>
      </w:r>
      <w:r w:rsidR="007F58D1">
        <w:t>to the Senate Community Affairs</w:t>
      </w:r>
      <w:r w:rsidR="00F43181">
        <w:t xml:space="preserve"> References Committee</w:t>
      </w:r>
      <w:r w:rsidR="00E44339">
        <w:t xml:space="preserve"> in its i</w:t>
      </w:r>
      <w:r w:rsidRPr="00C5786C">
        <w:t xml:space="preserve">nquiry into </w:t>
      </w:r>
      <w:r w:rsidR="007F58D1">
        <w:t>the indefinite detention of people with cognitive and psychiatric impairment in Australia</w:t>
      </w:r>
      <w:r w:rsidRPr="008A0C37">
        <w:t>.</w:t>
      </w:r>
    </w:p>
    <w:p w14:paraId="0C1BDC8A" w14:textId="77777777" w:rsidR="00B05E7C" w:rsidRDefault="000B192E" w:rsidP="000B192E">
      <w:pPr>
        <w:pStyle w:val="SubmissionNormal"/>
        <w:tabs>
          <w:tab w:val="clear" w:pos="720"/>
          <w:tab w:val="num" w:pos="567"/>
        </w:tabs>
        <w:ind w:left="567" w:hanging="567"/>
      </w:pPr>
      <w:r>
        <w:t xml:space="preserve">The Commission welcomes the Committee’s scrutiny of the systemic failures which lead to people with cognitive and/or psychiatric impairment being detained indefinitely, including in prisons, without conviction. </w:t>
      </w:r>
    </w:p>
    <w:p w14:paraId="65C031F2" w14:textId="7ECAE869" w:rsidR="000B192E" w:rsidRDefault="000B192E" w:rsidP="000B192E">
      <w:pPr>
        <w:pStyle w:val="SubmissionNormal"/>
        <w:tabs>
          <w:tab w:val="clear" w:pos="720"/>
          <w:tab w:val="num" w:pos="567"/>
        </w:tabs>
        <w:ind w:left="567" w:hanging="567"/>
      </w:pPr>
      <w:r>
        <w:t xml:space="preserve">The Commission notes that </w:t>
      </w:r>
      <w:r w:rsidRPr="00E74F4B">
        <w:rPr>
          <w:rFonts w:cs="Arial"/>
        </w:rPr>
        <w:t>the Australian Government made a commitment at the UN Universal Periodic Review in November 2015 ‘to improving the way the criminal justice system treats people with cognitive disability who are unfit to plead or found not guilty by reason of mental impairment</w:t>
      </w:r>
      <w:r w:rsidR="0036752B">
        <w:rPr>
          <w:rFonts w:cs="Arial"/>
        </w:rPr>
        <w:t>’.</w:t>
      </w:r>
      <w:r>
        <w:rPr>
          <w:rStyle w:val="EndnoteReference"/>
          <w:rFonts w:cs="Arial"/>
        </w:rPr>
        <w:endnoteReference w:id="1"/>
      </w:r>
    </w:p>
    <w:p w14:paraId="1C6E1A83" w14:textId="583B4145" w:rsidR="005853C7" w:rsidRDefault="001F73D6" w:rsidP="0021282A">
      <w:pPr>
        <w:pStyle w:val="SubmissionNormal"/>
        <w:tabs>
          <w:tab w:val="clear" w:pos="720"/>
          <w:tab w:val="num" w:pos="567"/>
        </w:tabs>
        <w:ind w:left="567" w:hanging="567"/>
      </w:pPr>
      <w:r>
        <w:t xml:space="preserve">For over 10 years the Commission has raised concerns about </w:t>
      </w:r>
      <w:r w:rsidR="00177B12">
        <w:t>the treatment of</w:t>
      </w:r>
      <w:r w:rsidR="0021282A">
        <w:t xml:space="preserve"> people with </w:t>
      </w:r>
      <w:r w:rsidR="006D5D65" w:rsidRPr="006D5D65">
        <w:t xml:space="preserve">cognitive or psychiatric </w:t>
      </w:r>
      <w:r w:rsidR="006D5D65">
        <w:t>impairment</w:t>
      </w:r>
      <w:r w:rsidR="00326563">
        <w:t xml:space="preserve"> </w:t>
      </w:r>
      <w:r>
        <w:t>who come into contact with the criminal justice system.</w:t>
      </w:r>
      <w:r w:rsidR="00063F02">
        <w:rPr>
          <w:rStyle w:val="EndnoteReference"/>
        </w:rPr>
        <w:endnoteReference w:id="2"/>
      </w:r>
      <w:r w:rsidR="00063F02">
        <w:t xml:space="preserve"> </w:t>
      </w:r>
      <w:r w:rsidR="0077235A">
        <w:t>T</w:t>
      </w:r>
      <w:r>
        <w:t xml:space="preserve">he Commission has </w:t>
      </w:r>
      <w:r w:rsidR="00176A3E">
        <w:t xml:space="preserve">placed particular focus on the </w:t>
      </w:r>
      <w:r w:rsidR="00063F02">
        <w:t xml:space="preserve">disproportionate </w:t>
      </w:r>
      <w:r w:rsidR="00176A3E">
        <w:t xml:space="preserve">number of </w:t>
      </w:r>
      <w:r>
        <w:t>Aboriginal and Torres Strait Islander people</w:t>
      </w:r>
      <w:r w:rsidR="00176A3E">
        <w:t xml:space="preserve"> </w:t>
      </w:r>
      <w:r w:rsidR="00260D87">
        <w:t>with cognitive impairment</w:t>
      </w:r>
      <w:r w:rsidR="000162CD">
        <w:t xml:space="preserve"> who are subject</w:t>
      </w:r>
      <w:r w:rsidR="00B940EB">
        <w:t>ed</w:t>
      </w:r>
      <w:r w:rsidR="000162CD">
        <w:t xml:space="preserve"> to </w:t>
      </w:r>
      <w:r w:rsidR="005515B3">
        <w:t xml:space="preserve">prolonged and indefinite </w:t>
      </w:r>
      <w:r w:rsidR="000162CD">
        <w:t>detention</w:t>
      </w:r>
      <w:r w:rsidR="005515B3">
        <w:t xml:space="preserve">. </w:t>
      </w:r>
      <w:r w:rsidR="005853C7">
        <w:t>The Commission’s previous work on this issue includes:</w:t>
      </w:r>
    </w:p>
    <w:p w14:paraId="48607730" w14:textId="77777777" w:rsidR="005853C7" w:rsidRDefault="005853C7" w:rsidP="0097067A">
      <w:pPr>
        <w:pStyle w:val="SubmissionNormal"/>
        <w:numPr>
          <w:ilvl w:val="0"/>
          <w:numId w:val="29"/>
        </w:numPr>
        <w:spacing w:before="0" w:after="120"/>
        <w:ind w:left="993" w:hanging="426"/>
      </w:pPr>
      <w:r>
        <w:rPr>
          <w:i/>
        </w:rPr>
        <w:t xml:space="preserve">Preventing Crime and Promoting Rights for Indigenous Young People with Cognitive Disabilities and Mental Health Issues </w:t>
      </w:r>
      <w:r w:rsidRPr="001F73D6">
        <w:t>(2008)</w:t>
      </w:r>
      <w:r>
        <w:rPr>
          <w:rStyle w:val="EndnoteReference"/>
        </w:rPr>
        <w:endnoteReference w:id="3"/>
      </w:r>
    </w:p>
    <w:p w14:paraId="37C93C3D" w14:textId="7EA813F2" w:rsidR="005853C7" w:rsidRDefault="0010401E" w:rsidP="0097067A">
      <w:pPr>
        <w:pStyle w:val="SubmissionNormal"/>
        <w:numPr>
          <w:ilvl w:val="0"/>
          <w:numId w:val="29"/>
        </w:numPr>
        <w:spacing w:before="0" w:after="120"/>
        <w:ind w:left="993" w:hanging="426"/>
      </w:pPr>
      <w:r>
        <w:rPr>
          <w:i/>
        </w:rPr>
        <w:t>Social Justice R</w:t>
      </w:r>
      <w:r w:rsidR="005853C7" w:rsidRPr="005E567C">
        <w:rPr>
          <w:i/>
        </w:rPr>
        <w:t>eport</w:t>
      </w:r>
      <w:r w:rsidR="005853C7">
        <w:t xml:space="preserve"> (2012)</w:t>
      </w:r>
      <w:r w:rsidR="005853C7">
        <w:rPr>
          <w:rStyle w:val="EndnoteReference"/>
        </w:rPr>
        <w:endnoteReference w:id="4"/>
      </w:r>
      <w:r w:rsidR="005853C7">
        <w:t xml:space="preserve"> (see section 1.4(b))</w:t>
      </w:r>
    </w:p>
    <w:p w14:paraId="3E18B4CB" w14:textId="77777777" w:rsidR="005853C7" w:rsidRDefault="005853C7" w:rsidP="0097067A">
      <w:pPr>
        <w:pStyle w:val="SubmissionNormal"/>
        <w:numPr>
          <w:ilvl w:val="0"/>
          <w:numId w:val="29"/>
        </w:numPr>
        <w:spacing w:before="0" w:after="120"/>
        <w:ind w:left="993" w:hanging="426"/>
      </w:pPr>
      <w:r>
        <w:rPr>
          <w:i/>
        </w:rPr>
        <w:t>Equal before the law: Towards Disability Justice S</w:t>
      </w:r>
      <w:r w:rsidRPr="00510232">
        <w:rPr>
          <w:i/>
        </w:rPr>
        <w:t>trategies</w:t>
      </w:r>
      <w:r>
        <w:t xml:space="preserve"> (2014)</w:t>
      </w:r>
      <w:r>
        <w:rPr>
          <w:rStyle w:val="EndnoteReference"/>
        </w:rPr>
        <w:endnoteReference w:id="5"/>
      </w:r>
    </w:p>
    <w:p w14:paraId="54DCB845" w14:textId="77777777" w:rsidR="005853C7" w:rsidRDefault="005853C7" w:rsidP="0097067A">
      <w:pPr>
        <w:pStyle w:val="SubmissionNormal"/>
        <w:numPr>
          <w:ilvl w:val="0"/>
          <w:numId w:val="29"/>
        </w:numPr>
        <w:spacing w:before="0" w:after="120"/>
        <w:ind w:left="993" w:hanging="426"/>
      </w:pPr>
      <w:r>
        <w:rPr>
          <w:i/>
        </w:rPr>
        <w:t xml:space="preserve">KA, KB, KC and KD v Commonwealth of Australia </w:t>
      </w:r>
      <w:r w:rsidRPr="00990A64">
        <w:t>(2014)</w:t>
      </w:r>
      <w:r>
        <w:rPr>
          <w:rStyle w:val="EndnoteReference"/>
        </w:rPr>
        <w:endnoteReference w:id="6"/>
      </w:r>
    </w:p>
    <w:p w14:paraId="3E643624" w14:textId="7FCAFE20" w:rsidR="005853C7" w:rsidRDefault="0010401E" w:rsidP="0097067A">
      <w:pPr>
        <w:pStyle w:val="SubmissionNormal"/>
        <w:numPr>
          <w:ilvl w:val="0"/>
          <w:numId w:val="29"/>
        </w:numPr>
        <w:spacing w:before="0" w:after="120"/>
        <w:ind w:left="993" w:hanging="426"/>
      </w:pPr>
      <w:r>
        <w:rPr>
          <w:i/>
        </w:rPr>
        <w:t>Social Justice R</w:t>
      </w:r>
      <w:r w:rsidR="005853C7" w:rsidRPr="00990A64">
        <w:rPr>
          <w:i/>
        </w:rPr>
        <w:t>eport</w:t>
      </w:r>
      <w:r w:rsidR="005853C7">
        <w:t xml:space="preserve"> (2015)</w:t>
      </w:r>
      <w:r w:rsidR="005853C7">
        <w:rPr>
          <w:rStyle w:val="EndnoteReference"/>
        </w:rPr>
        <w:endnoteReference w:id="7"/>
      </w:r>
      <w:r w:rsidR="005853C7">
        <w:t xml:space="preserve"> (see chapter 4)</w:t>
      </w:r>
      <w:r w:rsidR="000D4D72">
        <w:t>.</w:t>
      </w:r>
    </w:p>
    <w:p w14:paraId="7F309CF1" w14:textId="2B6DBFFB" w:rsidR="00570AFA" w:rsidRDefault="00570AFA" w:rsidP="00AD505C">
      <w:pPr>
        <w:pStyle w:val="SubmissionNormal"/>
        <w:tabs>
          <w:tab w:val="clear" w:pos="720"/>
          <w:tab w:val="num" w:pos="567"/>
        </w:tabs>
        <w:ind w:left="567" w:hanging="567"/>
      </w:pPr>
      <w:r>
        <w:t>Drawing upon this work, the Commission’s submission will focus on responding to the following terms of reference:</w:t>
      </w:r>
    </w:p>
    <w:p w14:paraId="2E476D05" w14:textId="77777777" w:rsidR="00570AFA" w:rsidRPr="000C7CE2" w:rsidRDefault="00570AFA" w:rsidP="00BD531B">
      <w:pPr>
        <w:spacing w:before="0" w:after="120"/>
        <w:ind w:left="1418" w:hanging="284"/>
        <w:rPr>
          <w:sz w:val="22"/>
          <w:szCs w:val="22"/>
        </w:rPr>
      </w:pPr>
      <w:r w:rsidRPr="000C7CE2">
        <w:rPr>
          <w:sz w:val="22"/>
          <w:szCs w:val="22"/>
        </w:rPr>
        <w:t xml:space="preserve">a. the prevalence of imprisonment and indefinite detention of individuals with cognitive and psychiatric impairment within Australia; </w:t>
      </w:r>
    </w:p>
    <w:p w14:paraId="56E47984" w14:textId="6EE455EB" w:rsidR="00570AFA" w:rsidRPr="000C7CE2" w:rsidRDefault="00570AFA" w:rsidP="00BD531B">
      <w:pPr>
        <w:spacing w:before="0" w:after="120"/>
        <w:ind w:left="1418" w:hanging="284"/>
        <w:rPr>
          <w:sz w:val="22"/>
          <w:szCs w:val="22"/>
        </w:rPr>
      </w:pPr>
      <w:proofErr w:type="gramStart"/>
      <w:r w:rsidRPr="000C7CE2">
        <w:rPr>
          <w:sz w:val="22"/>
          <w:szCs w:val="22"/>
        </w:rPr>
        <w:t>b</w:t>
      </w:r>
      <w:proofErr w:type="gramEnd"/>
      <w:r w:rsidRPr="000C7CE2">
        <w:rPr>
          <w:sz w:val="22"/>
          <w:szCs w:val="22"/>
        </w:rPr>
        <w:t xml:space="preserve">. the experiences of individuals with cognitive and psychiatric impairment who are imprisoned or detained indefinitely; </w:t>
      </w:r>
    </w:p>
    <w:p w14:paraId="161694FF" w14:textId="77777777" w:rsidR="00570AFA" w:rsidRPr="000C7CE2" w:rsidRDefault="00570AFA" w:rsidP="00BD531B">
      <w:pPr>
        <w:spacing w:before="0" w:after="120"/>
        <w:ind w:left="1418" w:hanging="284"/>
        <w:rPr>
          <w:sz w:val="22"/>
          <w:szCs w:val="22"/>
        </w:rPr>
      </w:pPr>
      <w:proofErr w:type="gramStart"/>
      <w:r w:rsidRPr="000C7CE2">
        <w:rPr>
          <w:sz w:val="22"/>
          <w:szCs w:val="22"/>
        </w:rPr>
        <w:t>d</w:t>
      </w:r>
      <w:proofErr w:type="gramEnd"/>
      <w:r w:rsidRPr="000C7CE2">
        <w:rPr>
          <w:sz w:val="22"/>
          <w:szCs w:val="22"/>
        </w:rPr>
        <w:t xml:space="preserve">. the impact of relevant Commonwealth, state and territory legislative and regulatory frameworks, including legislation enabling the detention of individuals who have been declared mentally-impaired or unfit to plead; </w:t>
      </w:r>
    </w:p>
    <w:p w14:paraId="7B5EBE85" w14:textId="77777777" w:rsidR="00570AFA" w:rsidRPr="000C7CE2" w:rsidRDefault="00570AFA" w:rsidP="00BD531B">
      <w:pPr>
        <w:spacing w:before="0" w:after="120"/>
        <w:ind w:left="1418" w:hanging="284"/>
        <w:rPr>
          <w:sz w:val="22"/>
          <w:szCs w:val="22"/>
        </w:rPr>
      </w:pPr>
      <w:r w:rsidRPr="000C7CE2">
        <w:rPr>
          <w:sz w:val="22"/>
          <w:szCs w:val="22"/>
        </w:rPr>
        <w:t xml:space="preserve">e. compliance with Australia’s human rights obligations; </w:t>
      </w:r>
    </w:p>
    <w:p w14:paraId="0D875574" w14:textId="02CF0389" w:rsidR="00570AFA" w:rsidRPr="000C7CE2" w:rsidRDefault="00570AFA" w:rsidP="00BD531B">
      <w:pPr>
        <w:spacing w:before="0" w:after="120"/>
        <w:ind w:left="1418" w:hanging="284"/>
        <w:rPr>
          <w:sz w:val="22"/>
          <w:szCs w:val="22"/>
        </w:rPr>
      </w:pPr>
      <w:r w:rsidRPr="000C7CE2">
        <w:rPr>
          <w:sz w:val="22"/>
          <w:szCs w:val="22"/>
        </w:rPr>
        <w:t xml:space="preserve">h. access to justice for people with cognitive and psychiatric impairment, including the availability of assistance and advocacy support for defendants;  </w:t>
      </w:r>
    </w:p>
    <w:p w14:paraId="1BE5EA08" w14:textId="77777777" w:rsidR="00570AFA" w:rsidRPr="000C7CE2" w:rsidRDefault="00570AFA" w:rsidP="00BD531B">
      <w:pPr>
        <w:spacing w:before="0" w:after="120"/>
        <w:ind w:left="1418" w:hanging="284"/>
        <w:rPr>
          <w:sz w:val="22"/>
          <w:szCs w:val="22"/>
        </w:rPr>
      </w:pPr>
      <w:r w:rsidRPr="000C7CE2">
        <w:rPr>
          <w:sz w:val="22"/>
          <w:szCs w:val="22"/>
        </w:rPr>
        <w:t>n. the prevalence and impact of indefinite detention of individuals with cognitive and psychiatric impairment from Aboriginal and Torres Strait Islander and culturally and linguistically diverse backgrounds, including the use of culturally appropriate responses.</w:t>
      </w:r>
    </w:p>
    <w:p w14:paraId="1535B769" w14:textId="2A2E0940" w:rsidR="00570AFA" w:rsidRPr="00863638" w:rsidRDefault="00570AFA" w:rsidP="003D1600">
      <w:pPr>
        <w:pStyle w:val="SubmissionNormal"/>
        <w:tabs>
          <w:tab w:val="clear" w:pos="720"/>
          <w:tab w:val="num" w:pos="567"/>
        </w:tabs>
        <w:ind w:left="567" w:hanging="567"/>
      </w:pPr>
      <w:r w:rsidRPr="00863638">
        <w:t xml:space="preserve">The Commission will not be commenting in this submission about the indefinite detention of people with cognitive or psychiatric impairment through ‘civil’ </w:t>
      </w:r>
      <w:r w:rsidRPr="00863638">
        <w:lastRenderedPageBreak/>
        <w:t>confinement, as involuntary patients under mental health legislation (without any contact with criminal justice system).</w:t>
      </w:r>
    </w:p>
    <w:p w14:paraId="0920F732" w14:textId="1EC60CA8" w:rsidR="00570AFA" w:rsidRPr="00323DA5" w:rsidRDefault="00570AFA" w:rsidP="00280A08">
      <w:pPr>
        <w:pStyle w:val="Heading1"/>
        <w:numPr>
          <w:ilvl w:val="0"/>
          <w:numId w:val="16"/>
        </w:numPr>
      </w:pPr>
      <w:bookmarkStart w:id="24" w:name="_Toc162769290"/>
      <w:bookmarkStart w:id="25" w:name="_Toc207761831"/>
      <w:bookmarkStart w:id="26" w:name="_Toc209578267"/>
      <w:bookmarkStart w:id="27" w:name="_Toc447200175"/>
      <w:r w:rsidRPr="00323DA5">
        <w:t>Summary</w:t>
      </w:r>
      <w:bookmarkEnd w:id="24"/>
      <w:bookmarkEnd w:id="25"/>
      <w:bookmarkEnd w:id="26"/>
      <w:bookmarkEnd w:id="27"/>
    </w:p>
    <w:p w14:paraId="7686F2B9" w14:textId="604CDAC2" w:rsidR="00F84676" w:rsidRPr="00F84676" w:rsidRDefault="00EF3F65" w:rsidP="00EF3F65">
      <w:pPr>
        <w:pStyle w:val="SubmissionNormal"/>
        <w:tabs>
          <w:tab w:val="clear" w:pos="720"/>
          <w:tab w:val="num" w:pos="567"/>
        </w:tabs>
        <w:ind w:left="567" w:hanging="567"/>
      </w:pPr>
      <w:r>
        <w:t xml:space="preserve">Under current laws and practices in Australia, </w:t>
      </w:r>
      <w:r w:rsidRPr="00EF3F65">
        <w:rPr>
          <w:rFonts w:cs="Arial"/>
        </w:rPr>
        <w:t>p</w:t>
      </w:r>
      <w:r w:rsidR="00570AFA" w:rsidRPr="00EF3F65">
        <w:rPr>
          <w:rFonts w:cs="Arial"/>
        </w:rPr>
        <w:t xml:space="preserve">eople with cognitive and/or psychiatric impairment </w:t>
      </w:r>
      <w:r>
        <w:rPr>
          <w:rFonts w:cs="Arial"/>
        </w:rPr>
        <w:t xml:space="preserve">who are </w:t>
      </w:r>
      <w:r w:rsidR="00570AFA" w:rsidRPr="00EF3F65">
        <w:rPr>
          <w:rFonts w:cs="Arial"/>
        </w:rPr>
        <w:t>charged with a crime, but found not guilty or ‘unfit to stand tri</w:t>
      </w:r>
      <w:r w:rsidR="006B20A9">
        <w:rPr>
          <w:rFonts w:cs="Arial"/>
        </w:rPr>
        <w:t xml:space="preserve">al’ because of </w:t>
      </w:r>
      <w:r>
        <w:rPr>
          <w:rFonts w:cs="Arial"/>
        </w:rPr>
        <w:t xml:space="preserve">impairment, may </w:t>
      </w:r>
      <w:r w:rsidR="00570AFA" w:rsidRPr="00EF3F65">
        <w:rPr>
          <w:rFonts w:cs="Arial"/>
        </w:rPr>
        <w:t>be detained for i</w:t>
      </w:r>
      <w:r w:rsidR="00C223EE">
        <w:rPr>
          <w:rFonts w:cs="Arial"/>
        </w:rPr>
        <w:t>ndefinite and prolonged periods. In practical terms, this has meant detention for</w:t>
      </w:r>
      <w:r w:rsidR="00570AFA" w:rsidRPr="00EF3F65">
        <w:rPr>
          <w:rFonts w:cs="Arial"/>
        </w:rPr>
        <w:t xml:space="preserve"> longer than if they had been </w:t>
      </w:r>
      <w:bookmarkStart w:id="28" w:name="_Toc443048148"/>
      <w:r>
        <w:rPr>
          <w:rFonts w:cs="Arial"/>
        </w:rPr>
        <w:t>convicted.</w:t>
      </w:r>
      <w:r w:rsidR="0019342C">
        <w:rPr>
          <w:rFonts w:cs="Arial"/>
        </w:rPr>
        <w:t xml:space="preserve"> A disproportionate number of </w:t>
      </w:r>
      <w:r w:rsidR="003107DF">
        <w:rPr>
          <w:rFonts w:cs="Arial"/>
        </w:rPr>
        <w:t xml:space="preserve">the </w:t>
      </w:r>
      <w:r w:rsidR="0019342C">
        <w:rPr>
          <w:rFonts w:cs="Arial"/>
        </w:rPr>
        <w:t xml:space="preserve">people who </w:t>
      </w:r>
      <w:r w:rsidR="003107DF">
        <w:rPr>
          <w:rFonts w:cs="Arial"/>
        </w:rPr>
        <w:t xml:space="preserve">are indefinitely detained </w:t>
      </w:r>
      <w:r w:rsidR="0019342C">
        <w:rPr>
          <w:rFonts w:cs="Arial"/>
        </w:rPr>
        <w:t>are Aboriginal and Torres Strait Islander people.</w:t>
      </w:r>
    </w:p>
    <w:p w14:paraId="65AD6B6D" w14:textId="1B974A41" w:rsidR="00570AFA" w:rsidRPr="007D49D4" w:rsidRDefault="008258B7" w:rsidP="008310BA">
      <w:pPr>
        <w:pStyle w:val="SubmissionNormal"/>
        <w:tabs>
          <w:tab w:val="clear" w:pos="720"/>
          <w:tab w:val="num" w:pos="567"/>
        </w:tabs>
        <w:spacing w:before="0" w:after="120"/>
        <w:ind w:left="567" w:hanging="567"/>
      </w:pPr>
      <w:r>
        <w:rPr>
          <w:rFonts w:cs="Arial"/>
        </w:rPr>
        <w:t xml:space="preserve">People with cognitive and/or psychiatric impairment end up in indefinite detention </w:t>
      </w:r>
      <w:r w:rsidR="00AC7E11">
        <w:rPr>
          <w:rFonts w:cs="Arial"/>
        </w:rPr>
        <w:t>due to</w:t>
      </w:r>
      <w:r w:rsidR="000A08C2">
        <w:rPr>
          <w:rFonts w:cs="Arial"/>
        </w:rPr>
        <w:t xml:space="preserve"> a series of systemic failures:</w:t>
      </w:r>
    </w:p>
    <w:p w14:paraId="14FF8074" w14:textId="1F83B534" w:rsidR="007D49D4" w:rsidRPr="00AC7E11" w:rsidRDefault="007D49D4" w:rsidP="008310BA">
      <w:pPr>
        <w:pStyle w:val="SubmissionNormal"/>
        <w:numPr>
          <w:ilvl w:val="0"/>
          <w:numId w:val="31"/>
        </w:numPr>
        <w:spacing w:before="0" w:after="120"/>
        <w:ind w:left="851" w:hanging="284"/>
      </w:pPr>
      <w:r>
        <w:t xml:space="preserve">they are not provided with </w:t>
      </w:r>
      <w:r w:rsidR="00424451">
        <w:t xml:space="preserve">culturally </w:t>
      </w:r>
      <w:r w:rsidRPr="00177A27">
        <w:t>appropriate supports and services in the community to</w:t>
      </w:r>
      <w:r>
        <w:t xml:space="preserve"> avoid</w:t>
      </w:r>
      <w:r w:rsidRPr="00177A27">
        <w:t xml:space="preserve"> socio-economic disadvantage, which can lead to offending behaviour</w:t>
      </w:r>
    </w:p>
    <w:p w14:paraId="28EF9C36" w14:textId="77777777" w:rsidR="007D49D4" w:rsidRPr="00177A27" w:rsidRDefault="007D49D4" w:rsidP="008310BA">
      <w:pPr>
        <w:pStyle w:val="SubmissionNormal"/>
        <w:numPr>
          <w:ilvl w:val="0"/>
          <w:numId w:val="31"/>
        </w:numPr>
        <w:spacing w:before="0" w:after="120"/>
        <w:ind w:left="851" w:hanging="284"/>
      </w:pPr>
      <w:r>
        <w:t xml:space="preserve">if they come into contact with the criminal justice system, they are not provided with adequate support and adjustments to enable them to effectively participate in that system </w:t>
      </w:r>
    </w:p>
    <w:p w14:paraId="0B4894B1" w14:textId="61153E8D" w:rsidR="007D49D4" w:rsidRPr="00A6269A" w:rsidRDefault="007D49D4" w:rsidP="008310BA">
      <w:pPr>
        <w:pStyle w:val="SubmissionNormal"/>
        <w:numPr>
          <w:ilvl w:val="0"/>
          <w:numId w:val="31"/>
        </w:numPr>
        <w:spacing w:before="0" w:after="120"/>
        <w:ind w:left="851" w:hanging="284"/>
      </w:pPr>
      <w:r>
        <w:t>if they are deemed ‘unfit t</w:t>
      </w:r>
      <w:r w:rsidR="00E115D9">
        <w:t xml:space="preserve">o stand trial’ because of </w:t>
      </w:r>
      <w:r>
        <w:t>impairment, they are locked out from the usual criminal trial process (which contains fair trial guarantees and safeguards against arbitrary and indefinite detention)</w:t>
      </w:r>
    </w:p>
    <w:p w14:paraId="7A7D124E" w14:textId="0CEBA253" w:rsidR="007D49D4" w:rsidRPr="00F64221" w:rsidRDefault="006F6F88" w:rsidP="008310BA">
      <w:pPr>
        <w:pStyle w:val="SubmissionNormal"/>
        <w:numPr>
          <w:ilvl w:val="0"/>
          <w:numId w:val="31"/>
        </w:numPr>
        <w:spacing w:before="0" w:after="120"/>
        <w:ind w:left="851" w:hanging="284"/>
      </w:pPr>
      <w:r>
        <w:t xml:space="preserve">despite the fact they have not been convicted of any crime, </w:t>
      </w:r>
      <w:r w:rsidR="007D49D4">
        <w:t>people found unfit to stand trial or not guilty by reason of mental impairment can be subjected to detention orders</w:t>
      </w:r>
      <w:r w:rsidR="00C7462B">
        <w:t>,</w:t>
      </w:r>
      <w:r w:rsidR="007D49D4">
        <w:t xml:space="preserve"> with no set end date </w:t>
      </w:r>
    </w:p>
    <w:p w14:paraId="5E0557F0" w14:textId="279AA6ED" w:rsidR="007D49D4" w:rsidRPr="00040C51" w:rsidRDefault="007D49D4" w:rsidP="008310BA">
      <w:pPr>
        <w:pStyle w:val="SubmissionNormal"/>
        <w:numPr>
          <w:ilvl w:val="0"/>
          <w:numId w:val="31"/>
        </w:numPr>
        <w:spacing w:before="0" w:after="120"/>
        <w:ind w:left="851" w:hanging="284"/>
      </w:pPr>
      <w:r>
        <w:t>due to the lac</w:t>
      </w:r>
      <w:r w:rsidR="00171FDB">
        <w:t xml:space="preserve">k of appropriate facilities, services and </w:t>
      </w:r>
      <w:r>
        <w:t>resources to facilitate their rehabilitation, people subjected to these detention orders are detained for long periods in high security correctional facilities.</w:t>
      </w:r>
    </w:p>
    <w:p w14:paraId="0D47C1B0" w14:textId="6635A388" w:rsidR="00516F24" w:rsidRPr="00516F24" w:rsidRDefault="00040C51" w:rsidP="005911CD">
      <w:pPr>
        <w:pStyle w:val="SubmissionNormal"/>
        <w:tabs>
          <w:tab w:val="clear" w:pos="720"/>
          <w:tab w:val="num" w:pos="567"/>
        </w:tabs>
        <w:ind w:left="567" w:hanging="567"/>
      </w:pPr>
      <w:r>
        <w:rPr>
          <w:rFonts w:cs="Arial"/>
        </w:rPr>
        <w:t xml:space="preserve">These </w:t>
      </w:r>
      <w:r w:rsidR="00E62F6D">
        <w:rPr>
          <w:rFonts w:cs="Arial"/>
        </w:rPr>
        <w:t>are failures in</w:t>
      </w:r>
      <w:r w:rsidR="00570AFA" w:rsidRPr="00040C51">
        <w:rPr>
          <w:rFonts w:cs="Arial"/>
        </w:rPr>
        <w:t xml:space="preserve"> Australia’s obligations under the </w:t>
      </w:r>
      <w:r w:rsidR="00570AFA" w:rsidRPr="00E62F6D">
        <w:rPr>
          <w:rFonts w:cs="Arial"/>
          <w:i/>
        </w:rPr>
        <w:t>Co</w:t>
      </w:r>
      <w:r w:rsidR="00981658" w:rsidRPr="00E62F6D">
        <w:rPr>
          <w:rFonts w:cs="Arial"/>
          <w:i/>
        </w:rPr>
        <w:t>nvention on the Rights of Persons</w:t>
      </w:r>
      <w:r w:rsidR="00570AFA" w:rsidRPr="00E62F6D">
        <w:rPr>
          <w:rFonts w:cs="Arial"/>
          <w:i/>
        </w:rPr>
        <w:t xml:space="preserve"> with Disability</w:t>
      </w:r>
      <w:r w:rsidR="00CD2CC2">
        <w:rPr>
          <w:rFonts w:cs="Arial"/>
          <w:i/>
        </w:rPr>
        <w:t xml:space="preserve"> </w:t>
      </w:r>
      <w:r w:rsidR="00CD2CC2" w:rsidRPr="00CD2CC2">
        <w:rPr>
          <w:rFonts w:cs="Arial"/>
        </w:rPr>
        <w:t>(Disability Convention)</w:t>
      </w:r>
      <w:r w:rsidR="00570AFA" w:rsidRPr="00CD2CC2">
        <w:rPr>
          <w:rFonts w:cs="Arial"/>
        </w:rPr>
        <w:t>.</w:t>
      </w:r>
      <w:r w:rsidR="008E4779" w:rsidRPr="00CD2CC2">
        <w:rPr>
          <w:rStyle w:val="EndnoteReference"/>
          <w:rFonts w:cs="Arial"/>
        </w:rPr>
        <w:endnoteReference w:id="8"/>
      </w:r>
      <w:r w:rsidR="00570AFA" w:rsidRPr="00040C51">
        <w:rPr>
          <w:rFonts w:cs="Arial"/>
        </w:rPr>
        <w:t xml:space="preserve"> </w:t>
      </w:r>
      <w:r w:rsidR="00E62F6D">
        <w:rPr>
          <w:rFonts w:cs="Arial"/>
        </w:rPr>
        <w:t xml:space="preserve">That Convention requires that people with cognitive and psychiatric impairment </w:t>
      </w:r>
      <w:r w:rsidR="00C216D0">
        <w:rPr>
          <w:rFonts w:cs="Arial"/>
        </w:rPr>
        <w:t xml:space="preserve">be supported to effectively participate in the criminal justice processes which apply to everyone else. </w:t>
      </w:r>
    </w:p>
    <w:p w14:paraId="647EADBD" w14:textId="32CF72FF" w:rsidR="00570AFA" w:rsidRDefault="000A08C2" w:rsidP="005911CD">
      <w:pPr>
        <w:pStyle w:val="SubmissionNormal"/>
        <w:tabs>
          <w:tab w:val="clear" w:pos="720"/>
          <w:tab w:val="num" w:pos="567"/>
        </w:tabs>
        <w:ind w:left="567" w:hanging="567"/>
      </w:pPr>
      <w:r>
        <w:rPr>
          <w:rFonts w:cs="Arial"/>
        </w:rPr>
        <w:t xml:space="preserve">People with </w:t>
      </w:r>
      <w:r w:rsidR="00A668F6">
        <w:rPr>
          <w:rFonts w:cs="Arial"/>
        </w:rPr>
        <w:t xml:space="preserve">severe </w:t>
      </w:r>
      <w:r>
        <w:rPr>
          <w:rFonts w:cs="Arial"/>
        </w:rPr>
        <w:t>cognitive and/or psychiatric impairment</w:t>
      </w:r>
      <w:r w:rsidR="005911CD">
        <w:t xml:space="preserve"> </w:t>
      </w:r>
      <w:r w:rsidR="003D6890">
        <w:t xml:space="preserve">must not be disadvantaged </w:t>
      </w:r>
      <w:r w:rsidR="00C223EE">
        <w:t xml:space="preserve">as a result of not being able to </w:t>
      </w:r>
      <w:r w:rsidR="003D6890">
        <w:t>participate in the cour</w:t>
      </w:r>
      <w:r>
        <w:t xml:space="preserve">t process. They </w:t>
      </w:r>
      <w:r w:rsidR="003D6890">
        <w:t>must not be deprived of their lib</w:t>
      </w:r>
      <w:r w:rsidR="00102CA1">
        <w:t>erty arbitrarily, including</w:t>
      </w:r>
      <w:r w:rsidR="006931B4">
        <w:t xml:space="preserve"> </w:t>
      </w:r>
      <w:r w:rsidR="004812AE">
        <w:t xml:space="preserve">through </w:t>
      </w:r>
      <w:r w:rsidR="003D6890">
        <w:t>process</w:t>
      </w:r>
      <w:r w:rsidR="006931B4">
        <w:t>es that do</w:t>
      </w:r>
      <w:r w:rsidR="003D6890">
        <w:t xml:space="preserve"> not contain the s</w:t>
      </w:r>
      <w:r w:rsidR="00C925ED">
        <w:t>ame protections</w:t>
      </w:r>
      <w:r w:rsidR="003D6890">
        <w:t xml:space="preserve"> that people without </w:t>
      </w:r>
      <w:r w:rsidR="003D6890" w:rsidRPr="00C216D0">
        <w:rPr>
          <w:rFonts w:cs="Arial"/>
        </w:rPr>
        <w:t>disability</w:t>
      </w:r>
      <w:r w:rsidR="003D6890">
        <w:t xml:space="preserve"> enjoy.</w:t>
      </w:r>
      <w:r w:rsidR="00234EAE">
        <w:t xml:space="preserve"> Article 14(2) of the </w:t>
      </w:r>
      <w:r w:rsidR="00CD2CC2">
        <w:t xml:space="preserve">Disability </w:t>
      </w:r>
      <w:r w:rsidR="00234EAE">
        <w:t xml:space="preserve">Convention </w:t>
      </w:r>
      <w:r w:rsidR="00E5043B">
        <w:t xml:space="preserve">requires States Parties to ensure that: </w:t>
      </w:r>
    </w:p>
    <w:p w14:paraId="1864FF7B" w14:textId="4B4DCD52" w:rsidR="00234EAE" w:rsidRPr="0005532A" w:rsidRDefault="00234EAE" w:rsidP="0005532A">
      <w:pPr>
        <w:pStyle w:val="SubmissionNormal"/>
        <w:numPr>
          <w:ilvl w:val="0"/>
          <w:numId w:val="0"/>
        </w:numPr>
        <w:ind w:left="1276"/>
        <w:rPr>
          <w:rFonts w:cs="Arial"/>
          <w:sz w:val="22"/>
          <w:szCs w:val="22"/>
        </w:rPr>
      </w:pPr>
      <w:proofErr w:type="gramStart"/>
      <w:r w:rsidRPr="00E5043B">
        <w:rPr>
          <w:rFonts w:cs="Arial"/>
          <w:sz w:val="22"/>
          <w:szCs w:val="22"/>
        </w:rPr>
        <w:t>if</w:t>
      </w:r>
      <w:proofErr w:type="gramEnd"/>
      <w:r w:rsidRPr="00E5043B">
        <w:rPr>
          <w:rFonts w:cs="Arial"/>
          <w:sz w:val="22"/>
          <w:szCs w:val="22"/>
        </w:rPr>
        <w:t xml:space="preserve"> persons with disabilities are deprived of their liberty through any process, they are, on an equal basis with others, entitled to guarantees in accordance with international human rights law and shall be treated in compliance with the objectives and principles of this Convention, including by provision of reasonable accommodation.</w:t>
      </w:r>
      <w:r w:rsidR="00E5043B" w:rsidRPr="00E5043B">
        <w:rPr>
          <w:rStyle w:val="EndnoteReference"/>
          <w:rFonts w:cs="Arial"/>
        </w:rPr>
        <w:t xml:space="preserve"> </w:t>
      </w:r>
      <w:r w:rsidR="00E5043B" w:rsidRPr="00DE56C0">
        <w:rPr>
          <w:rStyle w:val="EndnoteReference"/>
          <w:rFonts w:cs="Arial"/>
        </w:rPr>
        <w:endnoteReference w:id="9"/>
      </w:r>
    </w:p>
    <w:p w14:paraId="78679553" w14:textId="6F103BCB" w:rsidR="00102CA1" w:rsidRDefault="007D240E" w:rsidP="00BD328B">
      <w:pPr>
        <w:pStyle w:val="SubmissionNormal"/>
        <w:tabs>
          <w:tab w:val="clear" w:pos="720"/>
          <w:tab w:val="num" w:pos="567"/>
        </w:tabs>
        <w:spacing w:before="0" w:after="120"/>
        <w:ind w:left="567" w:hanging="567"/>
      </w:pPr>
      <w:r>
        <w:lastRenderedPageBreak/>
        <w:t xml:space="preserve">In light of the </w:t>
      </w:r>
      <w:r w:rsidR="003F5323">
        <w:t xml:space="preserve">obligations in the </w:t>
      </w:r>
      <w:r w:rsidR="00D3642A">
        <w:t xml:space="preserve">Disability </w:t>
      </w:r>
      <w:r>
        <w:t xml:space="preserve">Convention, </w:t>
      </w:r>
      <w:r w:rsidR="00102CA1">
        <w:t xml:space="preserve">the Commission </w:t>
      </w:r>
      <w:r>
        <w:t>is specifically concerned that:</w:t>
      </w:r>
    </w:p>
    <w:p w14:paraId="226B97C4" w14:textId="2C5E8563" w:rsidR="00570AFA" w:rsidRPr="00BD328B" w:rsidRDefault="00570AFA" w:rsidP="00BD328B">
      <w:pPr>
        <w:pStyle w:val="ListParagraph"/>
        <w:numPr>
          <w:ilvl w:val="0"/>
          <w:numId w:val="27"/>
        </w:numPr>
        <w:autoSpaceDE w:val="0"/>
        <w:autoSpaceDN w:val="0"/>
        <w:adjustRightInd w:val="0"/>
        <w:spacing w:before="0" w:after="120"/>
        <w:ind w:left="851" w:hanging="284"/>
        <w:contextualSpacing w:val="0"/>
        <w:rPr>
          <w:rFonts w:cs="Archer Book"/>
          <w:color w:val="000000"/>
          <w:sz w:val="20"/>
          <w:szCs w:val="20"/>
        </w:rPr>
      </w:pPr>
      <w:r>
        <w:t xml:space="preserve">The lack of support and procedural accommodations </w:t>
      </w:r>
      <w:r w:rsidR="00884BB4">
        <w:t xml:space="preserve">provided in the criminal </w:t>
      </w:r>
      <w:r w:rsidR="009A01E7">
        <w:t xml:space="preserve">justice </w:t>
      </w:r>
      <w:r w:rsidR="00884BB4">
        <w:t xml:space="preserve">process, </w:t>
      </w:r>
      <w:r>
        <w:t>and the current tests for unfitness to stand trial</w:t>
      </w:r>
      <w:r w:rsidR="00884BB4">
        <w:t>,</w:t>
      </w:r>
      <w:r>
        <w:t xml:space="preserve"> are contrary to the obligation</w:t>
      </w:r>
      <w:r w:rsidR="00884BB4">
        <w:t>s</w:t>
      </w:r>
      <w:r>
        <w:t xml:space="preserve"> to recognise the legal capacity of people with disability, and ensure they h</w:t>
      </w:r>
      <w:r w:rsidR="00FC1D62">
        <w:t>ave effective access to justice</w:t>
      </w:r>
      <w:r w:rsidR="00884BB4">
        <w:t>.</w:t>
      </w:r>
      <w:r w:rsidR="00563992">
        <w:rPr>
          <w:rStyle w:val="EndnoteReference"/>
        </w:rPr>
        <w:endnoteReference w:id="10"/>
      </w:r>
    </w:p>
    <w:p w14:paraId="70C036E0" w14:textId="064C1C30" w:rsidR="00563992" w:rsidRPr="00BD328B" w:rsidRDefault="00E2119D" w:rsidP="00BD328B">
      <w:pPr>
        <w:pStyle w:val="ListParagraph"/>
        <w:numPr>
          <w:ilvl w:val="0"/>
          <w:numId w:val="27"/>
        </w:numPr>
        <w:autoSpaceDE w:val="0"/>
        <w:autoSpaceDN w:val="0"/>
        <w:adjustRightInd w:val="0"/>
        <w:spacing w:before="0" w:after="120"/>
        <w:ind w:left="851" w:hanging="284"/>
        <w:contextualSpacing w:val="0"/>
        <w:rPr>
          <w:rFonts w:cs="Archer Book"/>
          <w:color w:val="000000"/>
          <w:sz w:val="20"/>
          <w:szCs w:val="20"/>
        </w:rPr>
      </w:pPr>
      <w:r>
        <w:t xml:space="preserve">The special hearings </w:t>
      </w:r>
      <w:r w:rsidR="00570AFA">
        <w:t xml:space="preserve">people with cognitive and/or psychiatric impairment are subject to in some jurisdictions </w:t>
      </w:r>
      <w:bookmarkEnd w:id="28"/>
      <w:r w:rsidR="00570AFA">
        <w:t xml:space="preserve">may </w:t>
      </w:r>
      <w:r w:rsidR="007D240E">
        <w:t>be contrary to the</w:t>
      </w:r>
      <w:r w:rsidR="00570AFA">
        <w:t xml:space="preserve"> right to </w:t>
      </w:r>
      <w:r w:rsidR="007D240E" w:rsidRPr="007D240E">
        <w:rPr>
          <w:rFonts w:cs="Arial"/>
        </w:rPr>
        <w:t>a fair trial</w:t>
      </w:r>
      <w:r w:rsidR="00884BB4">
        <w:rPr>
          <w:rFonts w:cs="Arial"/>
        </w:rPr>
        <w:t>.</w:t>
      </w:r>
      <w:r w:rsidR="00563992">
        <w:rPr>
          <w:rStyle w:val="EndnoteReference"/>
          <w:rFonts w:cs="Arial"/>
        </w:rPr>
        <w:endnoteReference w:id="11"/>
      </w:r>
    </w:p>
    <w:p w14:paraId="4754B6DC" w14:textId="0D14E3F6" w:rsidR="00563992" w:rsidRPr="00BD328B" w:rsidRDefault="00563992" w:rsidP="00BD328B">
      <w:pPr>
        <w:pStyle w:val="ListParagraph"/>
        <w:numPr>
          <w:ilvl w:val="0"/>
          <w:numId w:val="27"/>
        </w:numPr>
        <w:autoSpaceDE w:val="0"/>
        <w:autoSpaceDN w:val="0"/>
        <w:adjustRightInd w:val="0"/>
        <w:spacing w:before="0" w:after="120"/>
        <w:ind w:left="851" w:hanging="284"/>
        <w:contextualSpacing w:val="0"/>
        <w:rPr>
          <w:rFonts w:eastAsia="Times New Roman" w:cs="Arial"/>
        </w:rPr>
      </w:pPr>
      <w:r w:rsidRPr="007D240E">
        <w:rPr>
          <w:rFonts w:eastAsia="Times New Roman" w:cs="Arial"/>
        </w:rPr>
        <w:t>The lack of appropriate</w:t>
      </w:r>
      <w:r>
        <w:rPr>
          <w:rFonts w:eastAsia="Times New Roman" w:cs="Arial"/>
        </w:rPr>
        <w:t xml:space="preserve"> and effective</w:t>
      </w:r>
      <w:r w:rsidRPr="007D240E">
        <w:rPr>
          <w:rFonts w:eastAsia="Times New Roman" w:cs="Arial"/>
        </w:rPr>
        <w:t xml:space="preserve"> limits on </w:t>
      </w:r>
      <w:r>
        <w:rPr>
          <w:rFonts w:eastAsia="Times New Roman" w:cs="Arial"/>
        </w:rPr>
        <w:t xml:space="preserve">the </w:t>
      </w:r>
      <w:r>
        <w:t>detention orders made against people found unfit to stand trial or not guilty by reason of mental impairme</w:t>
      </w:r>
      <w:r w:rsidR="00C34EDE">
        <w:t xml:space="preserve">nt are contrary to the right </w:t>
      </w:r>
      <w:r>
        <w:t xml:space="preserve">not </w:t>
      </w:r>
      <w:r w:rsidR="00C34EDE">
        <w:t xml:space="preserve">to </w:t>
      </w:r>
      <w:r>
        <w:t>be detained arbitrar</w:t>
      </w:r>
      <w:r w:rsidR="009C609A">
        <w:t>il</w:t>
      </w:r>
      <w:r>
        <w:t>y.</w:t>
      </w:r>
      <w:r>
        <w:rPr>
          <w:rStyle w:val="EndnoteReference"/>
        </w:rPr>
        <w:endnoteReference w:id="12"/>
      </w:r>
    </w:p>
    <w:p w14:paraId="48ABA8B4" w14:textId="64E502A4" w:rsidR="00563992" w:rsidRPr="00167E21" w:rsidRDefault="00563992" w:rsidP="00BD328B">
      <w:pPr>
        <w:pStyle w:val="ListParagraph"/>
        <w:numPr>
          <w:ilvl w:val="0"/>
          <w:numId w:val="27"/>
        </w:numPr>
        <w:autoSpaceDE w:val="0"/>
        <w:autoSpaceDN w:val="0"/>
        <w:adjustRightInd w:val="0"/>
        <w:spacing w:before="0" w:after="120"/>
        <w:ind w:left="851" w:hanging="284"/>
        <w:contextualSpacing w:val="0"/>
        <w:rPr>
          <w:rFonts w:eastAsia="Times New Roman" w:cs="Arial"/>
        </w:rPr>
      </w:pPr>
      <w:r w:rsidRPr="007D240E">
        <w:rPr>
          <w:rFonts w:eastAsia="Times New Roman" w:cs="Arial"/>
        </w:rPr>
        <w:t xml:space="preserve">The detention </w:t>
      </w:r>
      <w:r w:rsidR="00BD328B">
        <w:rPr>
          <w:rFonts w:eastAsia="Times New Roman" w:cs="Arial"/>
        </w:rPr>
        <w:t xml:space="preserve">in prisons </w:t>
      </w:r>
      <w:r w:rsidRPr="007D240E">
        <w:rPr>
          <w:rFonts w:eastAsia="Times New Roman" w:cs="Arial"/>
        </w:rPr>
        <w:t xml:space="preserve">of people with cognitive and/or psychiatric impairment who have not been convicted is inappropriate and contrary to their right to health, habilitation and </w:t>
      </w:r>
      <w:r w:rsidRPr="00167E21">
        <w:rPr>
          <w:rFonts w:eastAsia="Times New Roman" w:cs="Arial"/>
        </w:rPr>
        <w:t>rehabilitation, and may expose them to cruel, inhuman or degrading treatment.</w:t>
      </w:r>
      <w:r>
        <w:rPr>
          <w:rStyle w:val="EndnoteReference"/>
          <w:rFonts w:eastAsia="Times New Roman" w:cs="Arial"/>
        </w:rPr>
        <w:endnoteReference w:id="13"/>
      </w:r>
    </w:p>
    <w:p w14:paraId="46EA6324" w14:textId="75CCF47A" w:rsidR="008E4779" w:rsidRPr="00040C51" w:rsidRDefault="00675C83" w:rsidP="00A20C86">
      <w:pPr>
        <w:pStyle w:val="SubmissionNormal"/>
        <w:tabs>
          <w:tab w:val="clear" w:pos="720"/>
          <w:tab w:val="num" w:pos="567"/>
        </w:tabs>
        <w:spacing w:before="0" w:after="120"/>
        <w:ind w:left="567" w:hanging="567"/>
        <w:rPr>
          <w:rFonts w:cs="Arial"/>
        </w:rPr>
      </w:pPr>
      <w:r>
        <w:rPr>
          <w:rFonts w:cs="Arial"/>
        </w:rPr>
        <w:t>A</w:t>
      </w:r>
      <w:r w:rsidR="00884BB4">
        <w:rPr>
          <w:rFonts w:cs="Arial"/>
        </w:rPr>
        <w:t>ction</w:t>
      </w:r>
      <w:r w:rsidR="00570AFA">
        <w:rPr>
          <w:rFonts w:cs="Arial"/>
        </w:rPr>
        <w:t xml:space="preserve"> </w:t>
      </w:r>
      <w:r w:rsidR="00884BB4">
        <w:rPr>
          <w:rFonts w:cs="Arial"/>
        </w:rPr>
        <w:t xml:space="preserve">is needed </w:t>
      </w:r>
      <w:r w:rsidR="00570AFA">
        <w:rPr>
          <w:rFonts w:cs="Arial"/>
        </w:rPr>
        <w:t>at multiple levels to address the systemic failures which are resulting in people with cognitive and/or psychiatric impairment being denied effect</w:t>
      </w:r>
      <w:r w:rsidR="00314BDB">
        <w:rPr>
          <w:rFonts w:cs="Arial"/>
        </w:rPr>
        <w:t xml:space="preserve">ive access to justice </w:t>
      </w:r>
      <w:r w:rsidR="00B87CAE">
        <w:rPr>
          <w:rFonts w:cs="Arial"/>
        </w:rPr>
        <w:t xml:space="preserve">and </w:t>
      </w:r>
      <w:r w:rsidR="00570AFA">
        <w:rPr>
          <w:rFonts w:cs="Arial"/>
        </w:rPr>
        <w:t>detained indefinitely</w:t>
      </w:r>
      <w:r w:rsidR="00314BDB">
        <w:rPr>
          <w:rFonts w:cs="Arial"/>
        </w:rPr>
        <w:t xml:space="preserve">. The Commission </w:t>
      </w:r>
      <w:r w:rsidR="00884BB4">
        <w:rPr>
          <w:rFonts w:cs="Arial"/>
        </w:rPr>
        <w:t xml:space="preserve">recommends a number of actions </w:t>
      </w:r>
      <w:r w:rsidR="00FC1D62">
        <w:rPr>
          <w:rFonts w:cs="Arial"/>
        </w:rPr>
        <w:t xml:space="preserve">designed </w:t>
      </w:r>
      <w:bookmarkStart w:id="29" w:name="_Toc162769291"/>
      <w:bookmarkStart w:id="30" w:name="_Toc207761832"/>
      <w:bookmarkStart w:id="31" w:name="_Toc209578268"/>
      <w:r w:rsidR="008E4779">
        <w:rPr>
          <w:rFonts w:cs="Arial"/>
        </w:rPr>
        <w:t xml:space="preserve">to ensure that people with cognitive and/or psychiatric impairment:  </w:t>
      </w:r>
    </w:p>
    <w:p w14:paraId="28EA3B50" w14:textId="548CFF54" w:rsidR="008E4779" w:rsidRDefault="004240FE" w:rsidP="00A20C86">
      <w:pPr>
        <w:pStyle w:val="ListParagraph"/>
        <w:numPr>
          <w:ilvl w:val="0"/>
          <w:numId w:val="27"/>
        </w:numPr>
        <w:autoSpaceDE w:val="0"/>
        <w:autoSpaceDN w:val="0"/>
        <w:adjustRightInd w:val="0"/>
        <w:spacing w:before="0" w:after="120"/>
        <w:ind w:left="851" w:hanging="284"/>
        <w:contextualSpacing w:val="0"/>
      </w:pPr>
      <w:r>
        <w:t>h</w:t>
      </w:r>
      <w:r w:rsidR="007F5ECF">
        <w:t xml:space="preserve">ave access to supports and services in the community to help avoid </w:t>
      </w:r>
      <w:r w:rsidR="00CD0830">
        <w:t xml:space="preserve">unnecessary </w:t>
      </w:r>
      <w:r w:rsidR="007F5ECF">
        <w:t>contact with</w:t>
      </w:r>
      <w:r w:rsidR="008E4779">
        <w:t xml:space="preserve"> the criminal justice system</w:t>
      </w:r>
    </w:p>
    <w:p w14:paraId="3CF240BB" w14:textId="77777777" w:rsidR="008E4779" w:rsidRDefault="008E4779" w:rsidP="00396840">
      <w:pPr>
        <w:pStyle w:val="ListParagraph"/>
        <w:numPr>
          <w:ilvl w:val="0"/>
          <w:numId w:val="27"/>
        </w:numPr>
        <w:autoSpaceDE w:val="0"/>
        <w:autoSpaceDN w:val="0"/>
        <w:adjustRightInd w:val="0"/>
        <w:spacing w:before="0" w:after="120"/>
        <w:ind w:left="851" w:hanging="284"/>
        <w:contextualSpacing w:val="0"/>
      </w:pPr>
      <w:r>
        <w:t xml:space="preserve">are provided with effective support if they come into contact with that system </w:t>
      </w:r>
    </w:p>
    <w:p w14:paraId="34AA2984" w14:textId="77777777" w:rsidR="008E4779" w:rsidRDefault="008E4779" w:rsidP="00396840">
      <w:pPr>
        <w:pStyle w:val="ListParagraph"/>
        <w:numPr>
          <w:ilvl w:val="0"/>
          <w:numId w:val="27"/>
        </w:numPr>
        <w:autoSpaceDE w:val="0"/>
        <w:autoSpaceDN w:val="0"/>
        <w:adjustRightInd w:val="0"/>
        <w:spacing w:before="0" w:after="120"/>
        <w:ind w:left="851" w:hanging="284"/>
        <w:contextualSpacing w:val="0"/>
      </w:pPr>
      <w:r>
        <w:t>if found unfit to stand trial and/or not guilty by reason of mental impairment:</w:t>
      </w:r>
    </w:p>
    <w:p w14:paraId="7F076FC9" w14:textId="57087B27" w:rsidR="008E4779" w:rsidRDefault="008E4779" w:rsidP="00396840">
      <w:pPr>
        <w:pStyle w:val="ListParagraph"/>
        <w:numPr>
          <w:ilvl w:val="1"/>
          <w:numId w:val="27"/>
        </w:numPr>
        <w:autoSpaceDE w:val="0"/>
        <w:autoSpaceDN w:val="0"/>
        <w:adjustRightInd w:val="0"/>
        <w:spacing w:before="0" w:after="120"/>
        <w:contextualSpacing w:val="0"/>
      </w:pPr>
      <w:r>
        <w:t>are accommodated in appropriate facilities</w:t>
      </w:r>
      <w:r w:rsidR="007F5ECF">
        <w:t>, and provided with treatment and support to facilitate their rehabilitation</w:t>
      </w:r>
      <w:r>
        <w:t xml:space="preserve">, and </w:t>
      </w:r>
    </w:p>
    <w:p w14:paraId="5B58731F" w14:textId="08DFB8C1" w:rsidR="008E4779" w:rsidRPr="00300E4B" w:rsidRDefault="008E4779" w:rsidP="00396840">
      <w:pPr>
        <w:pStyle w:val="ListParagraph"/>
        <w:numPr>
          <w:ilvl w:val="1"/>
          <w:numId w:val="27"/>
        </w:numPr>
        <w:autoSpaceDE w:val="0"/>
        <w:autoSpaceDN w:val="0"/>
        <w:adjustRightInd w:val="0"/>
        <w:spacing w:before="0" w:after="120"/>
        <w:contextualSpacing w:val="0"/>
      </w:pPr>
      <w:r>
        <w:t xml:space="preserve">are protected by appropriate and effective safeguards, including </w:t>
      </w:r>
      <w:r w:rsidR="00B608DD">
        <w:t xml:space="preserve">regular monitoring and </w:t>
      </w:r>
      <w:r>
        <w:t>effective limits on detention.</w:t>
      </w:r>
    </w:p>
    <w:p w14:paraId="50402D70" w14:textId="2039BD63" w:rsidR="00AE65B6" w:rsidRPr="00AE65B6" w:rsidRDefault="00570AFA" w:rsidP="00396840">
      <w:pPr>
        <w:pStyle w:val="Heading1"/>
        <w:numPr>
          <w:ilvl w:val="0"/>
          <w:numId w:val="16"/>
        </w:numPr>
      </w:pPr>
      <w:bookmarkStart w:id="32" w:name="_Toc447200176"/>
      <w:r w:rsidRPr="00B24B08">
        <w:t>Recommendations</w:t>
      </w:r>
      <w:bookmarkEnd w:id="29"/>
      <w:bookmarkEnd w:id="30"/>
      <w:bookmarkEnd w:id="31"/>
      <w:bookmarkEnd w:id="32"/>
      <w:r w:rsidRPr="00B24B08">
        <w:t xml:space="preserve"> </w:t>
      </w:r>
    </w:p>
    <w:p w14:paraId="280A33EF" w14:textId="68758E8E" w:rsidR="009F268E" w:rsidRPr="004E1B66" w:rsidRDefault="009F268E" w:rsidP="009F268E">
      <w:pPr>
        <w:pStyle w:val="SubmissionNormal"/>
        <w:numPr>
          <w:ilvl w:val="0"/>
          <w:numId w:val="0"/>
        </w:numPr>
        <w:ind w:left="567"/>
      </w:pPr>
      <w:r w:rsidRPr="004E1B66">
        <w:rPr>
          <w:b/>
        </w:rPr>
        <w:t>Recommendation 1</w:t>
      </w:r>
      <w:r w:rsidRPr="004E1B66">
        <w:t xml:space="preserve">: </w:t>
      </w:r>
      <w:r w:rsidR="00C16644" w:rsidRPr="004E1B66">
        <w:t xml:space="preserve"> A</w:t>
      </w:r>
      <w:r w:rsidRPr="004E1B66">
        <w:t>ll governments fund adequate and culturally appropriate community welfare, accommodation and support services for people with cognitive and/or psychiatric impairment to reduce disadvantage and the risk of offending behaviour.</w:t>
      </w:r>
    </w:p>
    <w:p w14:paraId="68778130" w14:textId="060998A5" w:rsidR="00B24B08" w:rsidRPr="004E1B66" w:rsidRDefault="00B24B08" w:rsidP="00ED2A13">
      <w:pPr>
        <w:pStyle w:val="SubmissionNormal"/>
        <w:numPr>
          <w:ilvl w:val="0"/>
          <w:numId w:val="0"/>
        </w:numPr>
        <w:ind w:left="567"/>
        <w:rPr>
          <w:rFonts w:cs="Arial"/>
        </w:rPr>
      </w:pPr>
      <w:r w:rsidRPr="004E1B66">
        <w:rPr>
          <w:b/>
          <w:lang w:val="en"/>
        </w:rPr>
        <w:t>Recommendation 2</w:t>
      </w:r>
      <w:r w:rsidRPr="004E1B66">
        <w:rPr>
          <w:lang w:val="en"/>
        </w:rPr>
        <w:t xml:space="preserve">: </w:t>
      </w:r>
      <w:r w:rsidRPr="004E1B66">
        <w:rPr>
          <w:rFonts w:cs="Arial"/>
        </w:rPr>
        <w:t xml:space="preserve"> </w:t>
      </w:r>
      <w:r w:rsidR="00ED2A13" w:rsidRPr="004E1B66">
        <w:rPr>
          <w:rFonts w:cs="Arial"/>
        </w:rPr>
        <w:t>A</w:t>
      </w:r>
      <w:r w:rsidRPr="004E1B66">
        <w:rPr>
          <w:rFonts w:cs="Arial"/>
        </w:rPr>
        <w:t>ll state a</w:t>
      </w:r>
      <w:r w:rsidR="003D0838" w:rsidRPr="004E1B66">
        <w:rPr>
          <w:rFonts w:cs="Arial"/>
        </w:rPr>
        <w:t>nd territory governments implement</w:t>
      </w:r>
      <w:r w:rsidRPr="004E1B66">
        <w:rPr>
          <w:rFonts w:cs="Arial"/>
        </w:rPr>
        <w:t xml:space="preserve"> a Disability Justice Strategy</w:t>
      </w:r>
      <w:r w:rsidR="0091178A" w:rsidRPr="004E1B66">
        <w:rPr>
          <w:rStyle w:val="EndnoteReference"/>
          <w:rFonts w:cs="Arial"/>
        </w:rPr>
        <w:endnoteReference w:id="14"/>
      </w:r>
      <w:r w:rsidR="0091178A" w:rsidRPr="004E1B66">
        <w:rPr>
          <w:rFonts w:cs="Arial"/>
        </w:rPr>
        <w:t xml:space="preserve"> </w:t>
      </w:r>
      <w:r w:rsidRPr="004E1B66">
        <w:rPr>
          <w:rFonts w:cs="Arial"/>
        </w:rPr>
        <w:t xml:space="preserve">which includes </w:t>
      </w:r>
      <w:r w:rsidR="006F572C" w:rsidRPr="004E1B66">
        <w:rPr>
          <w:rFonts w:cs="Arial"/>
        </w:rPr>
        <w:t xml:space="preserve">reasonable </w:t>
      </w:r>
      <w:r w:rsidRPr="004E1B66">
        <w:rPr>
          <w:rFonts w:cs="Arial"/>
        </w:rPr>
        <w:t xml:space="preserve">adjustments to court procedure and provision of support to defendants with disability to ensure they can participate in legal processes. </w:t>
      </w:r>
    </w:p>
    <w:p w14:paraId="4BA3F038" w14:textId="5EE92227" w:rsidR="00B24B08" w:rsidRPr="004E1B66" w:rsidRDefault="00B24B08" w:rsidP="00ED2A13">
      <w:pPr>
        <w:pStyle w:val="SubmissionNormal"/>
        <w:numPr>
          <w:ilvl w:val="0"/>
          <w:numId w:val="0"/>
        </w:numPr>
        <w:ind w:left="567"/>
        <w:rPr>
          <w:rFonts w:cs="Arial"/>
        </w:rPr>
      </w:pPr>
      <w:r w:rsidRPr="004E1B66">
        <w:rPr>
          <w:b/>
          <w:lang w:val="en"/>
        </w:rPr>
        <w:t>Recommendation 3</w:t>
      </w:r>
      <w:r w:rsidRPr="004E1B66">
        <w:rPr>
          <w:lang w:val="en"/>
        </w:rPr>
        <w:t xml:space="preserve">: </w:t>
      </w:r>
      <w:r w:rsidR="00EA2BD4" w:rsidRPr="004E1B66">
        <w:rPr>
          <w:lang w:val="en"/>
        </w:rPr>
        <w:t>All</w:t>
      </w:r>
      <w:r w:rsidR="00A921F0" w:rsidRPr="004E1B66">
        <w:rPr>
          <w:lang w:val="en"/>
        </w:rPr>
        <w:t xml:space="preserve"> </w:t>
      </w:r>
      <w:r w:rsidR="00197A02" w:rsidRPr="004E1B66">
        <w:rPr>
          <w:lang w:val="en"/>
        </w:rPr>
        <w:t xml:space="preserve">governments </w:t>
      </w:r>
      <w:r w:rsidRPr="004E1B66">
        <w:rPr>
          <w:lang w:val="en"/>
        </w:rPr>
        <w:t xml:space="preserve">consider amendments to </w:t>
      </w:r>
      <w:r w:rsidR="00197A02" w:rsidRPr="004E1B66">
        <w:rPr>
          <w:lang w:val="en"/>
        </w:rPr>
        <w:t xml:space="preserve">the </w:t>
      </w:r>
      <w:r w:rsidR="00A921F0" w:rsidRPr="004E1B66">
        <w:rPr>
          <w:lang w:val="en"/>
        </w:rPr>
        <w:t>e</w:t>
      </w:r>
      <w:r w:rsidRPr="004E1B66">
        <w:rPr>
          <w:lang w:val="en"/>
        </w:rPr>
        <w:t xml:space="preserve">vidence </w:t>
      </w:r>
      <w:r w:rsidR="00A921F0" w:rsidRPr="004E1B66">
        <w:rPr>
          <w:lang w:val="en"/>
        </w:rPr>
        <w:t>laws</w:t>
      </w:r>
      <w:r w:rsidRPr="004E1B66">
        <w:rPr>
          <w:lang w:val="en"/>
        </w:rPr>
        <w:t xml:space="preserve"> </w:t>
      </w:r>
      <w:r w:rsidR="00197A02" w:rsidRPr="004E1B66">
        <w:rPr>
          <w:lang w:val="en"/>
        </w:rPr>
        <w:t>in each</w:t>
      </w:r>
      <w:r w:rsidR="000A4177" w:rsidRPr="004E1B66">
        <w:rPr>
          <w:lang w:val="en"/>
        </w:rPr>
        <w:t xml:space="preserve"> jurisdiction </w:t>
      </w:r>
      <w:r w:rsidRPr="004E1B66">
        <w:rPr>
          <w:lang w:val="en"/>
        </w:rPr>
        <w:t xml:space="preserve">similar to those introduced by the </w:t>
      </w:r>
      <w:r w:rsidRPr="004E1B66">
        <w:rPr>
          <w:rFonts w:cs="Arial"/>
          <w:i/>
        </w:rPr>
        <w:t xml:space="preserve">Statutes Amendment (Vulnerable Witnesses) Act 2015 </w:t>
      </w:r>
      <w:r w:rsidR="00B93556" w:rsidRPr="004E1B66">
        <w:rPr>
          <w:rFonts w:cs="Arial"/>
        </w:rPr>
        <w:t>(SA)</w:t>
      </w:r>
      <w:r w:rsidRPr="004E1B66">
        <w:rPr>
          <w:rFonts w:cs="Arial"/>
        </w:rPr>
        <w:t xml:space="preserve">. </w:t>
      </w:r>
    </w:p>
    <w:p w14:paraId="6B436FC1" w14:textId="69A4BD0B" w:rsidR="00B24B08" w:rsidRPr="004E1B66" w:rsidRDefault="00B24B08" w:rsidP="00ED2A13">
      <w:pPr>
        <w:pStyle w:val="SubmissionNormal"/>
        <w:numPr>
          <w:ilvl w:val="0"/>
          <w:numId w:val="0"/>
        </w:numPr>
        <w:ind w:left="567"/>
        <w:rPr>
          <w:rFonts w:cs="Arial"/>
        </w:rPr>
      </w:pPr>
      <w:r w:rsidRPr="004E1B66">
        <w:rPr>
          <w:rFonts w:cs="Arial"/>
          <w:b/>
        </w:rPr>
        <w:lastRenderedPageBreak/>
        <w:t>Recommendation 4</w:t>
      </w:r>
      <w:r w:rsidRPr="004E1B66">
        <w:rPr>
          <w:rFonts w:cs="Arial"/>
        </w:rPr>
        <w:t xml:space="preserve">: </w:t>
      </w:r>
      <w:r w:rsidR="00ED2A13" w:rsidRPr="004E1B66">
        <w:rPr>
          <w:rFonts w:cs="Arial"/>
        </w:rPr>
        <w:t>E</w:t>
      </w:r>
      <w:r w:rsidRPr="004E1B66">
        <w:rPr>
          <w:rFonts w:cs="Arial"/>
        </w:rPr>
        <w:t>ach state and territory government:</w:t>
      </w:r>
    </w:p>
    <w:p w14:paraId="15233008" w14:textId="4A1C0056" w:rsidR="00B24B08" w:rsidRPr="004E1B66" w:rsidRDefault="00FE5A44" w:rsidP="00396840">
      <w:pPr>
        <w:pStyle w:val="SubmissionNormal"/>
        <w:numPr>
          <w:ilvl w:val="0"/>
          <w:numId w:val="26"/>
        </w:numPr>
        <w:ind w:left="1134" w:hanging="425"/>
        <w:rPr>
          <w:rFonts w:cs="Arial"/>
        </w:rPr>
      </w:pPr>
      <w:r w:rsidRPr="004E1B66">
        <w:rPr>
          <w:rFonts w:cs="Arial"/>
        </w:rPr>
        <w:t>Develop a culturally-appropriate</w:t>
      </w:r>
      <w:r w:rsidR="00B24B08" w:rsidRPr="004E1B66">
        <w:rPr>
          <w:rFonts w:cs="Arial"/>
        </w:rPr>
        <w:t xml:space="preserve"> assessment protocol that assists those administering the justice system to identify people with disability and ensure approp</w:t>
      </w:r>
      <w:r w:rsidR="001E45A2" w:rsidRPr="004E1B66">
        <w:rPr>
          <w:rFonts w:cs="Arial"/>
        </w:rPr>
        <w:t>riate support and adjustments</w:t>
      </w:r>
      <w:r w:rsidR="00B24B08" w:rsidRPr="004E1B66">
        <w:rPr>
          <w:rFonts w:cs="Arial"/>
        </w:rPr>
        <w:t xml:space="preserve"> are provided.</w:t>
      </w:r>
    </w:p>
    <w:p w14:paraId="01F6728F" w14:textId="77777777" w:rsidR="00B24B08" w:rsidRPr="004E1B66" w:rsidRDefault="00B24B08" w:rsidP="00396840">
      <w:pPr>
        <w:pStyle w:val="SubmissionNormal"/>
        <w:numPr>
          <w:ilvl w:val="0"/>
          <w:numId w:val="26"/>
        </w:numPr>
        <w:ind w:left="1134" w:hanging="425"/>
        <w:rPr>
          <w:rFonts w:cs="Arial"/>
        </w:rPr>
      </w:pPr>
      <w:r w:rsidRPr="004E1B66">
        <w:rPr>
          <w:rFonts w:cs="Arial"/>
        </w:rPr>
        <w:t xml:space="preserve">Develop and deliver training to those administering the justice system on how to identify and support people with disability to ensure they have effective access to justice.  </w:t>
      </w:r>
    </w:p>
    <w:p w14:paraId="431926FD" w14:textId="730D6A03" w:rsidR="00B24B08" w:rsidRPr="004E1B66" w:rsidRDefault="00B24B08" w:rsidP="0066522B">
      <w:pPr>
        <w:pStyle w:val="SubmissionNormal"/>
        <w:numPr>
          <w:ilvl w:val="0"/>
          <w:numId w:val="0"/>
        </w:numPr>
        <w:ind w:left="567"/>
      </w:pPr>
      <w:r w:rsidRPr="004E1B66">
        <w:rPr>
          <w:b/>
        </w:rPr>
        <w:t>Recommendation 5</w:t>
      </w:r>
      <w:r w:rsidRPr="004E1B66">
        <w:t xml:space="preserve">: </w:t>
      </w:r>
      <w:r w:rsidR="0001435F" w:rsidRPr="004E1B66">
        <w:t xml:space="preserve">The </w:t>
      </w:r>
      <w:r w:rsidRPr="004E1B66">
        <w:t>tests for unfitness to stand trial in every jurisdic</w:t>
      </w:r>
      <w:r w:rsidR="000D1CE4" w:rsidRPr="004E1B66">
        <w:t xml:space="preserve">tion </w:t>
      </w:r>
      <w:r w:rsidR="005D1AA1" w:rsidRPr="004E1B66">
        <w:t xml:space="preserve">be amended </w:t>
      </w:r>
      <w:r w:rsidR="000D1CE4" w:rsidRPr="004E1B66">
        <w:t>to require judges to consider</w:t>
      </w:r>
      <w:r w:rsidRPr="004E1B66">
        <w:t xml:space="preserve"> whethe</w:t>
      </w:r>
      <w:r w:rsidR="005D6B23" w:rsidRPr="004E1B66">
        <w:t>r</w:t>
      </w:r>
      <w:r w:rsidR="00A92E42" w:rsidRPr="004E1B66">
        <w:t xml:space="preserve"> </w:t>
      </w:r>
      <w:r w:rsidR="005D6B23" w:rsidRPr="004E1B66">
        <w:t>the accused cou</w:t>
      </w:r>
      <w:r w:rsidR="00A92E42" w:rsidRPr="004E1B66">
        <w:t xml:space="preserve">ld </w:t>
      </w:r>
      <w:r w:rsidR="00AD71E5" w:rsidRPr="004E1B66">
        <w:t xml:space="preserve">effectively </w:t>
      </w:r>
      <w:r w:rsidR="00A92E42" w:rsidRPr="004E1B66">
        <w:t>participate in a trial if provided with support and/or modifications.</w:t>
      </w:r>
    </w:p>
    <w:p w14:paraId="36F98024" w14:textId="65E3BD84" w:rsidR="00B24B08" w:rsidRPr="004E1B66" w:rsidRDefault="00B24B08" w:rsidP="0066522B">
      <w:pPr>
        <w:autoSpaceDE w:val="0"/>
        <w:autoSpaceDN w:val="0"/>
        <w:adjustRightInd w:val="0"/>
        <w:spacing w:before="0" w:after="0"/>
        <w:ind w:left="567"/>
        <w:rPr>
          <w:rFonts w:ascii="Frutiger-Bold" w:hAnsi="Frutiger-Bold" w:cs="Frutiger-Bold"/>
          <w:bCs/>
        </w:rPr>
      </w:pPr>
      <w:r w:rsidRPr="004E1B66">
        <w:rPr>
          <w:rFonts w:ascii="Frutiger-Bold" w:hAnsi="Frutiger-Bold" w:cs="Frutiger-Bold"/>
          <w:b/>
          <w:bCs/>
        </w:rPr>
        <w:t>Recommendation 6</w:t>
      </w:r>
      <w:r w:rsidRPr="004E1B66">
        <w:rPr>
          <w:rFonts w:ascii="Frutiger-Bold" w:hAnsi="Frutiger-Bold" w:cs="Frutiger-Bold"/>
          <w:bCs/>
        </w:rPr>
        <w:t xml:space="preserve">: </w:t>
      </w:r>
      <w:r w:rsidR="009D131E" w:rsidRPr="004E1B66">
        <w:rPr>
          <w:rFonts w:ascii="Frutiger-Bold" w:hAnsi="Frutiger-Bold" w:cs="Frutiger-Bold"/>
          <w:bCs/>
        </w:rPr>
        <w:t xml:space="preserve">Training be delivered </w:t>
      </w:r>
      <w:r w:rsidRPr="004E1B66">
        <w:rPr>
          <w:rFonts w:ascii="Frutiger-Bold" w:hAnsi="Frutiger-Bold" w:cs="Frutiger-Bold"/>
          <w:bCs/>
        </w:rPr>
        <w:t>to the judiciary</w:t>
      </w:r>
      <w:r w:rsidR="009D131E" w:rsidRPr="004E1B66">
        <w:rPr>
          <w:rFonts w:ascii="Frutiger-Bold" w:hAnsi="Frutiger-Bold" w:cs="Frutiger-Bold"/>
          <w:bCs/>
        </w:rPr>
        <w:t xml:space="preserve"> in every jurisdiction</w:t>
      </w:r>
      <w:r w:rsidR="00425180" w:rsidRPr="004E1B66">
        <w:rPr>
          <w:rFonts w:ascii="Frutiger-Bold" w:hAnsi="Frutiger-Bold" w:cs="Frutiger-Bold"/>
          <w:bCs/>
        </w:rPr>
        <w:t xml:space="preserve"> on how to determine</w:t>
      </w:r>
      <w:r w:rsidRPr="004E1B66">
        <w:rPr>
          <w:rFonts w:ascii="Frutiger-Bold" w:hAnsi="Frutiger-Bold" w:cs="Frutiger-Bold"/>
          <w:bCs/>
        </w:rPr>
        <w:t xml:space="preserve"> capacity to stand trial by reference to the support available. </w:t>
      </w:r>
    </w:p>
    <w:p w14:paraId="55A88B81" w14:textId="77777777" w:rsidR="0041340B" w:rsidRPr="004E1B66" w:rsidRDefault="0041340B" w:rsidP="0041340B">
      <w:pPr>
        <w:autoSpaceDE w:val="0"/>
        <w:autoSpaceDN w:val="0"/>
        <w:adjustRightInd w:val="0"/>
        <w:spacing w:before="0" w:after="0"/>
        <w:ind w:left="567"/>
        <w:rPr>
          <w:rFonts w:ascii="Frutiger-Bold" w:eastAsia="Times New Roman" w:hAnsi="Frutiger-Bold" w:cs="Frutiger-Bold"/>
          <w:bCs/>
        </w:rPr>
      </w:pPr>
    </w:p>
    <w:p w14:paraId="592A48F9" w14:textId="1C4B71E3" w:rsidR="0041340B" w:rsidRPr="004E1B66" w:rsidRDefault="0041340B" w:rsidP="0041340B">
      <w:pPr>
        <w:autoSpaceDE w:val="0"/>
        <w:autoSpaceDN w:val="0"/>
        <w:adjustRightInd w:val="0"/>
        <w:spacing w:before="0" w:after="120"/>
        <w:ind w:left="567"/>
        <w:rPr>
          <w:rFonts w:ascii="Frutiger-Bold" w:eastAsia="Times New Roman" w:hAnsi="Frutiger-Bold" w:cs="Frutiger-Bold"/>
          <w:bCs/>
        </w:rPr>
      </w:pPr>
      <w:r w:rsidRPr="004E1B66">
        <w:rPr>
          <w:rFonts w:ascii="Frutiger-Bold" w:eastAsia="Times New Roman" w:hAnsi="Frutiger-Bold" w:cs="Frutiger-Bold"/>
          <w:b/>
          <w:bCs/>
        </w:rPr>
        <w:t>Recommendation 7</w:t>
      </w:r>
      <w:r w:rsidRPr="004E1B66">
        <w:rPr>
          <w:rFonts w:ascii="Frutiger-Bold" w:eastAsia="Times New Roman" w:hAnsi="Frutiger-Bold" w:cs="Frutiger-Bold"/>
          <w:bCs/>
        </w:rPr>
        <w:t xml:space="preserve">: </w:t>
      </w:r>
      <w:r w:rsidR="00A6597B" w:rsidRPr="004E1B66">
        <w:rPr>
          <w:rFonts w:ascii="Frutiger-Bold" w:eastAsia="Times New Roman" w:hAnsi="Frutiger-Bold" w:cs="Frutiger-Bold"/>
          <w:bCs/>
        </w:rPr>
        <w:t>A</w:t>
      </w:r>
      <w:r w:rsidRPr="004E1B66">
        <w:rPr>
          <w:rFonts w:ascii="Frutiger-Bold" w:eastAsia="Times New Roman" w:hAnsi="Frutiger-Bold" w:cs="Frutiger-Bold"/>
          <w:bCs/>
        </w:rPr>
        <w:t>ll state and</w:t>
      </w:r>
      <w:r w:rsidR="0053141C" w:rsidRPr="004E1B66">
        <w:rPr>
          <w:rFonts w:ascii="Frutiger-Bold" w:eastAsia="Times New Roman" w:hAnsi="Frutiger-Bold" w:cs="Frutiger-Bold"/>
          <w:bCs/>
        </w:rPr>
        <w:t xml:space="preserve"> territory laws which allow </w:t>
      </w:r>
      <w:r w:rsidR="00AB22F4">
        <w:rPr>
          <w:rFonts w:ascii="Frutiger-Bold" w:eastAsia="Times New Roman" w:hAnsi="Frutiger-Bold" w:cs="Frutiger-Bold"/>
          <w:bCs/>
        </w:rPr>
        <w:t xml:space="preserve">for </w:t>
      </w:r>
      <w:r w:rsidRPr="004E1B66">
        <w:rPr>
          <w:rFonts w:ascii="Frutiger-Bold" w:eastAsia="Times New Roman" w:hAnsi="Frutiger-Bold" w:cs="Frutiger-Bold"/>
          <w:bCs/>
        </w:rPr>
        <w:t xml:space="preserve">people to be detained following a finding of unfitness to stand trial, or a verdict of not guilty by reason of mental impairment: </w:t>
      </w:r>
    </w:p>
    <w:p w14:paraId="6E78644D" w14:textId="77777777" w:rsidR="0041340B" w:rsidRPr="004E1B66" w:rsidRDefault="0041340B" w:rsidP="0041340B">
      <w:pPr>
        <w:pStyle w:val="SubmissionNormal"/>
        <w:numPr>
          <w:ilvl w:val="0"/>
          <w:numId w:val="43"/>
        </w:numPr>
        <w:spacing w:before="0" w:after="120"/>
        <w:ind w:left="1134" w:hanging="425"/>
        <w:rPr>
          <w:rFonts w:cs="Arial"/>
        </w:rPr>
      </w:pPr>
      <w:r w:rsidRPr="004E1B66">
        <w:rPr>
          <w:rFonts w:cs="Arial"/>
        </w:rPr>
        <w:t>impose effective limits on the total period of detention</w:t>
      </w:r>
    </w:p>
    <w:p w14:paraId="1BACCAB2" w14:textId="77777777" w:rsidR="0041340B" w:rsidRPr="004E1B66" w:rsidRDefault="0041340B" w:rsidP="0041340B">
      <w:pPr>
        <w:pStyle w:val="SubmissionNormal"/>
        <w:numPr>
          <w:ilvl w:val="0"/>
          <w:numId w:val="43"/>
        </w:numPr>
        <w:spacing w:before="0" w:after="120"/>
        <w:ind w:left="1134" w:hanging="425"/>
        <w:rPr>
          <w:rFonts w:cs="Arial"/>
        </w:rPr>
      </w:pPr>
      <w:r w:rsidRPr="004E1B66">
        <w:rPr>
          <w:rFonts w:cs="Arial"/>
        </w:rPr>
        <w:t>require regular reviews of the need for detention</w:t>
      </w:r>
    </w:p>
    <w:p w14:paraId="619A1A92" w14:textId="1F64CCEA" w:rsidR="0041340B" w:rsidRPr="004E1B66" w:rsidRDefault="0041340B" w:rsidP="0041340B">
      <w:pPr>
        <w:pStyle w:val="SubmissionNormal"/>
        <w:numPr>
          <w:ilvl w:val="0"/>
          <w:numId w:val="43"/>
        </w:numPr>
        <w:spacing w:before="0" w:after="120"/>
        <w:ind w:left="1134" w:hanging="425"/>
        <w:rPr>
          <w:rFonts w:cs="Arial"/>
        </w:rPr>
      </w:pPr>
      <w:r w:rsidRPr="004E1B66">
        <w:rPr>
          <w:rFonts w:cs="Arial"/>
        </w:rPr>
        <w:t>require a plan to be put in place including actions to be taken for the person’s rehabilitation</w:t>
      </w:r>
      <w:r w:rsidR="0021697C" w:rsidRPr="004E1B66">
        <w:rPr>
          <w:rFonts w:cs="Arial"/>
        </w:rPr>
        <w:t xml:space="preserve"> to facilitate </w:t>
      </w:r>
      <w:r w:rsidRPr="004E1B66">
        <w:rPr>
          <w:rFonts w:cs="Arial"/>
        </w:rPr>
        <w:t>their transition into progressively less restrictive environments, and eventually out of detention.</w:t>
      </w:r>
    </w:p>
    <w:p w14:paraId="5FCFD538" w14:textId="087E6DCD" w:rsidR="002B4C0E" w:rsidRPr="004E1B66" w:rsidRDefault="002B4C0E" w:rsidP="002B4C0E">
      <w:pPr>
        <w:pStyle w:val="SubmissionNormal"/>
        <w:numPr>
          <w:ilvl w:val="0"/>
          <w:numId w:val="0"/>
        </w:numPr>
        <w:ind w:left="567"/>
        <w:rPr>
          <w:highlight w:val="yellow"/>
        </w:rPr>
      </w:pPr>
      <w:r w:rsidRPr="004E1B66">
        <w:rPr>
          <w:b/>
        </w:rPr>
        <w:t>Recommendatio</w:t>
      </w:r>
      <w:r w:rsidR="00D966F7" w:rsidRPr="004E1B66">
        <w:rPr>
          <w:b/>
        </w:rPr>
        <w:t>n 8</w:t>
      </w:r>
      <w:r w:rsidRPr="004E1B66">
        <w:t>: All state and territory governments establish as a matter of urgency an appropriate range of facilities to accommodate people who are found unfit to stand trial and/or not guilty by reason of mental impairment</w:t>
      </w:r>
      <w:r w:rsidR="00F60754" w:rsidRPr="004E1B66">
        <w:t>. Particular</w:t>
      </w:r>
      <w:r w:rsidRPr="004E1B66">
        <w:t xml:space="preserve"> priority should be given to establishing appropriate facilities for people with cognitive impairment.</w:t>
      </w:r>
    </w:p>
    <w:p w14:paraId="4CA564FF" w14:textId="44490CBC" w:rsidR="00570AFA" w:rsidRDefault="00D966F7" w:rsidP="00A169CB">
      <w:pPr>
        <w:pStyle w:val="SubmissionNormal"/>
        <w:numPr>
          <w:ilvl w:val="0"/>
          <w:numId w:val="0"/>
        </w:numPr>
        <w:ind w:left="567"/>
      </w:pPr>
      <w:r w:rsidRPr="004E1B66">
        <w:rPr>
          <w:b/>
        </w:rPr>
        <w:t>Recommendation 9</w:t>
      </w:r>
      <w:r w:rsidR="00B24B08" w:rsidRPr="004E1B66">
        <w:t>:</w:t>
      </w:r>
      <w:r w:rsidR="00B24B08" w:rsidRPr="004E1B66">
        <w:rPr>
          <w:rFonts w:cs="Arial"/>
        </w:rPr>
        <w:t xml:space="preserve"> </w:t>
      </w:r>
      <w:r w:rsidR="0066522B" w:rsidRPr="004E1B66">
        <w:rPr>
          <w:rFonts w:cs="Arial"/>
        </w:rPr>
        <w:t>T</w:t>
      </w:r>
      <w:r w:rsidR="00B24B08" w:rsidRPr="004E1B66">
        <w:rPr>
          <w:rFonts w:cs="Arial"/>
        </w:rPr>
        <w:t xml:space="preserve">he Australian Government ratify the </w:t>
      </w:r>
      <w:r w:rsidR="00B24B08" w:rsidRPr="004E1B66">
        <w:rPr>
          <w:rFonts w:cs="Arial"/>
          <w:i/>
        </w:rPr>
        <w:t>Optio</w:t>
      </w:r>
      <w:r w:rsidR="00BB3378" w:rsidRPr="004E1B66">
        <w:rPr>
          <w:rFonts w:cs="Arial"/>
          <w:i/>
        </w:rPr>
        <w:t>nal Protocol to the Convention a</w:t>
      </w:r>
      <w:r w:rsidR="00B24B08" w:rsidRPr="004E1B66">
        <w:rPr>
          <w:rFonts w:cs="Arial"/>
          <w:i/>
        </w:rPr>
        <w:t>gainst Torture and Other Cruel, Inhuman or Degrading Treatment or Punishment</w:t>
      </w:r>
      <w:r w:rsidR="00B24B08" w:rsidRPr="004E1B66">
        <w:rPr>
          <w:rFonts w:cs="Arial"/>
        </w:rPr>
        <w:t xml:space="preserve"> and establish an independent national preventative mechanism to monitor places of detention, including all those where people with disability are detained. </w:t>
      </w:r>
    </w:p>
    <w:p w14:paraId="448C386F" w14:textId="3FAC98E1" w:rsidR="00570AFA" w:rsidRDefault="00656323" w:rsidP="00280A08">
      <w:pPr>
        <w:pStyle w:val="Heading1"/>
        <w:numPr>
          <w:ilvl w:val="0"/>
          <w:numId w:val="16"/>
        </w:numPr>
      </w:pPr>
      <w:bookmarkStart w:id="33" w:name="_Toc447200177"/>
      <w:r>
        <w:t>Persons</w:t>
      </w:r>
      <w:r w:rsidR="00570AFA">
        <w:t xml:space="preserve"> affected by mental health laws allowing for indefinite detention</w:t>
      </w:r>
      <w:bookmarkEnd w:id="33"/>
    </w:p>
    <w:p w14:paraId="556D1F81" w14:textId="77777777" w:rsidR="00570AFA" w:rsidRPr="00D05351" w:rsidRDefault="00570AFA" w:rsidP="00D05351">
      <w:pPr>
        <w:pStyle w:val="ListParagraph"/>
        <w:keepNext/>
        <w:keepLines/>
        <w:numPr>
          <w:ilvl w:val="0"/>
          <w:numId w:val="1"/>
        </w:numPr>
        <w:spacing w:before="360"/>
        <w:contextualSpacing w:val="0"/>
        <w:outlineLvl w:val="0"/>
        <w:rPr>
          <w:b/>
          <w:bCs/>
          <w:vanish/>
          <w:sz w:val="28"/>
          <w:szCs w:val="28"/>
        </w:rPr>
      </w:pPr>
      <w:bookmarkStart w:id="34" w:name="_Toc443048151"/>
      <w:bookmarkStart w:id="35" w:name="_Toc443396443"/>
      <w:bookmarkStart w:id="36" w:name="_Toc443498112"/>
      <w:bookmarkStart w:id="37" w:name="_Toc443824155"/>
      <w:bookmarkStart w:id="38" w:name="_Toc444083548"/>
      <w:bookmarkStart w:id="39" w:name="_Toc444774933"/>
      <w:bookmarkStart w:id="40" w:name="_Toc445823240"/>
      <w:bookmarkStart w:id="41" w:name="_Toc447200178"/>
      <w:bookmarkEnd w:id="34"/>
      <w:bookmarkEnd w:id="35"/>
      <w:bookmarkEnd w:id="36"/>
      <w:bookmarkEnd w:id="37"/>
      <w:bookmarkEnd w:id="38"/>
      <w:bookmarkEnd w:id="39"/>
      <w:bookmarkEnd w:id="40"/>
      <w:bookmarkEnd w:id="41"/>
    </w:p>
    <w:p w14:paraId="01AFA762" w14:textId="77777777" w:rsidR="00570AFA" w:rsidRPr="00D05351" w:rsidRDefault="00570AFA" w:rsidP="00D05351">
      <w:pPr>
        <w:pStyle w:val="ListParagraph"/>
        <w:keepNext/>
        <w:keepLines/>
        <w:numPr>
          <w:ilvl w:val="0"/>
          <w:numId w:val="1"/>
        </w:numPr>
        <w:spacing w:before="360"/>
        <w:contextualSpacing w:val="0"/>
        <w:outlineLvl w:val="0"/>
        <w:rPr>
          <w:b/>
          <w:bCs/>
          <w:vanish/>
          <w:sz w:val="28"/>
          <w:szCs w:val="28"/>
        </w:rPr>
      </w:pPr>
      <w:bookmarkStart w:id="42" w:name="_Toc443048152"/>
      <w:bookmarkStart w:id="43" w:name="_Toc443396444"/>
      <w:bookmarkStart w:id="44" w:name="_Toc443498113"/>
      <w:bookmarkStart w:id="45" w:name="_Toc443824156"/>
      <w:bookmarkStart w:id="46" w:name="_Toc444083549"/>
      <w:bookmarkStart w:id="47" w:name="_Toc444774934"/>
      <w:bookmarkStart w:id="48" w:name="_Toc445823241"/>
      <w:bookmarkStart w:id="49" w:name="_Toc447200179"/>
      <w:bookmarkEnd w:id="42"/>
      <w:bookmarkEnd w:id="43"/>
      <w:bookmarkEnd w:id="44"/>
      <w:bookmarkEnd w:id="45"/>
      <w:bookmarkEnd w:id="46"/>
      <w:bookmarkEnd w:id="47"/>
      <w:bookmarkEnd w:id="48"/>
      <w:bookmarkEnd w:id="49"/>
    </w:p>
    <w:p w14:paraId="1FAA7E47" w14:textId="77777777" w:rsidR="00570AFA" w:rsidRPr="00D05351" w:rsidRDefault="00570AFA" w:rsidP="00D05351">
      <w:pPr>
        <w:pStyle w:val="ListParagraph"/>
        <w:keepNext/>
        <w:keepLines/>
        <w:numPr>
          <w:ilvl w:val="0"/>
          <w:numId w:val="1"/>
        </w:numPr>
        <w:spacing w:before="360"/>
        <w:contextualSpacing w:val="0"/>
        <w:outlineLvl w:val="0"/>
        <w:rPr>
          <w:b/>
          <w:bCs/>
          <w:vanish/>
          <w:sz w:val="28"/>
          <w:szCs w:val="28"/>
        </w:rPr>
      </w:pPr>
      <w:bookmarkStart w:id="50" w:name="_Toc443048153"/>
      <w:bookmarkStart w:id="51" w:name="_Toc443396445"/>
      <w:bookmarkStart w:id="52" w:name="_Toc443498114"/>
      <w:bookmarkStart w:id="53" w:name="_Toc443824157"/>
      <w:bookmarkStart w:id="54" w:name="_Toc444083550"/>
      <w:bookmarkStart w:id="55" w:name="_Toc444774935"/>
      <w:bookmarkStart w:id="56" w:name="_Toc445823242"/>
      <w:bookmarkStart w:id="57" w:name="_Toc447200180"/>
      <w:bookmarkEnd w:id="50"/>
      <w:bookmarkEnd w:id="51"/>
      <w:bookmarkEnd w:id="52"/>
      <w:bookmarkEnd w:id="53"/>
      <w:bookmarkEnd w:id="54"/>
      <w:bookmarkEnd w:id="55"/>
      <w:bookmarkEnd w:id="56"/>
      <w:bookmarkEnd w:id="57"/>
    </w:p>
    <w:p w14:paraId="299D97E0" w14:textId="77777777" w:rsidR="00570AFA" w:rsidRPr="00D05351" w:rsidRDefault="00570AFA" w:rsidP="00D05351">
      <w:pPr>
        <w:pStyle w:val="ListParagraph"/>
        <w:keepNext/>
        <w:keepLines/>
        <w:numPr>
          <w:ilvl w:val="0"/>
          <w:numId w:val="1"/>
        </w:numPr>
        <w:spacing w:before="360"/>
        <w:contextualSpacing w:val="0"/>
        <w:outlineLvl w:val="0"/>
        <w:rPr>
          <w:b/>
          <w:bCs/>
          <w:vanish/>
          <w:sz w:val="28"/>
          <w:szCs w:val="28"/>
        </w:rPr>
      </w:pPr>
      <w:bookmarkStart w:id="58" w:name="_Toc443048154"/>
      <w:bookmarkStart w:id="59" w:name="_Toc443396446"/>
      <w:bookmarkStart w:id="60" w:name="_Toc443498115"/>
      <w:bookmarkStart w:id="61" w:name="_Toc443824158"/>
      <w:bookmarkStart w:id="62" w:name="_Toc444083551"/>
      <w:bookmarkStart w:id="63" w:name="_Toc444774936"/>
      <w:bookmarkStart w:id="64" w:name="_Toc445823243"/>
      <w:bookmarkStart w:id="65" w:name="_Toc447200181"/>
      <w:bookmarkEnd w:id="58"/>
      <w:bookmarkEnd w:id="59"/>
      <w:bookmarkEnd w:id="60"/>
      <w:bookmarkEnd w:id="61"/>
      <w:bookmarkEnd w:id="62"/>
      <w:bookmarkEnd w:id="63"/>
      <w:bookmarkEnd w:id="64"/>
      <w:bookmarkEnd w:id="65"/>
    </w:p>
    <w:p w14:paraId="7E0ED6E2" w14:textId="52DF2A0F" w:rsidR="00570AFA" w:rsidRPr="00D05351" w:rsidRDefault="00570AFA" w:rsidP="00D05351">
      <w:pPr>
        <w:pStyle w:val="Heading2"/>
      </w:pPr>
      <w:bookmarkStart w:id="66" w:name="_Toc447200182"/>
      <w:r>
        <w:t>Defining ‘cognitive’ vs ‘psychiatric’ impairment</w:t>
      </w:r>
      <w:bookmarkEnd w:id="66"/>
    </w:p>
    <w:p w14:paraId="6BD347B8" w14:textId="13BDC030" w:rsidR="00222688" w:rsidRDefault="00570AFA" w:rsidP="005D151F">
      <w:pPr>
        <w:pStyle w:val="SubmissionNormal"/>
        <w:tabs>
          <w:tab w:val="clear" w:pos="720"/>
          <w:tab w:val="num" w:pos="567"/>
        </w:tabs>
        <w:ind w:left="567" w:hanging="567"/>
      </w:pPr>
      <w:r>
        <w:t>‘Cognitive impairment’ can refer to a range of disorders relating to mental processes of knowing, including awareness</w:t>
      </w:r>
      <w:r w:rsidRPr="00D3622C">
        <w:t xml:space="preserve">, attention, memory, perception, </w:t>
      </w:r>
      <w:r w:rsidRPr="005D151F">
        <w:rPr>
          <w:rFonts w:cs="Arial"/>
        </w:rPr>
        <w:t>reasoning</w:t>
      </w:r>
      <w:r w:rsidRPr="00D3622C">
        <w:t xml:space="preserve"> and judgement.</w:t>
      </w:r>
      <w:r w:rsidR="002829F5" w:rsidRPr="002829F5">
        <w:t xml:space="preserve"> </w:t>
      </w:r>
      <w:r w:rsidR="002829F5">
        <w:t>Cognitive impairment</w:t>
      </w:r>
      <w:r w:rsidR="002829F5" w:rsidRPr="00D3622C">
        <w:t xml:space="preserve"> include</w:t>
      </w:r>
      <w:r w:rsidR="002829F5">
        <w:t>s</w:t>
      </w:r>
      <w:r w:rsidR="002829F5" w:rsidRPr="00D3622C">
        <w:t xml:space="preserve"> intellectual disabilities, </w:t>
      </w:r>
      <w:r w:rsidR="002829F5" w:rsidRPr="00D3622C">
        <w:lastRenderedPageBreak/>
        <w:t>learning difficulties, acquired brain injury, foetal alcohol syndrome, dementia, neurological disorders and autism spectrum disorders.</w:t>
      </w:r>
      <w:r w:rsidR="00222688">
        <w:rPr>
          <w:rStyle w:val="EndnoteReference"/>
        </w:rPr>
        <w:endnoteReference w:id="15"/>
      </w:r>
    </w:p>
    <w:p w14:paraId="44EA538B" w14:textId="3ED17655" w:rsidR="00222688" w:rsidRPr="00C1414D" w:rsidRDefault="00222688" w:rsidP="005D151F">
      <w:pPr>
        <w:pStyle w:val="SubmissionNormal"/>
        <w:tabs>
          <w:tab w:val="clear" w:pos="720"/>
          <w:tab w:val="num" w:pos="567"/>
        </w:tabs>
        <w:ind w:left="567" w:hanging="567"/>
      </w:pPr>
      <w:r>
        <w:t xml:space="preserve">Psychiatric impairment, on the other hand, refers to mental illness. A psychiatric impairment is a </w:t>
      </w:r>
      <w:r w:rsidRPr="006C7205">
        <w:t xml:space="preserve">condition that </w:t>
      </w:r>
      <w:r w:rsidRPr="006C7205">
        <w:rPr>
          <w:rFonts w:cs="Archer Book"/>
          <w:color w:val="000000"/>
        </w:rPr>
        <w:t>severely impairs (temporarily or permanently) the mental functioning of the person and is characterised by the presence of one or more of the following symptoms: delusions, hallucinations, serious disorder of thought, a severe disorder of mood, and sustained or repeated irrational behaviour</w:t>
      </w:r>
      <w:r>
        <w:rPr>
          <w:rFonts w:cs="Archer Book"/>
          <w:color w:val="000000"/>
        </w:rPr>
        <w:t>.</w:t>
      </w:r>
      <w:r>
        <w:rPr>
          <w:rStyle w:val="EndnoteReference"/>
          <w:rFonts w:cs="Archer Book"/>
          <w:color w:val="000000"/>
        </w:rPr>
        <w:endnoteReference w:id="16"/>
      </w:r>
    </w:p>
    <w:p w14:paraId="06C6BAE9" w14:textId="5DC45D9D" w:rsidR="00D30874" w:rsidRPr="00D30874" w:rsidRDefault="00D30874" w:rsidP="00D30874">
      <w:pPr>
        <w:pStyle w:val="SubmissionNormal"/>
        <w:tabs>
          <w:tab w:val="clear" w:pos="720"/>
          <w:tab w:val="num" w:pos="567"/>
        </w:tabs>
        <w:ind w:left="567" w:hanging="567"/>
      </w:pPr>
      <w:r>
        <w:rPr>
          <w:rFonts w:cs="Archer Book"/>
          <w:color w:val="000000"/>
        </w:rPr>
        <w:t>A</w:t>
      </w:r>
      <w:r w:rsidR="00570AFA">
        <w:rPr>
          <w:rFonts w:cs="Archer Book"/>
          <w:color w:val="000000"/>
        </w:rPr>
        <w:t xml:space="preserve"> </w:t>
      </w:r>
      <w:r w:rsidR="00570AFA" w:rsidRPr="005D151F">
        <w:t>key</w:t>
      </w:r>
      <w:r w:rsidR="00570AFA">
        <w:rPr>
          <w:rFonts w:cs="Archer Book"/>
          <w:color w:val="000000"/>
        </w:rPr>
        <w:t xml:space="preserve"> </w:t>
      </w:r>
      <w:r w:rsidR="00570AFA" w:rsidRPr="001566B0">
        <w:rPr>
          <w:rFonts w:cs="Archer Book"/>
          <w:color w:val="000000"/>
        </w:rPr>
        <w:t>difference betwee</w:t>
      </w:r>
      <w:r w:rsidRPr="001566B0">
        <w:rPr>
          <w:rFonts w:cs="Archer Book"/>
          <w:color w:val="000000"/>
        </w:rPr>
        <w:t xml:space="preserve">n these two types of impairment is that ‘cognitive impairment is not “treatable” </w:t>
      </w:r>
      <w:r w:rsidR="00570AFA" w:rsidRPr="001566B0">
        <w:rPr>
          <w:rFonts w:cs="Arial"/>
        </w:rPr>
        <w:t>in the same way that much mental illness [psychiatric impairment]</w:t>
      </w:r>
      <w:r w:rsidR="001566B0">
        <w:rPr>
          <w:rFonts w:cs="Arial"/>
        </w:rPr>
        <w:t xml:space="preserve"> is</w:t>
      </w:r>
      <w:r w:rsidR="001566B0" w:rsidRPr="001566B0">
        <w:rPr>
          <w:rFonts w:cs="Arial"/>
        </w:rPr>
        <w:t>'</w:t>
      </w:r>
      <w:r w:rsidR="001566B0">
        <w:rPr>
          <w:rFonts w:cs="Arial"/>
        </w:rPr>
        <w:t>:</w:t>
      </w:r>
      <w:r w:rsidR="00570AFA" w:rsidRPr="00D30874">
        <w:rPr>
          <w:rFonts w:cs="Arial"/>
          <w:sz w:val="22"/>
          <w:szCs w:val="22"/>
        </w:rPr>
        <w:t xml:space="preserve"> </w:t>
      </w:r>
    </w:p>
    <w:p w14:paraId="296DF90B" w14:textId="10FD2555" w:rsidR="00570AFA" w:rsidRPr="00D30874" w:rsidRDefault="00570AFA" w:rsidP="001566B0">
      <w:pPr>
        <w:pStyle w:val="SubmissionNormal"/>
        <w:numPr>
          <w:ilvl w:val="0"/>
          <w:numId w:val="0"/>
        </w:numPr>
        <w:ind w:left="1276"/>
      </w:pPr>
      <w:r w:rsidRPr="00D30874">
        <w:rPr>
          <w:rFonts w:cs="Arial"/>
          <w:sz w:val="22"/>
          <w:szCs w:val="22"/>
        </w:rPr>
        <w:t>While mental illness is episodic, and may respond to pharmaceutical and clinical treatment res</w:t>
      </w:r>
      <w:r w:rsidR="00D30874" w:rsidRPr="00D30874">
        <w:rPr>
          <w:rFonts w:cs="Arial"/>
          <w:sz w:val="22"/>
          <w:szCs w:val="22"/>
        </w:rPr>
        <w:t>ulting in a return of capacity…</w:t>
      </w:r>
      <w:r w:rsidRPr="00D30874">
        <w:rPr>
          <w:rFonts w:cs="Arial"/>
          <w:sz w:val="22"/>
          <w:szCs w:val="22"/>
        </w:rPr>
        <w:t>cognitive disabilities (although involving fluctuating skill sets depending on a range of envir</w:t>
      </w:r>
      <w:r w:rsidR="00A17F0B" w:rsidRPr="00D30874">
        <w:rPr>
          <w:rFonts w:cs="Arial"/>
          <w:sz w:val="22"/>
          <w:szCs w:val="22"/>
        </w:rPr>
        <w:t>onmental and support factors) [are]</w:t>
      </w:r>
      <w:r w:rsidRPr="00D30874">
        <w:rPr>
          <w:rFonts w:cs="Arial"/>
          <w:sz w:val="22"/>
          <w:szCs w:val="22"/>
        </w:rPr>
        <w:t xml:space="preserve"> permanent.</w:t>
      </w:r>
      <w:r>
        <w:rPr>
          <w:rStyle w:val="EndnoteReference"/>
          <w:rFonts w:cs="Arial"/>
          <w:szCs w:val="22"/>
        </w:rPr>
        <w:endnoteReference w:id="17"/>
      </w:r>
    </w:p>
    <w:p w14:paraId="641730E4" w14:textId="2109ED25" w:rsidR="00570AFA" w:rsidRPr="00D05351" w:rsidRDefault="00570AFA" w:rsidP="000C1574">
      <w:pPr>
        <w:pStyle w:val="SubmissionNormal"/>
        <w:tabs>
          <w:tab w:val="clear" w:pos="720"/>
          <w:tab w:val="num" w:pos="567"/>
        </w:tabs>
        <w:ind w:left="567" w:hanging="567"/>
        <w:rPr>
          <w:rFonts w:cs="Arial"/>
          <w:color w:val="000000"/>
        </w:rPr>
      </w:pPr>
      <w:r>
        <w:rPr>
          <w:rFonts w:cs="Arial"/>
          <w:color w:val="000000"/>
        </w:rPr>
        <w:t xml:space="preserve">It is also </w:t>
      </w:r>
      <w:r w:rsidRPr="000C1574">
        <w:rPr>
          <w:rFonts w:cs="Arial"/>
        </w:rPr>
        <w:t>important</w:t>
      </w:r>
      <w:r>
        <w:rPr>
          <w:rFonts w:cs="Arial"/>
          <w:color w:val="000000"/>
        </w:rPr>
        <w:t xml:space="preserve"> to note that </w:t>
      </w:r>
      <w:r w:rsidRPr="003B7753">
        <w:rPr>
          <w:rFonts w:cs="Arial"/>
        </w:rPr>
        <w:t xml:space="preserve">many people in the criminal justice system may have both a cognitive impairment </w:t>
      </w:r>
      <w:r w:rsidRPr="003B7753">
        <w:rPr>
          <w:rFonts w:cs="Arial"/>
          <w:i/>
          <w:iCs/>
        </w:rPr>
        <w:t xml:space="preserve">and </w:t>
      </w:r>
      <w:r>
        <w:rPr>
          <w:rFonts w:cs="Arial"/>
        </w:rPr>
        <w:t>a</w:t>
      </w:r>
      <w:r w:rsidR="003E2D93">
        <w:rPr>
          <w:rFonts w:cs="Arial"/>
        </w:rPr>
        <w:t xml:space="preserve"> psychiatric impairment</w:t>
      </w:r>
      <w:r>
        <w:rPr>
          <w:rFonts w:cs="Arial"/>
        </w:rPr>
        <w:t>.</w:t>
      </w:r>
      <w:r>
        <w:rPr>
          <w:rStyle w:val="EndnoteReference"/>
          <w:rFonts w:cs="Arial"/>
        </w:rPr>
        <w:endnoteReference w:id="18"/>
      </w:r>
    </w:p>
    <w:p w14:paraId="08268532" w14:textId="11BFD5A5" w:rsidR="00570AFA" w:rsidRPr="00BD16C3" w:rsidRDefault="00570AFA" w:rsidP="00D05351">
      <w:pPr>
        <w:pStyle w:val="Heading2"/>
      </w:pPr>
      <w:bookmarkStart w:id="67" w:name="_Toc447200183"/>
      <w:r>
        <w:t>People with cognitive and/or psychiatric impairment who come into contact with the criminal justice system</w:t>
      </w:r>
      <w:bookmarkEnd w:id="67"/>
      <w:r>
        <w:t xml:space="preserve"> </w:t>
      </w:r>
    </w:p>
    <w:p w14:paraId="21EA0132" w14:textId="7B0AEDF2" w:rsidR="00165114" w:rsidRPr="00165114" w:rsidRDefault="00570AFA" w:rsidP="000C1574">
      <w:pPr>
        <w:pStyle w:val="SubmissionNormal"/>
        <w:tabs>
          <w:tab w:val="clear" w:pos="720"/>
          <w:tab w:val="num" w:pos="567"/>
        </w:tabs>
        <w:ind w:left="567" w:hanging="567"/>
      </w:pPr>
      <w:r>
        <w:rPr>
          <w:rFonts w:cs="Arial"/>
        </w:rPr>
        <w:t xml:space="preserve">People with cognitive and/or psychiatric impairment are exposed to the risk of indefinite </w:t>
      </w:r>
      <w:r w:rsidRPr="000C1574">
        <w:rPr>
          <w:rFonts w:cs="Arial"/>
          <w:color w:val="000000"/>
        </w:rPr>
        <w:t>detention</w:t>
      </w:r>
      <w:r>
        <w:rPr>
          <w:rFonts w:cs="Arial"/>
        </w:rPr>
        <w:t xml:space="preserve"> when they </w:t>
      </w:r>
      <w:r w:rsidR="00BE0A02">
        <w:rPr>
          <w:rFonts w:cs="Arial"/>
        </w:rPr>
        <w:t xml:space="preserve">are charged with an offence and brought into </w:t>
      </w:r>
      <w:r>
        <w:rPr>
          <w:rFonts w:cs="Arial"/>
        </w:rPr>
        <w:t xml:space="preserve">the criminal justice system. </w:t>
      </w:r>
    </w:p>
    <w:p w14:paraId="55358519" w14:textId="3FF12191" w:rsidR="00570AFA" w:rsidRPr="00102204" w:rsidRDefault="00336EEB" w:rsidP="000C1574">
      <w:pPr>
        <w:pStyle w:val="SubmissionNormal"/>
        <w:tabs>
          <w:tab w:val="clear" w:pos="720"/>
          <w:tab w:val="num" w:pos="567"/>
        </w:tabs>
        <w:ind w:left="567" w:hanging="567"/>
        <w:rPr>
          <w:rFonts w:cs="Arial"/>
          <w:color w:val="000000"/>
        </w:rPr>
      </w:pPr>
      <w:r>
        <w:t xml:space="preserve">It is clear that </w:t>
      </w:r>
      <w:r w:rsidR="00570AFA">
        <w:t xml:space="preserve">people with cognitive and/or </w:t>
      </w:r>
      <w:r w:rsidR="00570AFA" w:rsidRPr="000C1574">
        <w:rPr>
          <w:rFonts w:cs="Arial"/>
        </w:rPr>
        <w:t>psychiatric</w:t>
      </w:r>
      <w:r w:rsidR="00570AFA">
        <w:t xml:space="preserve"> </w:t>
      </w:r>
      <w:r w:rsidR="00570AFA" w:rsidRPr="00102204">
        <w:rPr>
          <w:rFonts w:cs="Arial"/>
        </w:rPr>
        <w:t>impairment</w:t>
      </w:r>
      <w:r w:rsidR="00570AFA">
        <w:t xml:space="preserve"> are</w:t>
      </w:r>
      <w:r w:rsidR="00991348">
        <w:t xml:space="preserve"> over-represented in </w:t>
      </w:r>
      <w:r w:rsidR="00570AFA">
        <w:t>criminal justice systems in Australia.</w:t>
      </w:r>
      <w:r w:rsidR="00570AFA">
        <w:rPr>
          <w:rStyle w:val="EndnoteReference"/>
        </w:rPr>
        <w:endnoteReference w:id="19"/>
      </w:r>
      <w:r w:rsidR="00102204" w:rsidRPr="00102204">
        <w:rPr>
          <w:rFonts w:cs="Arial"/>
          <w:color w:val="000000"/>
        </w:rPr>
        <w:t xml:space="preserve"> </w:t>
      </w:r>
      <w:r w:rsidR="00102204" w:rsidRPr="00971097">
        <w:rPr>
          <w:rFonts w:cs="Arial"/>
          <w:color w:val="000000"/>
        </w:rPr>
        <w:t>However, as the New South Wales Law Reform Commission</w:t>
      </w:r>
      <w:r w:rsidR="00E803F7">
        <w:rPr>
          <w:rFonts w:cs="Arial"/>
          <w:color w:val="000000"/>
        </w:rPr>
        <w:t xml:space="preserve"> (NSWLRC)</w:t>
      </w:r>
      <w:r w:rsidR="00102204" w:rsidRPr="00971097">
        <w:rPr>
          <w:rFonts w:cs="Arial"/>
          <w:color w:val="000000"/>
        </w:rPr>
        <w:t xml:space="preserve"> has emphasised</w:t>
      </w:r>
      <w:r w:rsidR="00102204">
        <w:rPr>
          <w:rFonts w:cs="Arial"/>
          <w:color w:val="000000"/>
        </w:rPr>
        <w:t>,</w:t>
      </w:r>
      <w:r w:rsidR="00102204" w:rsidRPr="00971097">
        <w:rPr>
          <w:rFonts w:cs="Arial"/>
          <w:color w:val="000000"/>
        </w:rPr>
        <w:t xml:space="preserve"> ‘</w:t>
      </w:r>
      <w:r w:rsidR="00102204" w:rsidRPr="00971097">
        <w:rPr>
          <w:rFonts w:cs="Arial"/>
        </w:rPr>
        <w:t>the great majority of people with a cognitive and/or mental health impairment do not offend.’</w:t>
      </w:r>
      <w:r w:rsidR="00102204" w:rsidRPr="00971097">
        <w:rPr>
          <w:rStyle w:val="EndnoteReference"/>
          <w:rFonts w:cs="Arial"/>
          <w:sz w:val="24"/>
        </w:rPr>
        <w:t xml:space="preserve"> </w:t>
      </w:r>
      <w:r w:rsidR="00102204" w:rsidRPr="00971097">
        <w:rPr>
          <w:rStyle w:val="EndnoteReference"/>
          <w:rFonts w:cs="Arial"/>
          <w:sz w:val="24"/>
        </w:rPr>
        <w:endnoteReference w:id="20"/>
      </w:r>
      <w:r w:rsidR="00102204" w:rsidRPr="00971097">
        <w:t xml:space="preserve"> </w:t>
      </w:r>
      <w:r w:rsidR="00102204" w:rsidRPr="00971097">
        <w:rPr>
          <w:rFonts w:cs="Arial"/>
        </w:rPr>
        <w:t xml:space="preserve">The </w:t>
      </w:r>
      <w:r w:rsidR="00102204">
        <w:rPr>
          <w:rFonts w:cs="Arial"/>
        </w:rPr>
        <w:t>disproportionate number of people with cognitive and/or psychiatric impairment who end up in</w:t>
      </w:r>
      <w:r w:rsidR="00102204" w:rsidRPr="00971097">
        <w:rPr>
          <w:rFonts w:cs="Arial"/>
        </w:rPr>
        <w:t xml:space="preserve"> the criminal justice system</w:t>
      </w:r>
      <w:r w:rsidR="00102204">
        <w:rPr>
          <w:rFonts w:cs="Arial"/>
        </w:rPr>
        <w:t xml:space="preserve">: </w:t>
      </w:r>
    </w:p>
    <w:p w14:paraId="1622937B" w14:textId="4780A076" w:rsidR="0067778E" w:rsidRPr="0067778E" w:rsidRDefault="00570AFA" w:rsidP="0067778E">
      <w:pPr>
        <w:autoSpaceDE w:val="0"/>
        <w:autoSpaceDN w:val="0"/>
        <w:adjustRightInd w:val="0"/>
        <w:spacing w:before="0" w:after="0"/>
        <w:ind w:left="1134"/>
        <w:rPr>
          <w:rFonts w:cs="Arial"/>
          <w:sz w:val="22"/>
          <w:szCs w:val="22"/>
        </w:rPr>
      </w:pPr>
      <w:r w:rsidRPr="0067778E">
        <w:rPr>
          <w:rFonts w:cs="Arial"/>
          <w:sz w:val="22"/>
          <w:szCs w:val="22"/>
        </w:rPr>
        <w:t>does not arise from any simple relationship between impairment and crime, but from impairment together with a multiplicity of other factors, such as disrupted family backgrounds, family violence, abuse, misuse of drugs and alcohol, and unstable housing.</w:t>
      </w:r>
      <w:r w:rsidRPr="00DF5E1D">
        <w:rPr>
          <w:rStyle w:val="EndnoteReference"/>
          <w:rFonts w:eastAsia="Times New Roman"/>
        </w:rPr>
        <w:endnoteReference w:id="21"/>
      </w:r>
      <w:r w:rsidRPr="00DF5E1D">
        <w:rPr>
          <w:rStyle w:val="EndnoteReference"/>
          <w:rFonts w:eastAsia="Times New Roman"/>
        </w:rPr>
        <w:t xml:space="preserve"> </w:t>
      </w:r>
    </w:p>
    <w:p w14:paraId="025FE743" w14:textId="58FB1B80" w:rsidR="00570AFA" w:rsidRPr="001422C3" w:rsidRDefault="00570AFA" w:rsidP="001422C3">
      <w:pPr>
        <w:pStyle w:val="SubmissionNormal"/>
        <w:tabs>
          <w:tab w:val="clear" w:pos="720"/>
          <w:tab w:val="num" w:pos="567"/>
        </w:tabs>
        <w:ind w:left="567" w:hanging="567"/>
      </w:pPr>
      <w:r>
        <w:rPr>
          <w:rFonts w:ascii="ArialMT" w:hAnsi="ArialMT" w:cs="ArialMT"/>
        </w:rPr>
        <w:t xml:space="preserve">Without adequate support in the community, people with </w:t>
      </w:r>
      <w:r w:rsidRPr="00BB7265">
        <w:rPr>
          <w:rFonts w:ascii="ArialMT" w:hAnsi="ArialMT" w:cs="ArialMT"/>
        </w:rPr>
        <w:t xml:space="preserve">cognitive </w:t>
      </w:r>
      <w:r w:rsidR="001422C3">
        <w:rPr>
          <w:rFonts w:ascii="ArialMT" w:hAnsi="ArialMT" w:cs="ArialMT"/>
        </w:rPr>
        <w:t xml:space="preserve">and/or psychiatric </w:t>
      </w:r>
      <w:r w:rsidRPr="00BB7265">
        <w:rPr>
          <w:rFonts w:ascii="ArialMT" w:hAnsi="ArialMT" w:cs="ArialMT"/>
        </w:rPr>
        <w:t xml:space="preserve">impairment </w:t>
      </w:r>
      <w:r>
        <w:rPr>
          <w:rFonts w:ascii="ArialMT" w:hAnsi="ArialMT" w:cs="ArialMT"/>
        </w:rPr>
        <w:t xml:space="preserve">are also more </w:t>
      </w:r>
      <w:r w:rsidRPr="000C1574">
        <w:t>likely</w:t>
      </w:r>
      <w:r>
        <w:rPr>
          <w:rFonts w:ascii="ArialMT" w:hAnsi="ArialMT" w:cs="ArialMT"/>
        </w:rPr>
        <w:t xml:space="preserve"> to experience </w:t>
      </w:r>
      <w:r w:rsidRPr="00BB7265">
        <w:rPr>
          <w:rFonts w:ascii="ArialMT" w:hAnsi="ArialMT" w:cs="ArialMT"/>
        </w:rPr>
        <w:t>social or economic disadvantage</w:t>
      </w:r>
      <w:r w:rsidR="00C22E99">
        <w:rPr>
          <w:rFonts w:ascii="ArialMT" w:hAnsi="ArialMT" w:cs="ArialMT"/>
        </w:rPr>
        <w:t xml:space="preserve">, for example </w:t>
      </w:r>
      <w:r w:rsidR="00C22E99" w:rsidRPr="001422C3">
        <w:rPr>
          <w:rFonts w:ascii="ArialMT" w:hAnsi="ArialMT" w:cs="ArialMT"/>
        </w:rPr>
        <w:t>reduced access to education and employment opportunities, and social isolation.</w:t>
      </w:r>
      <w:r w:rsidR="00C22E99">
        <w:rPr>
          <w:rStyle w:val="EndnoteReference"/>
          <w:rFonts w:cs="ArialMT"/>
        </w:rPr>
        <w:endnoteReference w:id="22"/>
      </w:r>
      <w:r w:rsidR="00C22E99" w:rsidRPr="001422C3">
        <w:rPr>
          <w:rFonts w:ascii="ArialMT" w:hAnsi="ArialMT" w:cs="ArialMT"/>
        </w:rPr>
        <w:t xml:space="preserve"> </w:t>
      </w:r>
      <w:r w:rsidR="001422C3">
        <w:rPr>
          <w:rFonts w:ascii="ArialMT" w:hAnsi="ArialMT" w:cs="ArialMT"/>
        </w:rPr>
        <w:t xml:space="preserve"> </w:t>
      </w:r>
      <w:r w:rsidR="001422C3">
        <w:rPr>
          <w:rFonts w:cs="Arial"/>
        </w:rPr>
        <w:t xml:space="preserve">Forty-five </w:t>
      </w:r>
      <w:r w:rsidR="001422C3" w:rsidRPr="000C1574">
        <w:rPr>
          <w:rFonts w:ascii="ArialMT" w:hAnsi="ArialMT" w:cs="ArialMT"/>
        </w:rPr>
        <w:t>per</w:t>
      </w:r>
      <w:r w:rsidR="000812D7">
        <w:rPr>
          <w:rFonts w:cs="Arial"/>
        </w:rPr>
        <w:t>cent of people with disability</w:t>
      </w:r>
      <w:r w:rsidR="001422C3">
        <w:rPr>
          <w:rFonts w:cs="Arial"/>
        </w:rPr>
        <w:t xml:space="preserve"> in Australia live in poverty or near poverty.</w:t>
      </w:r>
      <w:r w:rsidR="001422C3">
        <w:rPr>
          <w:rStyle w:val="EndnoteReference"/>
          <w:rFonts w:cs="Arial"/>
        </w:rPr>
        <w:endnoteReference w:id="23"/>
      </w:r>
      <w:r w:rsidR="001422C3">
        <w:t xml:space="preserve"> </w:t>
      </w:r>
      <w:r w:rsidR="00C22E99">
        <w:rPr>
          <w:rFonts w:ascii="ArialMT" w:hAnsi="ArialMT" w:cs="ArialMT"/>
        </w:rPr>
        <w:t>These factors</w:t>
      </w:r>
      <w:r w:rsidRPr="001422C3">
        <w:rPr>
          <w:rFonts w:ascii="ArialMT" w:hAnsi="ArialMT" w:cs="ArialMT"/>
        </w:rPr>
        <w:t xml:space="preserve"> </w:t>
      </w:r>
      <w:r w:rsidR="00C22E99">
        <w:rPr>
          <w:rFonts w:ascii="ArialMT" w:hAnsi="ArialMT" w:cs="ArialMT"/>
        </w:rPr>
        <w:t>increase</w:t>
      </w:r>
      <w:r w:rsidRPr="001422C3">
        <w:rPr>
          <w:rFonts w:ascii="ArialMT" w:hAnsi="ArialMT" w:cs="ArialMT"/>
        </w:rPr>
        <w:t xml:space="preserve"> the risk of engaging in criminal behaviour</w:t>
      </w:r>
      <w:r w:rsidRPr="001422C3">
        <w:rPr>
          <w:rFonts w:cs="Arial"/>
          <w:sz w:val="22"/>
          <w:szCs w:val="22"/>
        </w:rPr>
        <w:t>.</w:t>
      </w:r>
      <w:r>
        <w:rPr>
          <w:rStyle w:val="EndnoteReference"/>
          <w:rFonts w:cs="Arial"/>
          <w:szCs w:val="22"/>
        </w:rPr>
        <w:endnoteReference w:id="24"/>
      </w:r>
      <w:r w:rsidRPr="001422C3">
        <w:rPr>
          <w:rFonts w:cs="Arial"/>
          <w:sz w:val="22"/>
          <w:szCs w:val="22"/>
        </w:rPr>
        <w:t xml:space="preserve"> </w:t>
      </w:r>
    </w:p>
    <w:p w14:paraId="56CDE266" w14:textId="718FC020" w:rsidR="00570AFA" w:rsidRPr="00BF6933" w:rsidRDefault="00570AFA" w:rsidP="00463F65">
      <w:pPr>
        <w:pStyle w:val="SubmissionNormal"/>
        <w:tabs>
          <w:tab w:val="clear" w:pos="720"/>
          <w:tab w:val="num" w:pos="567"/>
        </w:tabs>
        <w:ind w:left="567" w:hanging="567"/>
      </w:pPr>
      <w:r w:rsidRPr="00DD5AAC">
        <w:rPr>
          <w:rFonts w:cs="Arial"/>
        </w:rPr>
        <w:t>Aboriginal and Torres Strait Islander people experience disability at approximately twice the rate of non-Indigenous people.</w:t>
      </w:r>
      <w:r>
        <w:rPr>
          <w:rStyle w:val="EndnoteReference"/>
          <w:rFonts w:cs="Arial"/>
        </w:rPr>
        <w:endnoteReference w:id="25"/>
      </w:r>
      <w:r w:rsidR="00463F65">
        <w:t xml:space="preserve"> </w:t>
      </w:r>
      <w:r w:rsidR="00463F65">
        <w:rPr>
          <w:rFonts w:cs="Arial"/>
        </w:rPr>
        <w:t>This</w:t>
      </w:r>
      <w:r w:rsidRPr="00463F65">
        <w:rPr>
          <w:rFonts w:cs="Arial"/>
        </w:rPr>
        <w:t xml:space="preserve"> high rate of disability is driven by a number of factors, </w:t>
      </w:r>
      <w:r w:rsidR="00BF6933" w:rsidRPr="00463F65">
        <w:rPr>
          <w:rFonts w:cs="Arial"/>
        </w:rPr>
        <w:t>including socio-economic disadvantage,</w:t>
      </w:r>
      <w:r w:rsidRPr="00463F65">
        <w:rPr>
          <w:rFonts w:cs="Arial"/>
        </w:rPr>
        <w:t xml:space="preserve"> </w:t>
      </w:r>
      <w:r w:rsidR="00BF6933" w:rsidRPr="00463F65">
        <w:rPr>
          <w:rFonts w:cs="Arial"/>
        </w:rPr>
        <w:t xml:space="preserve">poor health care and nutrition, exposure to violence, psychological trauma and substance abuse, and the breakdown of traditional </w:t>
      </w:r>
      <w:r w:rsidR="00BF6933" w:rsidRPr="00463F65">
        <w:rPr>
          <w:rFonts w:cs="Arial"/>
        </w:rPr>
        <w:lastRenderedPageBreak/>
        <w:t>community structures in some areas.</w:t>
      </w:r>
      <w:r w:rsidR="00BF6933" w:rsidRPr="00463F65">
        <w:rPr>
          <w:rStyle w:val="EndnoteReference"/>
          <w:rFonts w:cs="Arial"/>
        </w:rPr>
        <w:t xml:space="preserve"> </w:t>
      </w:r>
      <w:r w:rsidR="00BF6933">
        <w:rPr>
          <w:rStyle w:val="EndnoteReference"/>
          <w:rFonts w:cs="Arial"/>
        </w:rPr>
        <w:endnoteReference w:id="26"/>
      </w:r>
      <w:r w:rsidR="00BF6933" w:rsidRPr="00463F65">
        <w:rPr>
          <w:rFonts w:cs="Arial"/>
        </w:rPr>
        <w:t xml:space="preserve"> </w:t>
      </w:r>
      <w:r w:rsidR="00BF6933" w:rsidRPr="00463F65">
        <w:rPr>
          <w:rStyle w:val="EndnoteReference"/>
          <w:rFonts w:cs="Arial"/>
        </w:rPr>
        <w:t xml:space="preserve"> </w:t>
      </w:r>
      <w:r w:rsidR="005B1DFB" w:rsidRPr="00463F65">
        <w:rPr>
          <w:rFonts w:cs="Arial"/>
        </w:rPr>
        <w:t>It</w:t>
      </w:r>
      <w:r w:rsidR="00BF6933" w:rsidRPr="00463F65">
        <w:rPr>
          <w:rFonts w:cs="Arial"/>
        </w:rPr>
        <w:t xml:space="preserve"> is important to recognise the ‘</w:t>
      </w:r>
      <w:r w:rsidR="00BF6933" w:rsidRPr="00463F65">
        <w:rPr>
          <w:rFonts w:cs="Archer Book"/>
          <w:color w:val="000000"/>
        </w:rPr>
        <w:t>historical and socio-political context of Aboriginal mental health’ which includes:</w:t>
      </w:r>
    </w:p>
    <w:p w14:paraId="1389B388" w14:textId="413350FE" w:rsidR="00570AFA" w:rsidRPr="00E96A78" w:rsidRDefault="00570AFA" w:rsidP="00E96A78">
      <w:pPr>
        <w:autoSpaceDE w:val="0"/>
        <w:autoSpaceDN w:val="0"/>
        <w:adjustRightInd w:val="0"/>
        <w:spacing w:before="0" w:after="0"/>
        <w:ind w:left="1134"/>
        <w:rPr>
          <w:rFonts w:eastAsia="Times New Roman"/>
        </w:rPr>
      </w:pPr>
      <w:r w:rsidRPr="00382986">
        <w:rPr>
          <w:rFonts w:cs="Arial"/>
          <w:sz w:val="22"/>
          <w:szCs w:val="22"/>
        </w:rPr>
        <w:t>the impact of colonisation; trauma; loss and grief; separation of families and children; the taking away of land; and the loss of culture and identity; plus the impact of social inequality, stigma, racism and ongoing losses.</w:t>
      </w:r>
      <w:r>
        <w:rPr>
          <w:rStyle w:val="EndnoteReference"/>
          <w:rFonts w:cs="Arial"/>
          <w:szCs w:val="22"/>
        </w:rPr>
        <w:endnoteReference w:id="27"/>
      </w:r>
      <w:r>
        <w:rPr>
          <w:rFonts w:cs="Archer Book"/>
          <w:color w:val="000000"/>
          <w:sz w:val="20"/>
          <w:szCs w:val="20"/>
        </w:rPr>
        <w:t xml:space="preserve"> </w:t>
      </w:r>
    </w:p>
    <w:p w14:paraId="720DBC3B" w14:textId="65B373B6" w:rsidR="00570AFA" w:rsidRDefault="00463F65" w:rsidP="003E50FD">
      <w:pPr>
        <w:pStyle w:val="SubmissionNormal"/>
        <w:tabs>
          <w:tab w:val="clear" w:pos="720"/>
          <w:tab w:val="num" w:pos="567"/>
        </w:tabs>
        <w:ind w:left="567" w:hanging="567"/>
        <w:rPr>
          <w:rFonts w:cs="Arial"/>
        </w:rPr>
      </w:pPr>
      <w:r>
        <w:rPr>
          <w:rFonts w:cs="Arial"/>
        </w:rPr>
        <w:t>Aboriginal and Torres Strait Islander people with disability can ex</w:t>
      </w:r>
      <w:r w:rsidR="001B4B72">
        <w:rPr>
          <w:rFonts w:cs="Arial"/>
        </w:rPr>
        <w:t>perience ‘double disadvantage’</w:t>
      </w:r>
      <w:r w:rsidR="001B4B72" w:rsidRPr="000B539F">
        <w:rPr>
          <w:rFonts w:cs="Arial"/>
        </w:rPr>
        <w:t>, that is discrimination on the basis of both race and disability.</w:t>
      </w:r>
      <w:r w:rsidR="001B4B72">
        <w:rPr>
          <w:rFonts w:cs="Arial"/>
        </w:rPr>
        <w:t xml:space="preserve"> </w:t>
      </w:r>
      <w:r w:rsidR="00A80B0E">
        <w:rPr>
          <w:rFonts w:cs="Arial"/>
        </w:rPr>
        <w:t>T</w:t>
      </w:r>
      <w:r w:rsidR="001B4B72">
        <w:rPr>
          <w:rFonts w:cs="Arial"/>
        </w:rPr>
        <w:t xml:space="preserve">here are </w:t>
      </w:r>
      <w:r w:rsidR="0062333D">
        <w:rPr>
          <w:rFonts w:cs="Arial"/>
        </w:rPr>
        <w:t xml:space="preserve">also </w:t>
      </w:r>
      <w:r w:rsidR="00570AFA">
        <w:rPr>
          <w:rFonts w:cs="Arial"/>
        </w:rPr>
        <w:t>a number of unique challenges that Aboriginal and Torres Strait Islander peoples face when trying to access disability services.</w:t>
      </w:r>
      <w:r w:rsidR="00570AFA">
        <w:rPr>
          <w:rStyle w:val="EndnoteReference"/>
          <w:rFonts w:cs="Arial"/>
        </w:rPr>
        <w:endnoteReference w:id="28"/>
      </w:r>
      <w:r w:rsidR="0032579D">
        <w:rPr>
          <w:rFonts w:cs="Arial"/>
        </w:rPr>
        <w:t xml:space="preserve"> </w:t>
      </w:r>
    </w:p>
    <w:p w14:paraId="492AB405" w14:textId="604DEF78" w:rsidR="00570AFA" w:rsidRPr="00BE297C" w:rsidRDefault="00570AFA" w:rsidP="00BE297C">
      <w:pPr>
        <w:pStyle w:val="SubmissionNormal"/>
        <w:tabs>
          <w:tab w:val="clear" w:pos="720"/>
          <w:tab w:val="num" w:pos="567"/>
        </w:tabs>
        <w:ind w:left="567" w:hanging="567"/>
        <w:rPr>
          <w:rFonts w:cs="Arial"/>
        </w:rPr>
      </w:pPr>
      <w:r w:rsidRPr="00BE297C">
        <w:rPr>
          <w:rFonts w:cs="Arial"/>
        </w:rPr>
        <w:t>Aboriginal and Torres Strait Islander people with disability, particularly cognitive impairment, therefore often have multiple and complex needs, which complicates their interaction with criminal justice systems.</w:t>
      </w:r>
      <w:r w:rsidRPr="00BE297C">
        <w:rPr>
          <w:rStyle w:val="EndnoteReference"/>
          <w:rFonts w:cs="Arial"/>
          <w:sz w:val="24"/>
        </w:rPr>
        <w:endnoteReference w:id="29"/>
      </w:r>
      <w:r w:rsidRPr="00BE297C">
        <w:rPr>
          <w:rFonts w:cs="Arial"/>
        </w:rPr>
        <w:t xml:space="preserve">  </w:t>
      </w:r>
      <w:r w:rsidR="00FA239D" w:rsidRPr="00BE297C">
        <w:rPr>
          <w:rFonts w:cs="Arial"/>
        </w:rPr>
        <w:t>T</w:t>
      </w:r>
      <w:r w:rsidRPr="00BE297C">
        <w:rPr>
          <w:rFonts w:cs="Arial"/>
        </w:rPr>
        <w:t>heir disability can be ‘masked’ by the consequences of the other disadvantages they experience</w:t>
      </w:r>
      <w:r w:rsidR="00BE297C" w:rsidRPr="00BE297C">
        <w:rPr>
          <w:rFonts w:cs="Arial"/>
        </w:rPr>
        <w:t xml:space="preserve">, for example </w:t>
      </w:r>
      <w:r w:rsidR="003E50FD">
        <w:rPr>
          <w:rFonts w:cs="Arial"/>
        </w:rPr>
        <w:t>a</w:t>
      </w:r>
      <w:r w:rsidR="00BE297C" w:rsidRPr="00BE297C">
        <w:t xml:space="preserve"> lack of response to questions may be </w:t>
      </w:r>
      <w:r w:rsidR="003E50FD">
        <w:t>ascribed to</w:t>
      </w:r>
      <w:r w:rsidR="00BE297C" w:rsidRPr="00BE297C">
        <w:t xml:space="preserve"> language and </w:t>
      </w:r>
      <w:r w:rsidR="003E50FD">
        <w:t>cultural barriers, rather than cognitive impairment</w:t>
      </w:r>
      <w:r w:rsidR="00BE297C" w:rsidRPr="00BE297C">
        <w:t>.</w:t>
      </w:r>
      <w:r w:rsidR="006A1C21" w:rsidRPr="00BE297C">
        <w:rPr>
          <w:rStyle w:val="EndnoteReference"/>
          <w:sz w:val="24"/>
        </w:rPr>
        <w:endnoteReference w:id="30"/>
      </w:r>
      <w:r w:rsidR="006A1C21" w:rsidRPr="00BE297C">
        <w:t xml:space="preserve"> </w:t>
      </w:r>
    </w:p>
    <w:p w14:paraId="725C9123" w14:textId="77C29114" w:rsidR="008304E3" w:rsidRPr="0079629F" w:rsidRDefault="00570AFA" w:rsidP="000C1574">
      <w:pPr>
        <w:pStyle w:val="SubmissionNormal"/>
        <w:tabs>
          <w:tab w:val="clear" w:pos="720"/>
          <w:tab w:val="num" w:pos="567"/>
        </w:tabs>
        <w:ind w:left="567" w:hanging="567"/>
        <w:rPr>
          <w:rFonts w:cs="Arial"/>
        </w:rPr>
      </w:pPr>
      <w:r w:rsidRPr="00693A26">
        <w:rPr>
          <w:rFonts w:cs="Arial"/>
        </w:rPr>
        <w:t xml:space="preserve">The Commission notes that </w:t>
      </w:r>
      <w:r w:rsidRPr="00693A26">
        <w:rPr>
          <w:rFonts w:cs="Arial"/>
          <w:i/>
        </w:rPr>
        <w:t>young</w:t>
      </w:r>
      <w:r w:rsidRPr="00693A26">
        <w:rPr>
          <w:rFonts w:cs="Arial"/>
        </w:rPr>
        <w:t xml:space="preserve"> Aboriginal and Torres Strait Islander people with cognitive and/or psychiatric impairment are particularly at risk of contact with the criminal justice system. The Commission commends to the Committee its 2008 report </w:t>
      </w:r>
      <w:r w:rsidRPr="00693A26">
        <w:rPr>
          <w:rFonts w:cs="Arial"/>
          <w:i/>
        </w:rPr>
        <w:t xml:space="preserve">Preventing Crime and Promoting Rights for Indigenous Young People with Cognitive Disabilities and Mental Health Issues, </w:t>
      </w:r>
      <w:r w:rsidR="0043081B">
        <w:rPr>
          <w:rFonts w:cs="Arial"/>
        </w:rPr>
        <w:t xml:space="preserve">which discusses in </w:t>
      </w:r>
      <w:r>
        <w:rPr>
          <w:rFonts w:cs="Arial"/>
        </w:rPr>
        <w:t>detail the multiple levels o</w:t>
      </w:r>
      <w:r w:rsidR="00690AFF">
        <w:rPr>
          <w:rFonts w:cs="Arial"/>
        </w:rPr>
        <w:t>f disadvantage experienced</w:t>
      </w:r>
      <w:r w:rsidRPr="00693A26">
        <w:rPr>
          <w:rFonts w:cs="Arial"/>
        </w:rPr>
        <w:t xml:space="preserve"> by this group of young people, and explores the types of interventions which can assist them.</w:t>
      </w:r>
      <w:r w:rsidR="008304E3">
        <w:rPr>
          <w:rStyle w:val="EndnoteReference"/>
          <w:rFonts w:cs="Arial"/>
        </w:rPr>
        <w:endnoteReference w:id="31"/>
      </w:r>
    </w:p>
    <w:p w14:paraId="53C8669B" w14:textId="7A6195F6" w:rsidR="00CE12EA" w:rsidRPr="009B3C86" w:rsidRDefault="005F2651" w:rsidP="00057B21">
      <w:pPr>
        <w:pStyle w:val="SubmissionNormal"/>
        <w:tabs>
          <w:tab w:val="clear" w:pos="720"/>
          <w:tab w:val="num" w:pos="567"/>
        </w:tabs>
        <w:ind w:left="567" w:hanging="567"/>
        <w:rPr>
          <w:rFonts w:cs="Arial"/>
        </w:rPr>
      </w:pPr>
      <w:r>
        <w:t xml:space="preserve">It is well-documented that Aboriginal and Torres Strait Islander people </w:t>
      </w:r>
      <w:r w:rsidR="00D43B26">
        <w:t xml:space="preserve">generally </w:t>
      </w:r>
      <w:r>
        <w:t>are overrepresented in the prison population.</w:t>
      </w:r>
      <w:r w:rsidR="00CE12EA">
        <w:rPr>
          <w:rStyle w:val="EndnoteReference"/>
        </w:rPr>
        <w:endnoteReference w:id="32"/>
      </w:r>
      <w:r w:rsidR="00537D9E">
        <w:t xml:space="preserve"> There </w:t>
      </w:r>
      <w:r w:rsidR="004D5FDE">
        <w:t>are many</w:t>
      </w:r>
      <w:r w:rsidR="00CE12EA">
        <w:t xml:space="preserve"> factors which contribute to this, including homelessness and the disproportionate impact of ‘public order’ laws on Aboriginal and Torres Strait Islander people.</w:t>
      </w:r>
      <w:r w:rsidR="00CE12EA">
        <w:rPr>
          <w:rStyle w:val="EndnoteReference"/>
        </w:rPr>
        <w:endnoteReference w:id="33"/>
      </w:r>
    </w:p>
    <w:p w14:paraId="5B6050F7" w14:textId="5FEE0D02" w:rsidR="00570AFA" w:rsidRPr="008C7426" w:rsidRDefault="00467218" w:rsidP="008C7426">
      <w:pPr>
        <w:pStyle w:val="SubmissionNormal"/>
        <w:tabs>
          <w:tab w:val="clear" w:pos="720"/>
          <w:tab w:val="num" w:pos="567"/>
        </w:tabs>
        <w:ind w:left="567" w:hanging="567"/>
        <w:rPr>
          <w:rFonts w:cs="Arial"/>
        </w:rPr>
      </w:pPr>
      <w:r>
        <w:t xml:space="preserve">It is estimated that </w:t>
      </w:r>
      <w:r w:rsidR="00570AFA">
        <w:t xml:space="preserve">Aboriginal and Torres Strait Islander people </w:t>
      </w:r>
      <w:r w:rsidR="00570AFA" w:rsidRPr="00EC5910">
        <w:rPr>
          <w:rFonts w:cs="Arial"/>
          <w:i/>
        </w:rPr>
        <w:t>with</w:t>
      </w:r>
      <w:r w:rsidR="00570AFA" w:rsidRPr="00EC5910">
        <w:rPr>
          <w:i/>
        </w:rPr>
        <w:t xml:space="preserve"> disability</w:t>
      </w:r>
      <w:r w:rsidR="00570AFA">
        <w:t xml:space="preserve"> are almost 14 times more likely to be imprisoned than the rest of the population.</w:t>
      </w:r>
      <w:r w:rsidR="00570AFA">
        <w:rPr>
          <w:rStyle w:val="EndnoteReference"/>
        </w:rPr>
        <w:endnoteReference w:id="34"/>
      </w:r>
      <w:r w:rsidR="00AE3DE0" w:rsidRPr="00057B21">
        <w:rPr>
          <w:rFonts w:cs="Arial"/>
          <w:sz w:val="22"/>
          <w:szCs w:val="22"/>
        </w:rPr>
        <w:t xml:space="preserve"> </w:t>
      </w:r>
      <w:r w:rsidR="00570AFA" w:rsidRPr="008C7426">
        <w:rPr>
          <w:rFonts w:cs="Arial"/>
        </w:rPr>
        <w:t xml:space="preserve">In terms of people in indefinite detention, the </w:t>
      </w:r>
      <w:r w:rsidR="009040B1">
        <w:t>Aboriginal Disability Justice Campaign (</w:t>
      </w:r>
      <w:r w:rsidR="00570AFA" w:rsidRPr="008C7426">
        <w:rPr>
          <w:rFonts w:cs="Arial"/>
        </w:rPr>
        <w:t>ADJC</w:t>
      </w:r>
      <w:r w:rsidR="009040B1" w:rsidRPr="008C7426">
        <w:rPr>
          <w:rFonts w:cs="Arial"/>
        </w:rPr>
        <w:t>)</w:t>
      </w:r>
      <w:r w:rsidR="00570AFA" w:rsidRPr="008C7426">
        <w:rPr>
          <w:rFonts w:cs="Arial"/>
        </w:rPr>
        <w:t xml:space="preserve"> </w:t>
      </w:r>
      <w:r w:rsidR="00507E65" w:rsidRPr="008C7426">
        <w:rPr>
          <w:rFonts w:cs="Arial"/>
        </w:rPr>
        <w:t xml:space="preserve">has </w:t>
      </w:r>
      <w:r w:rsidR="00570AFA" w:rsidRPr="008C7426">
        <w:rPr>
          <w:rFonts w:cs="Arial"/>
        </w:rPr>
        <w:t>noted that ‘there is no doubt that Indigenous people are massively over-represented.’</w:t>
      </w:r>
      <w:r w:rsidR="00570AFA">
        <w:rPr>
          <w:rStyle w:val="EndnoteReference"/>
          <w:rFonts w:cs="Arial"/>
        </w:rPr>
        <w:endnoteReference w:id="35"/>
      </w:r>
      <w:r w:rsidR="00570AFA" w:rsidRPr="008C7426">
        <w:rPr>
          <w:rFonts w:cs="Arial"/>
        </w:rPr>
        <w:t xml:space="preserve"> From the limited data </w:t>
      </w:r>
      <w:r w:rsidR="00570AFA" w:rsidRPr="000C1574">
        <w:t>available</w:t>
      </w:r>
      <w:r w:rsidR="00570AFA" w:rsidRPr="008C7426">
        <w:rPr>
          <w:rFonts w:cs="Arial"/>
        </w:rPr>
        <w:t xml:space="preserve"> to the ADJC, it identified that at the time of its research all 9 of the people on </w:t>
      </w:r>
      <w:r w:rsidR="006E1943" w:rsidRPr="008C7426">
        <w:rPr>
          <w:rFonts w:cs="Arial"/>
        </w:rPr>
        <w:t xml:space="preserve">indefinite </w:t>
      </w:r>
      <w:r w:rsidR="00570AFA" w:rsidRPr="008C7426">
        <w:rPr>
          <w:rFonts w:cs="Arial"/>
        </w:rPr>
        <w:t>supervision orders in the Northern Territory were Indigenous, a</w:t>
      </w:r>
      <w:r w:rsidR="00087FB6">
        <w:rPr>
          <w:rFonts w:cs="Arial"/>
        </w:rPr>
        <w:t xml:space="preserve">nd in Western Australia over 30 per cent (11 out of </w:t>
      </w:r>
      <w:r w:rsidR="00570AFA" w:rsidRPr="008C7426">
        <w:rPr>
          <w:rFonts w:cs="Arial"/>
        </w:rPr>
        <w:t>33) of the people under the Mentally Impaired Accused Review Board were Aboriginal or Torres Strait Islander people.</w:t>
      </w:r>
      <w:r w:rsidR="00570AFA">
        <w:rPr>
          <w:rStyle w:val="EndnoteReference"/>
          <w:rFonts w:cs="Arial"/>
        </w:rPr>
        <w:endnoteReference w:id="36"/>
      </w:r>
    </w:p>
    <w:p w14:paraId="002063BB" w14:textId="1EFB9D40" w:rsidR="00570AFA" w:rsidRDefault="00570AFA" w:rsidP="00280A08">
      <w:pPr>
        <w:pStyle w:val="Heading1"/>
        <w:numPr>
          <w:ilvl w:val="0"/>
          <w:numId w:val="16"/>
        </w:numPr>
      </w:pPr>
      <w:bookmarkStart w:id="68" w:name="_Toc447200184"/>
      <w:r>
        <w:t>Human rights obligations</w:t>
      </w:r>
      <w:bookmarkEnd w:id="68"/>
    </w:p>
    <w:p w14:paraId="7F95647E" w14:textId="10382766" w:rsidR="00570AFA" w:rsidRPr="00DB0EAE" w:rsidRDefault="00570AFA" w:rsidP="000C1574">
      <w:pPr>
        <w:pStyle w:val="SubmissionNormal"/>
        <w:tabs>
          <w:tab w:val="clear" w:pos="720"/>
          <w:tab w:val="num" w:pos="567"/>
        </w:tabs>
        <w:ind w:left="567" w:hanging="567"/>
        <w:rPr>
          <w:rFonts w:cs="Arial"/>
        </w:rPr>
      </w:pPr>
      <w:r>
        <w:t xml:space="preserve">There are a number of international human rights instruments which impose obligations on </w:t>
      </w:r>
      <w:r w:rsidRPr="00690BC8">
        <w:rPr>
          <w:rFonts w:cs="Arial"/>
        </w:rPr>
        <w:t>Australia</w:t>
      </w:r>
      <w:r>
        <w:t xml:space="preserve"> relevant to the treatment of people with cognitive and/or </w:t>
      </w:r>
      <w:r w:rsidRPr="000C1574">
        <w:rPr>
          <w:rFonts w:cs="Arial"/>
        </w:rPr>
        <w:t>psychiatric</w:t>
      </w:r>
      <w:r>
        <w:t xml:space="preserve"> impairment. The key </w:t>
      </w:r>
      <w:r w:rsidR="00097F88">
        <w:t xml:space="preserve">obligations are </w:t>
      </w:r>
      <w:r w:rsidR="00F44088">
        <w:t>in the Disability Convention</w:t>
      </w:r>
      <w:r>
        <w:t>.</w:t>
      </w:r>
      <w:r w:rsidR="001702D6" w:rsidRPr="001702D6">
        <w:rPr>
          <w:rStyle w:val="EndnoteReference"/>
          <w:rFonts w:cs="Arial"/>
        </w:rPr>
        <w:t xml:space="preserve"> </w:t>
      </w:r>
      <w:r w:rsidR="001702D6" w:rsidRPr="00DE56C0">
        <w:rPr>
          <w:rStyle w:val="EndnoteReference"/>
          <w:rFonts w:cs="Arial"/>
        </w:rPr>
        <w:endnoteReference w:id="37"/>
      </w:r>
    </w:p>
    <w:p w14:paraId="7E2B518E" w14:textId="04F462A8" w:rsidR="00570AFA" w:rsidRPr="00986FE3" w:rsidRDefault="00570AFA" w:rsidP="000C1574">
      <w:pPr>
        <w:pStyle w:val="SubmissionNormal"/>
        <w:tabs>
          <w:tab w:val="clear" w:pos="720"/>
          <w:tab w:val="num" w:pos="567"/>
        </w:tabs>
        <w:ind w:left="567" w:hanging="567"/>
        <w:rPr>
          <w:rFonts w:cs="Arial"/>
        </w:rPr>
      </w:pPr>
      <w:r>
        <w:t xml:space="preserve">Australia has an </w:t>
      </w:r>
      <w:r w:rsidRPr="00690BC8">
        <w:rPr>
          <w:rFonts w:cs="Arial"/>
        </w:rPr>
        <w:t>obligation</w:t>
      </w:r>
      <w:r>
        <w:t xml:space="preserve"> under the Disability Convention to ensur</w:t>
      </w:r>
      <w:r w:rsidR="004A4796">
        <w:t>e that people with disability</w:t>
      </w:r>
      <w:r>
        <w:t xml:space="preserve"> enjoy all their human rights without discrimination</w:t>
      </w:r>
      <w:r w:rsidRPr="00DB0EAE">
        <w:rPr>
          <w:rFonts w:cs="Arial"/>
        </w:rPr>
        <w:t>.</w:t>
      </w:r>
      <w:r>
        <w:rPr>
          <w:rStyle w:val="EndnoteReference"/>
        </w:rPr>
        <w:endnoteReference w:id="38"/>
      </w:r>
      <w:r w:rsidRPr="00DB0EAE">
        <w:rPr>
          <w:rFonts w:cs="Arial"/>
        </w:rPr>
        <w:t xml:space="preserve"> </w:t>
      </w:r>
      <w:r w:rsidR="00814B98">
        <w:t>The Convention does not include</w:t>
      </w:r>
      <w:r>
        <w:t xml:space="preserve"> a comprehensive definition of disability, but </w:t>
      </w:r>
      <w:r>
        <w:lastRenderedPageBreak/>
        <w:t xml:space="preserve">provides that ‘persons with disabilities’ include those who have long-term mental impairments and intellectual impairments.  When a person’s impairment interacts with </w:t>
      </w:r>
      <w:r w:rsidR="005263F7">
        <w:t>various barriers that restrict that</w:t>
      </w:r>
      <w:r>
        <w:t xml:space="preserve"> person’s effective participation in society on an equal basis to others, they are considered to have disability.</w:t>
      </w:r>
      <w:r>
        <w:rPr>
          <w:rStyle w:val="EndnoteReference"/>
        </w:rPr>
        <w:endnoteReference w:id="39"/>
      </w:r>
      <w:r>
        <w:t xml:space="preserve"> </w:t>
      </w:r>
    </w:p>
    <w:p w14:paraId="06408369" w14:textId="6EAC0DAD" w:rsidR="00570AFA" w:rsidRPr="00411EDD" w:rsidRDefault="00570AFA" w:rsidP="000C1574">
      <w:pPr>
        <w:pStyle w:val="SubmissionNormal"/>
        <w:tabs>
          <w:tab w:val="clear" w:pos="720"/>
          <w:tab w:val="num" w:pos="567"/>
        </w:tabs>
        <w:ind w:left="567" w:hanging="567"/>
        <w:rPr>
          <w:rFonts w:cs="Arial"/>
        </w:rPr>
      </w:pPr>
      <w:r>
        <w:rPr>
          <w:rFonts w:cs="Arial"/>
          <w:color w:val="000000"/>
          <w:lang w:val="en"/>
        </w:rPr>
        <w:t xml:space="preserve">The Disability Convention and other international treaties impose </w:t>
      </w:r>
      <w:r w:rsidR="008A10AE">
        <w:rPr>
          <w:rFonts w:cs="Arial"/>
          <w:color w:val="000000"/>
          <w:lang w:val="en"/>
        </w:rPr>
        <w:t>clear</w:t>
      </w:r>
      <w:r>
        <w:rPr>
          <w:rFonts w:cs="Arial"/>
          <w:color w:val="000000"/>
          <w:lang w:val="en"/>
        </w:rPr>
        <w:t xml:space="preserve"> obligations on Australia which are central to </w:t>
      </w:r>
      <w:r w:rsidRPr="00C64060">
        <w:t>protecting</w:t>
      </w:r>
      <w:r>
        <w:rPr>
          <w:rFonts w:cs="Arial"/>
          <w:color w:val="000000"/>
          <w:lang w:val="en"/>
        </w:rPr>
        <w:t xml:space="preserve"> the rights of people with cognitive and/or </w:t>
      </w:r>
      <w:r w:rsidRPr="00411EDD">
        <w:rPr>
          <w:rFonts w:cs="Arial"/>
          <w:color w:val="000000"/>
          <w:lang w:val="en"/>
        </w:rPr>
        <w:t>psychiatric impairments</w:t>
      </w:r>
      <w:r>
        <w:rPr>
          <w:rFonts w:cs="Arial"/>
          <w:color w:val="000000"/>
          <w:lang w:val="en"/>
        </w:rPr>
        <w:t xml:space="preserve"> who come into contact with the criminal justice system.</w:t>
      </w:r>
      <w:r w:rsidRPr="00411EDD">
        <w:rPr>
          <w:rFonts w:cs="Arial"/>
          <w:color w:val="000000"/>
          <w:lang w:val="en"/>
        </w:rPr>
        <w:t xml:space="preserve"> </w:t>
      </w:r>
      <w:r>
        <w:rPr>
          <w:rFonts w:cs="Arial"/>
          <w:color w:val="000000"/>
          <w:lang w:val="en"/>
        </w:rPr>
        <w:t xml:space="preserve">The </w:t>
      </w:r>
      <w:r w:rsidRPr="00411EDD">
        <w:rPr>
          <w:rFonts w:cs="Arial"/>
          <w:color w:val="000000"/>
          <w:lang w:val="en"/>
        </w:rPr>
        <w:t>obligations</w:t>
      </w:r>
      <w:r>
        <w:rPr>
          <w:rFonts w:cs="Arial"/>
          <w:color w:val="000000"/>
          <w:lang w:val="en"/>
        </w:rPr>
        <w:t xml:space="preserve"> are</w:t>
      </w:r>
      <w:r w:rsidRPr="00411EDD">
        <w:rPr>
          <w:rFonts w:cs="Arial"/>
          <w:color w:val="000000"/>
          <w:lang w:val="en"/>
        </w:rPr>
        <w:t>:</w:t>
      </w:r>
    </w:p>
    <w:p w14:paraId="4B5D73F5" w14:textId="442D94DC" w:rsidR="00570AFA" w:rsidRPr="00411EDD" w:rsidRDefault="00570AFA" w:rsidP="000C1574">
      <w:pPr>
        <w:pStyle w:val="ListParagraph"/>
        <w:numPr>
          <w:ilvl w:val="0"/>
          <w:numId w:val="17"/>
        </w:numPr>
        <w:spacing w:before="0" w:after="120"/>
        <w:ind w:left="851" w:hanging="284"/>
        <w:contextualSpacing w:val="0"/>
        <w:rPr>
          <w:rFonts w:cs="Arial"/>
          <w:color w:val="000000"/>
          <w:lang w:val="en"/>
        </w:rPr>
      </w:pPr>
      <w:r>
        <w:rPr>
          <w:rFonts w:cs="Arial"/>
          <w:color w:val="000000"/>
          <w:lang w:val="en"/>
        </w:rPr>
        <w:t>t</w:t>
      </w:r>
      <w:r w:rsidRPr="00411EDD">
        <w:rPr>
          <w:rFonts w:cs="Arial"/>
          <w:color w:val="000000"/>
          <w:lang w:val="en"/>
        </w:rPr>
        <w:t xml:space="preserve">o recognise that people with disability </w:t>
      </w:r>
      <w:r w:rsidRPr="00411EDD">
        <w:rPr>
          <w:rFonts w:eastAsia="Times New Roman" w:cs="Arial"/>
        </w:rPr>
        <w:t xml:space="preserve">are </w:t>
      </w:r>
      <w:r w:rsidRPr="00411EDD">
        <w:rPr>
          <w:rFonts w:eastAsia="Times New Roman" w:cs="Arial"/>
          <w:b/>
        </w:rPr>
        <w:t>equal before and under the law</w:t>
      </w:r>
      <w:r w:rsidRPr="00411EDD">
        <w:rPr>
          <w:rFonts w:eastAsia="Times New Roman" w:cs="Arial"/>
        </w:rPr>
        <w:t>, and are entitled to equal protection and equal benefit of the law</w:t>
      </w:r>
      <w:r w:rsidRPr="00411EDD">
        <w:rPr>
          <w:rStyle w:val="EndnoteReference"/>
          <w:rFonts w:eastAsia="Times New Roman" w:cs="Arial"/>
          <w:sz w:val="24"/>
        </w:rPr>
        <w:endnoteReference w:id="40"/>
      </w:r>
    </w:p>
    <w:p w14:paraId="08772479" w14:textId="2AB95EBF" w:rsidR="00570AFA" w:rsidRPr="00411EDD" w:rsidRDefault="00570AFA" w:rsidP="000C1574">
      <w:pPr>
        <w:pStyle w:val="ListParagraph"/>
        <w:numPr>
          <w:ilvl w:val="0"/>
          <w:numId w:val="17"/>
        </w:numPr>
        <w:spacing w:before="0" w:after="120"/>
        <w:ind w:left="851" w:hanging="284"/>
        <w:contextualSpacing w:val="0"/>
        <w:rPr>
          <w:rFonts w:cs="Arial"/>
          <w:color w:val="000000"/>
          <w:lang w:val="en"/>
        </w:rPr>
      </w:pPr>
      <w:r>
        <w:rPr>
          <w:rFonts w:eastAsia="Times New Roman" w:cs="Arial"/>
        </w:rPr>
        <w:t>t</w:t>
      </w:r>
      <w:r w:rsidRPr="00411EDD">
        <w:rPr>
          <w:rFonts w:eastAsia="Times New Roman" w:cs="Arial"/>
        </w:rPr>
        <w:t xml:space="preserve">o recognise that </w:t>
      </w:r>
      <w:r w:rsidRPr="00411EDD">
        <w:rPr>
          <w:rFonts w:cs="Arial"/>
          <w:color w:val="000000"/>
          <w:lang w:val="en"/>
        </w:rPr>
        <w:t xml:space="preserve">people with disability </w:t>
      </w:r>
      <w:r w:rsidRPr="00411EDD">
        <w:rPr>
          <w:rFonts w:cs="Arial"/>
          <w:b/>
          <w:color w:val="000000"/>
          <w:lang w:val="en"/>
        </w:rPr>
        <w:t xml:space="preserve">enjoy </w:t>
      </w:r>
      <w:r w:rsidRPr="00411EDD">
        <w:rPr>
          <w:rFonts w:cs="Arial"/>
          <w:b/>
          <w:color w:val="000000"/>
          <w:shd w:val="clear" w:color="auto" w:fill="FFFFFF"/>
        </w:rPr>
        <w:t>legal capacity on an equal basis</w:t>
      </w:r>
      <w:r w:rsidRPr="00411EDD">
        <w:rPr>
          <w:rFonts w:cs="Arial"/>
          <w:color w:val="000000"/>
          <w:shd w:val="clear" w:color="auto" w:fill="FFFFFF"/>
        </w:rPr>
        <w:t xml:space="preserve"> with others in all aspects of life, and to </w:t>
      </w:r>
      <w:r w:rsidRPr="00411EDD">
        <w:rPr>
          <w:rFonts w:cs="Arial"/>
          <w:color w:val="000000"/>
          <w:lang w:val="en"/>
        </w:rPr>
        <w:t xml:space="preserve">take appropriate measures to </w:t>
      </w:r>
      <w:r w:rsidRPr="007A22EC">
        <w:rPr>
          <w:rFonts w:cs="Arial"/>
          <w:b/>
          <w:color w:val="000000"/>
          <w:lang w:val="en"/>
        </w:rPr>
        <w:t>provide access by persons with disabilities to the support they may require in exercising their legal capacity</w:t>
      </w:r>
      <w:r w:rsidRPr="00411EDD">
        <w:rPr>
          <w:rStyle w:val="EndnoteReference"/>
          <w:rFonts w:cs="Arial"/>
          <w:color w:val="000000"/>
          <w:sz w:val="24"/>
          <w:shd w:val="clear" w:color="auto" w:fill="FFFFFF"/>
        </w:rPr>
        <w:endnoteReference w:id="41"/>
      </w:r>
    </w:p>
    <w:p w14:paraId="3C045B95" w14:textId="2513B387" w:rsidR="00570AFA" w:rsidRPr="00A03D9F" w:rsidRDefault="00570AFA" w:rsidP="000C1574">
      <w:pPr>
        <w:pStyle w:val="ListParagraph"/>
        <w:numPr>
          <w:ilvl w:val="0"/>
          <w:numId w:val="17"/>
        </w:numPr>
        <w:spacing w:before="0" w:after="120"/>
        <w:ind w:left="851" w:hanging="284"/>
        <w:contextualSpacing w:val="0"/>
        <w:rPr>
          <w:rFonts w:cs="Arial"/>
          <w:color w:val="000000"/>
          <w:lang w:val="en"/>
        </w:rPr>
      </w:pPr>
      <w:r>
        <w:rPr>
          <w:rStyle w:val="apple-converted-space"/>
          <w:rFonts w:cs="Arial"/>
          <w:color w:val="000000"/>
          <w:shd w:val="clear" w:color="auto" w:fill="FFFFFF"/>
        </w:rPr>
        <w:t>t</w:t>
      </w:r>
      <w:r w:rsidRPr="00411EDD">
        <w:rPr>
          <w:rStyle w:val="apple-converted-space"/>
          <w:rFonts w:cs="Arial"/>
          <w:color w:val="000000"/>
          <w:shd w:val="clear" w:color="auto" w:fill="FFFFFF"/>
        </w:rPr>
        <w:t xml:space="preserve">o </w:t>
      </w:r>
      <w:r w:rsidRPr="00411EDD">
        <w:rPr>
          <w:rFonts w:cs="Arial"/>
          <w:color w:val="000000"/>
        </w:rPr>
        <w:t xml:space="preserve">ensure </w:t>
      </w:r>
      <w:r w:rsidRPr="00411EDD">
        <w:rPr>
          <w:rFonts w:cs="Arial"/>
          <w:b/>
          <w:color w:val="000000"/>
        </w:rPr>
        <w:t>effective access to justice</w:t>
      </w:r>
      <w:r w:rsidRPr="00411EDD">
        <w:rPr>
          <w:rFonts w:cs="Arial"/>
          <w:color w:val="000000"/>
        </w:rPr>
        <w:t xml:space="preserve"> for persons with disabilities on an equal basis with others, including through the </w:t>
      </w:r>
      <w:r w:rsidRPr="009D2205">
        <w:rPr>
          <w:rFonts w:cs="Arial"/>
          <w:b/>
          <w:color w:val="000000"/>
        </w:rPr>
        <w:t>provision of procedural and age-appropriate accommodations</w:t>
      </w:r>
      <w:r w:rsidRPr="00411EDD">
        <w:rPr>
          <w:rFonts w:cs="Arial"/>
          <w:color w:val="000000"/>
        </w:rPr>
        <w:t xml:space="preserve">, in order to </w:t>
      </w:r>
      <w:r w:rsidRPr="00411EDD">
        <w:rPr>
          <w:rFonts w:cs="Arial"/>
          <w:b/>
          <w:color w:val="000000"/>
        </w:rPr>
        <w:t>facilitate their effective role as direct and indirect participants</w:t>
      </w:r>
      <w:r w:rsidRPr="00411EDD">
        <w:rPr>
          <w:rFonts w:cs="Arial"/>
          <w:color w:val="000000"/>
        </w:rPr>
        <w:t xml:space="preserve"> </w:t>
      </w:r>
      <w:r w:rsidRPr="00411EDD">
        <w:rPr>
          <w:rFonts w:cs="Arial"/>
          <w:b/>
          <w:color w:val="000000"/>
        </w:rPr>
        <w:t>in all legal proceedings</w:t>
      </w:r>
      <w:r w:rsidRPr="00411EDD">
        <w:rPr>
          <w:rFonts w:cs="Arial"/>
          <w:color w:val="000000"/>
        </w:rPr>
        <w:t>, including at investigati</w:t>
      </w:r>
      <w:r w:rsidR="00E34F9B">
        <w:rPr>
          <w:rFonts w:cs="Arial"/>
          <w:color w:val="000000"/>
        </w:rPr>
        <w:t>ve and other preliminary stages</w:t>
      </w:r>
      <w:r w:rsidRPr="00411EDD">
        <w:rPr>
          <w:rStyle w:val="EndnoteReference"/>
          <w:rFonts w:cs="Arial"/>
          <w:color w:val="000000"/>
          <w:sz w:val="24"/>
        </w:rPr>
        <w:endnoteReference w:id="42"/>
      </w:r>
    </w:p>
    <w:p w14:paraId="0C4BE467" w14:textId="0E20BFF5" w:rsidR="000C1574" w:rsidRDefault="00570AFA" w:rsidP="000C1574">
      <w:pPr>
        <w:pStyle w:val="ListParagraph"/>
        <w:numPr>
          <w:ilvl w:val="0"/>
          <w:numId w:val="17"/>
        </w:numPr>
        <w:spacing w:before="0" w:after="120"/>
        <w:ind w:left="851" w:hanging="284"/>
        <w:contextualSpacing w:val="0"/>
        <w:rPr>
          <w:rFonts w:cs="Arial"/>
          <w:color w:val="000000"/>
        </w:rPr>
      </w:pPr>
      <w:r>
        <w:rPr>
          <w:rFonts w:cs="Arial"/>
          <w:color w:val="000000"/>
        </w:rPr>
        <w:t xml:space="preserve">to ensure that people with disability are </w:t>
      </w:r>
      <w:r w:rsidRPr="00EF14D5">
        <w:rPr>
          <w:rFonts w:cs="Arial"/>
          <w:b/>
          <w:color w:val="000000"/>
        </w:rPr>
        <w:t>not deprived of their liberty unlawfully or arbitrarily</w:t>
      </w:r>
      <w:r w:rsidRPr="00A03D9F">
        <w:rPr>
          <w:rFonts w:cs="Arial"/>
          <w:color w:val="000000"/>
        </w:rPr>
        <w:t xml:space="preserve">, </w:t>
      </w:r>
      <w:r>
        <w:rPr>
          <w:rFonts w:cs="Arial"/>
          <w:color w:val="000000"/>
        </w:rPr>
        <w:t xml:space="preserve">or </w:t>
      </w:r>
      <w:r w:rsidRPr="00A81514">
        <w:rPr>
          <w:rFonts w:cs="Arial"/>
          <w:i/>
          <w:color w:val="000000"/>
        </w:rPr>
        <w:t>because of</w:t>
      </w:r>
      <w:r>
        <w:rPr>
          <w:rFonts w:cs="Arial"/>
          <w:color w:val="000000"/>
        </w:rPr>
        <w:t xml:space="preserve"> </w:t>
      </w:r>
      <w:r w:rsidR="00E34F9B">
        <w:rPr>
          <w:rFonts w:cs="Arial"/>
          <w:color w:val="000000"/>
        </w:rPr>
        <w:t>the disability</w:t>
      </w:r>
      <w:r>
        <w:rPr>
          <w:rStyle w:val="EndnoteReference"/>
          <w:rFonts w:cs="Arial"/>
          <w:color w:val="000000"/>
        </w:rPr>
        <w:endnoteReference w:id="43"/>
      </w:r>
    </w:p>
    <w:p w14:paraId="26C28AAF" w14:textId="184B3090" w:rsidR="000C1574" w:rsidRDefault="00570AFA" w:rsidP="000C1574">
      <w:pPr>
        <w:pStyle w:val="ListParagraph"/>
        <w:numPr>
          <w:ilvl w:val="0"/>
          <w:numId w:val="17"/>
        </w:numPr>
        <w:spacing w:before="0" w:after="120"/>
        <w:ind w:left="851" w:hanging="284"/>
        <w:contextualSpacing w:val="0"/>
        <w:rPr>
          <w:rFonts w:cs="Arial"/>
          <w:color w:val="000000"/>
        </w:rPr>
      </w:pPr>
      <w:r w:rsidRPr="000C1574">
        <w:rPr>
          <w:rFonts w:cs="Arial"/>
          <w:color w:val="000000"/>
        </w:rPr>
        <w:t xml:space="preserve">to ensure that if people with disability are </w:t>
      </w:r>
      <w:r w:rsidRPr="000C1574">
        <w:rPr>
          <w:rFonts w:cs="Arial"/>
          <w:b/>
          <w:color w:val="000000"/>
        </w:rPr>
        <w:t>deprived of their liberty</w:t>
      </w:r>
      <w:r w:rsidRPr="000C1574">
        <w:rPr>
          <w:rFonts w:cs="Arial"/>
          <w:color w:val="000000"/>
        </w:rPr>
        <w:t xml:space="preserve"> </w:t>
      </w:r>
      <w:r w:rsidRPr="000C1574">
        <w:rPr>
          <w:rFonts w:cs="Arial"/>
          <w:b/>
          <w:color w:val="000000"/>
        </w:rPr>
        <w:t>through any process</w:t>
      </w:r>
      <w:r w:rsidRPr="000C1574">
        <w:rPr>
          <w:rFonts w:cs="Arial"/>
          <w:color w:val="000000"/>
        </w:rPr>
        <w:t xml:space="preserve">, they are, on an equal basis with others, </w:t>
      </w:r>
      <w:r w:rsidRPr="000C1574">
        <w:rPr>
          <w:rFonts w:cs="Arial"/>
          <w:b/>
          <w:color w:val="000000"/>
        </w:rPr>
        <w:t>entitled to guarantees in accordance with international human rights law</w:t>
      </w:r>
      <w:r w:rsidR="001D41E1">
        <w:rPr>
          <w:rFonts w:cs="Arial"/>
          <w:color w:val="000000"/>
        </w:rPr>
        <w:t xml:space="preserve"> and to</w:t>
      </w:r>
      <w:r w:rsidRPr="000C1574">
        <w:rPr>
          <w:rFonts w:cs="Arial"/>
          <w:color w:val="000000"/>
        </w:rPr>
        <w:t xml:space="preserve"> be treated in compliance with the o</w:t>
      </w:r>
      <w:r w:rsidR="001D41E1">
        <w:rPr>
          <w:rFonts w:cs="Arial"/>
          <w:color w:val="000000"/>
        </w:rPr>
        <w:t>bjectives and principles of the</w:t>
      </w:r>
      <w:r w:rsidRPr="000C1574">
        <w:rPr>
          <w:rFonts w:cs="Arial"/>
          <w:color w:val="000000"/>
        </w:rPr>
        <w:t xml:space="preserve"> Convention, including by provis</w:t>
      </w:r>
      <w:r w:rsidR="00E34F9B">
        <w:rPr>
          <w:rFonts w:cs="Arial"/>
          <w:color w:val="000000"/>
        </w:rPr>
        <w:t>ion of reasonable accommodation</w:t>
      </w:r>
      <w:r>
        <w:rPr>
          <w:rStyle w:val="EndnoteReference"/>
          <w:rFonts w:cs="Arial"/>
          <w:color w:val="000000"/>
        </w:rPr>
        <w:endnoteReference w:id="44"/>
      </w:r>
    </w:p>
    <w:p w14:paraId="5A22DAAA" w14:textId="77777777" w:rsidR="000C1574" w:rsidRPr="000C1574" w:rsidRDefault="00570AFA" w:rsidP="000C1574">
      <w:pPr>
        <w:pStyle w:val="ListParagraph"/>
        <w:numPr>
          <w:ilvl w:val="0"/>
          <w:numId w:val="17"/>
        </w:numPr>
        <w:spacing w:before="0" w:after="120"/>
        <w:ind w:left="851" w:hanging="284"/>
        <w:contextualSpacing w:val="0"/>
        <w:rPr>
          <w:rFonts w:cs="Arial"/>
          <w:color w:val="000000"/>
        </w:rPr>
      </w:pPr>
      <w:r w:rsidRPr="000C1574">
        <w:rPr>
          <w:rFonts w:cs="Arial"/>
          <w:color w:val="000000"/>
          <w:lang w:val="en"/>
        </w:rPr>
        <w:t xml:space="preserve">to take appropriate measures to ensure </w:t>
      </w:r>
      <w:r w:rsidRPr="000C1574">
        <w:rPr>
          <w:rFonts w:cs="Arial"/>
          <w:color w:val="000000"/>
          <w:shd w:val="clear" w:color="auto" w:fill="FFFFFF"/>
        </w:rPr>
        <w:t xml:space="preserve">access for persons with disabilities to health services, and to organize, strengthen and extend comprehensive </w:t>
      </w:r>
      <w:r w:rsidRPr="000C1574">
        <w:rPr>
          <w:rFonts w:cs="Arial"/>
          <w:b/>
          <w:color w:val="000000"/>
          <w:shd w:val="clear" w:color="auto" w:fill="FFFFFF"/>
        </w:rPr>
        <w:t>habilitation and rehabilitation services and programmes</w:t>
      </w:r>
      <w:r w:rsidR="00681A72" w:rsidRPr="00743FF3">
        <w:rPr>
          <w:rStyle w:val="EndnoteReference"/>
          <w:rFonts w:cs="Arial"/>
          <w:color w:val="000000"/>
          <w:sz w:val="24"/>
          <w:lang w:val="en"/>
        </w:rPr>
        <w:endnoteReference w:id="45"/>
      </w:r>
    </w:p>
    <w:p w14:paraId="3F1DFB62" w14:textId="062B9F27" w:rsidR="00681A72" w:rsidRPr="000C1574" w:rsidRDefault="00681A72" w:rsidP="000C1574">
      <w:pPr>
        <w:pStyle w:val="ListParagraph"/>
        <w:numPr>
          <w:ilvl w:val="0"/>
          <w:numId w:val="17"/>
        </w:numPr>
        <w:spacing w:before="0" w:after="120"/>
        <w:ind w:left="851" w:hanging="284"/>
        <w:contextualSpacing w:val="0"/>
        <w:rPr>
          <w:rFonts w:cs="Arial"/>
          <w:color w:val="000000"/>
        </w:rPr>
      </w:pPr>
      <w:r w:rsidRPr="000C1574">
        <w:rPr>
          <w:rFonts w:cs="Arial"/>
          <w:color w:val="000000"/>
          <w:lang w:val="en"/>
        </w:rPr>
        <w:t xml:space="preserve">to take all effective legislative, administrative, judicial or other measures to </w:t>
      </w:r>
      <w:r w:rsidRPr="000C1574">
        <w:rPr>
          <w:rFonts w:cs="Arial"/>
          <w:b/>
          <w:color w:val="000000"/>
          <w:lang w:val="en"/>
        </w:rPr>
        <w:t>prevent persons with disabilities</w:t>
      </w:r>
      <w:r w:rsidRPr="000C1574">
        <w:rPr>
          <w:rFonts w:cs="Arial"/>
          <w:color w:val="000000"/>
          <w:lang w:val="en"/>
        </w:rPr>
        <w:t xml:space="preserve">, on an equal basis with others, from being subjected to </w:t>
      </w:r>
      <w:r w:rsidRPr="000C1574">
        <w:rPr>
          <w:rFonts w:cs="Arial"/>
          <w:b/>
          <w:color w:val="000000"/>
          <w:lang w:val="en"/>
        </w:rPr>
        <w:t>torture or cruel, inhuman or degrading treatment</w:t>
      </w:r>
      <w:r w:rsidRPr="000C1574">
        <w:rPr>
          <w:rFonts w:cs="Arial"/>
          <w:color w:val="000000"/>
          <w:lang w:val="en"/>
        </w:rPr>
        <w:t xml:space="preserve"> </w:t>
      </w:r>
      <w:r w:rsidRPr="000C1574">
        <w:rPr>
          <w:rFonts w:cs="Arial"/>
          <w:b/>
          <w:color w:val="000000"/>
          <w:lang w:val="en"/>
        </w:rPr>
        <w:t>or punishment</w:t>
      </w:r>
      <w:r w:rsidRPr="000C1574">
        <w:rPr>
          <w:rFonts w:cs="Arial"/>
          <w:color w:val="000000"/>
          <w:lang w:val="en"/>
        </w:rPr>
        <w:t>.</w:t>
      </w:r>
      <w:r w:rsidRPr="00376276">
        <w:rPr>
          <w:rStyle w:val="EndnoteReference"/>
          <w:rFonts w:cs="Arial"/>
          <w:color w:val="000000"/>
          <w:lang w:val="en"/>
        </w:rPr>
        <w:endnoteReference w:id="46"/>
      </w:r>
      <w:r w:rsidRPr="000C1574">
        <w:rPr>
          <w:rStyle w:val="EndnoteReference"/>
          <w:rFonts w:cs="Arial"/>
          <w:color w:val="000000"/>
          <w:sz w:val="24"/>
          <w:lang w:val="en"/>
        </w:rPr>
        <w:t xml:space="preserve"> </w:t>
      </w:r>
    </w:p>
    <w:p w14:paraId="1383DF92" w14:textId="46B5ECCC" w:rsidR="00570AFA" w:rsidRPr="007C1D87" w:rsidRDefault="00570AFA" w:rsidP="000C1574">
      <w:pPr>
        <w:pStyle w:val="SubmissionNormal"/>
        <w:tabs>
          <w:tab w:val="clear" w:pos="720"/>
          <w:tab w:val="num" w:pos="567"/>
        </w:tabs>
        <w:ind w:left="567" w:hanging="567"/>
        <w:rPr>
          <w:rFonts w:cs="Arial"/>
        </w:rPr>
      </w:pPr>
      <w:r>
        <w:rPr>
          <w:rFonts w:cs="Arial"/>
        </w:rPr>
        <w:t xml:space="preserve">In the context of criminal proceedings, the obligation under the Disability Convention to ensure effective participation </w:t>
      </w:r>
      <w:r w:rsidRPr="00881D68">
        <w:rPr>
          <w:rFonts w:cs="Arial"/>
          <w:color w:val="000000"/>
          <w:lang w:val="en"/>
        </w:rPr>
        <w:t>for</w:t>
      </w:r>
      <w:r>
        <w:rPr>
          <w:rFonts w:cs="Arial"/>
        </w:rPr>
        <w:t xml:space="preserve"> people with disability is given further detail by article 14(3) of the </w:t>
      </w:r>
      <w:r w:rsidRPr="005A5E7A">
        <w:rPr>
          <w:rFonts w:cs="Arial"/>
          <w:i/>
        </w:rPr>
        <w:t>International Covenant on Civil and Political Rights</w:t>
      </w:r>
      <w:r w:rsidR="008A7523">
        <w:rPr>
          <w:rFonts w:cs="Arial"/>
          <w:i/>
        </w:rPr>
        <w:t xml:space="preserve"> </w:t>
      </w:r>
      <w:r w:rsidR="008A7523" w:rsidRPr="008A7523">
        <w:rPr>
          <w:rFonts w:cs="Arial"/>
        </w:rPr>
        <w:t>(ICCPR)</w:t>
      </w:r>
      <w:r>
        <w:rPr>
          <w:rFonts w:cs="Arial"/>
        </w:rPr>
        <w:t>.</w:t>
      </w:r>
      <w:r>
        <w:rPr>
          <w:rStyle w:val="EndnoteReference"/>
          <w:rFonts w:cs="Arial"/>
        </w:rPr>
        <w:endnoteReference w:id="47"/>
      </w:r>
      <w:r>
        <w:rPr>
          <w:rFonts w:cs="Arial"/>
        </w:rPr>
        <w:t xml:space="preserve"> Article 14 sets out the minimum guarantees all people are entitled to</w:t>
      </w:r>
      <w:r w:rsidR="00083B7B">
        <w:rPr>
          <w:rFonts w:cs="Arial"/>
        </w:rPr>
        <w:t xml:space="preserve"> ‘in the determination of </w:t>
      </w:r>
      <w:r w:rsidR="00083B7B" w:rsidRPr="000C1574">
        <w:rPr>
          <w:rFonts w:cs="Arial"/>
          <w:color w:val="000000"/>
          <w:lang w:val="en"/>
        </w:rPr>
        <w:t>any</w:t>
      </w:r>
      <w:r w:rsidR="00083B7B">
        <w:rPr>
          <w:rFonts w:cs="Arial"/>
        </w:rPr>
        <w:t xml:space="preserve"> criminal charge</w:t>
      </w:r>
      <w:r w:rsidR="003D130B">
        <w:rPr>
          <w:rFonts w:cs="Arial"/>
        </w:rPr>
        <w:t>’</w:t>
      </w:r>
      <w:r w:rsidR="00083B7B">
        <w:rPr>
          <w:rFonts w:cs="Arial"/>
        </w:rPr>
        <w:t xml:space="preserve"> against them, to ensure they receive a fair trial.</w:t>
      </w:r>
      <w:r w:rsidR="003D130B">
        <w:rPr>
          <w:rFonts w:cs="Arial"/>
        </w:rPr>
        <w:t xml:space="preserve"> They</w:t>
      </w:r>
      <w:r w:rsidR="00083B7B">
        <w:rPr>
          <w:rFonts w:cs="Arial"/>
        </w:rPr>
        <w:t xml:space="preserve"> i</w:t>
      </w:r>
      <w:r>
        <w:rPr>
          <w:rFonts w:cs="Arial"/>
        </w:rPr>
        <w:t xml:space="preserve">nclude the </w:t>
      </w:r>
      <w:r w:rsidR="00083B7B">
        <w:rPr>
          <w:rFonts w:cs="Arial"/>
        </w:rPr>
        <w:t>right to participate by</w:t>
      </w:r>
      <w:r>
        <w:rPr>
          <w:rFonts w:cs="Arial"/>
        </w:rPr>
        <w:t xml:space="preserve">: </w:t>
      </w:r>
    </w:p>
    <w:p w14:paraId="4524909F" w14:textId="6F5C7F6E" w:rsidR="00570AFA" w:rsidRPr="008F2211" w:rsidRDefault="00570AFA" w:rsidP="00325154">
      <w:pPr>
        <w:pStyle w:val="ListParagraph"/>
        <w:numPr>
          <w:ilvl w:val="0"/>
          <w:numId w:val="17"/>
        </w:numPr>
        <w:spacing w:before="0" w:after="120"/>
        <w:ind w:left="851" w:hanging="284"/>
        <w:contextualSpacing w:val="0"/>
        <w:rPr>
          <w:rFonts w:cs="Arial"/>
          <w:color w:val="000000"/>
        </w:rPr>
      </w:pPr>
      <w:r w:rsidRPr="008F2211">
        <w:rPr>
          <w:rFonts w:cs="Arial"/>
          <w:color w:val="000000"/>
        </w:rPr>
        <w:t>being informed…</w:t>
      </w:r>
      <w:r>
        <w:rPr>
          <w:rFonts w:cs="Arial"/>
          <w:color w:val="000000"/>
        </w:rPr>
        <w:t>in detail in a language which the person</w:t>
      </w:r>
      <w:r w:rsidRPr="008F2211">
        <w:rPr>
          <w:rFonts w:cs="Arial"/>
          <w:color w:val="000000"/>
        </w:rPr>
        <w:t xml:space="preserve"> understands of the nature and</w:t>
      </w:r>
      <w:r>
        <w:rPr>
          <w:rFonts w:cs="Arial"/>
          <w:color w:val="000000"/>
        </w:rPr>
        <w:t xml:space="preserve"> cause of the charge against them</w:t>
      </w:r>
    </w:p>
    <w:p w14:paraId="26CD0086" w14:textId="4CD39FC4" w:rsidR="00570AFA" w:rsidRPr="008F2211" w:rsidRDefault="00570AFA" w:rsidP="00325154">
      <w:pPr>
        <w:pStyle w:val="ListParagraph"/>
        <w:numPr>
          <w:ilvl w:val="0"/>
          <w:numId w:val="17"/>
        </w:numPr>
        <w:spacing w:before="0" w:after="120"/>
        <w:ind w:left="851" w:hanging="284"/>
        <w:contextualSpacing w:val="0"/>
        <w:rPr>
          <w:rFonts w:cs="Arial"/>
          <w:color w:val="000000"/>
        </w:rPr>
      </w:pPr>
      <w:r w:rsidRPr="008F2211">
        <w:rPr>
          <w:rFonts w:cs="Arial"/>
          <w:color w:val="000000"/>
        </w:rPr>
        <w:t>having adequate time and facil</w:t>
      </w:r>
      <w:r>
        <w:rPr>
          <w:rFonts w:cs="Arial"/>
          <w:color w:val="000000"/>
        </w:rPr>
        <w:t>ities for the preparation of a</w:t>
      </w:r>
      <w:r w:rsidRPr="008F2211">
        <w:rPr>
          <w:rFonts w:cs="Arial"/>
          <w:color w:val="000000"/>
        </w:rPr>
        <w:t xml:space="preserve"> defence </w:t>
      </w:r>
      <w:r w:rsidR="0063167D">
        <w:rPr>
          <w:rFonts w:cs="Arial"/>
          <w:color w:val="000000"/>
        </w:rPr>
        <w:t>and to communicate with counsel</w:t>
      </w:r>
      <w:r w:rsidRPr="008F2211">
        <w:rPr>
          <w:rFonts w:cs="Arial"/>
          <w:color w:val="000000"/>
        </w:rPr>
        <w:t xml:space="preserve"> </w:t>
      </w:r>
    </w:p>
    <w:p w14:paraId="2199E993" w14:textId="6B803986" w:rsidR="00570AFA" w:rsidRPr="008F2211" w:rsidRDefault="00570AFA" w:rsidP="00325154">
      <w:pPr>
        <w:pStyle w:val="ListParagraph"/>
        <w:numPr>
          <w:ilvl w:val="0"/>
          <w:numId w:val="17"/>
        </w:numPr>
        <w:spacing w:before="0" w:after="120"/>
        <w:ind w:left="851" w:hanging="284"/>
        <w:contextualSpacing w:val="0"/>
        <w:rPr>
          <w:rFonts w:cs="Arial"/>
          <w:color w:val="000000"/>
        </w:rPr>
      </w:pPr>
      <w:r w:rsidRPr="008F2211">
        <w:rPr>
          <w:rFonts w:cs="Arial"/>
          <w:color w:val="000000"/>
        </w:rPr>
        <w:lastRenderedPageBreak/>
        <w:t xml:space="preserve">being </w:t>
      </w:r>
      <w:r>
        <w:rPr>
          <w:rFonts w:cs="Arial"/>
          <w:color w:val="000000"/>
        </w:rPr>
        <w:t>present during the trial</w:t>
      </w:r>
      <w:r w:rsidR="00E159FB">
        <w:rPr>
          <w:rFonts w:cs="Arial"/>
          <w:color w:val="000000"/>
        </w:rPr>
        <w:t xml:space="preserve">, and </w:t>
      </w:r>
      <w:r>
        <w:rPr>
          <w:rFonts w:cs="Arial"/>
          <w:color w:val="000000"/>
        </w:rPr>
        <w:t>defend</w:t>
      </w:r>
      <w:r w:rsidR="00E159FB">
        <w:rPr>
          <w:rFonts w:cs="Arial"/>
          <w:color w:val="000000"/>
        </w:rPr>
        <w:t>ing</w:t>
      </w:r>
      <w:r w:rsidRPr="008F2211">
        <w:rPr>
          <w:rFonts w:cs="Arial"/>
          <w:color w:val="000000"/>
        </w:rPr>
        <w:t xml:space="preserve"> </w:t>
      </w:r>
      <w:r>
        <w:rPr>
          <w:rFonts w:cs="Arial"/>
          <w:color w:val="000000"/>
        </w:rPr>
        <w:t xml:space="preserve">the charges </w:t>
      </w:r>
      <w:r w:rsidRPr="008F2211">
        <w:rPr>
          <w:rFonts w:cs="Arial"/>
          <w:color w:val="000000"/>
        </w:rPr>
        <w:t>in per</w:t>
      </w:r>
      <w:r w:rsidR="0063167D">
        <w:rPr>
          <w:rFonts w:cs="Arial"/>
          <w:color w:val="000000"/>
        </w:rPr>
        <w:t>son or through legal assistance</w:t>
      </w:r>
      <w:r w:rsidRPr="008F2211">
        <w:rPr>
          <w:rFonts w:cs="Arial"/>
          <w:color w:val="000000"/>
        </w:rPr>
        <w:t xml:space="preserve"> </w:t>
      </w:r>
    </w:p>
    <w:p w14:paraId="28A27E87" w14:textId="04636813" w:rsidR="00570AFA" w:rsidRPr="008F2211" w:rsidRDefault="00570AFA" w:rsidP="00325154">
      <w:pPr>
        <w:pStyle w:val="ListParagraph"/>
        <w:numPr>
          <w:ilvl w:val="0"/>
          <w:numId w:val="17"/>
        </w:numPr>
        <w:spacing w:before="0" w:after="120"/>
        <w:ind w:left="851" w:hanging="284"/>
        <w:contextualSpacing w:val="0"/>
        <w:rPr>
          <w:rFonts w:cs="Arial"/>
          <w:color w:val="000000"/>
        </w:rPr>
      </w:pPr>
      <w:r>
        <w:rPr>
          <w:rFonts w:cs="Arial"/>
          <w:color w:val="000000"/>
        </w:rPr>
        <w:t>examining</w:t>
      </w:r>
      <w:r w:rsidR="004F4EF2">
        <w:rPr>
          <w:rFonts w:cs="Arial"/>
          <w:color w:val="000000"/>
        </w:rPr>
        <w:t>, or having</w:t>
      </w:r>
      <w:r w:rsidRPr="008F2211">
        <w:rPr>
          <w:rFonts w:cs="Arial"/>
          <w:color w:val="000000"/>
        </w:rPr>
        <w:t xml:space="preserve"> exa</w:t>
      </w:r>
      <w:r>
        <w:rPr>
          <w:rFonts w:cs="Arial"/>
          <w:color w:val="000000"/>
        </w:rPr>
        <w:t>mined, the witnesses giving evidence against the person</w:t>
      </w:r>
      <w:r w:rsidRPr="008F2211">
        <w:rPr>
          <w:rFonts w:cs="Arial"/>
          <w:color w:val="000000"/>
        </w:rPr>
        <w:t xml:space="preserve"> </w:t>
      </w:r>
    </w:p>
    <w:p w14:paraId="6A697F07" w14:textId="29338EFC" w:rsidR="007B73E2" w:rsidRPr="0065636B" w:rsidRDefault="00E159FB" w:rsidP="0065636B">
      <w:pPr>
        <w:pStyle w:val="ListParagraph"/>
        <w:numPr>
          <w:ilvl w:val="0"/>
          <w:numId w:val="17"/>
        </w:numPr>
        <w:spacing w:before="0" w:after="120"/>
        <w:ind w:left="851" w:hanging="284"/>
        <w:contextualSpacing w:val="0"/>
        <w:rPr>
          <w:rFonts w:cs="Arial"/>
          <w:color w:val="000000"/>
        </w:rPr>
      </w:pPr>
      <w:r>
        <w:rPr>
          <w:rFonts w:cs="Arial"/>
          <w:color w:val="000000"/>
        </w:rPr>
        <w:t>having</w:t>
      </w:r>
      <w:r w:rsidR="00570AFA" w:rsidRPr="008F2211">
        <w:rPr>
          <w:rFonts w:cs="Arial"/>
          <w:color w:val="000000"/>
        </w:rPr>
        <w:t xml:space="preserve"> the free assistance of an interpreter</w:t>
      </w:r>
      <w:r w:rsidR="00570AFA">
        <w:rPr>
          <w:rFonts w:cs="Arial"/>
          <w:color w:val="000000"/>
        </w:rPr>
        <w:t xml:space="preserve"> if the person</w:t>
      </w:r>
      <w:r w:rsidR="00570AFA" w:rsidRPr="008F2211">
        <w:rPr>
          <w:rFonts w:cs="Arial"/>
          <w:color w:val="000000"/>
        </w:rPr>
        <w:t xml:space="preserve"> cannot understand or spe</w:t>
      </w:r>
      <w:r w:rsidR="00570AFA">
        <w:rPr>
          <w:rFonts w:cs="Arial"/>
          <w:color w:val="000000"/>
        </w:rPr>
        <w:t>ak the language used in court.</w:t>
      </w:r>
    </w:p>
    <w:p w14:paraId="337A4B2F" w14:textId="2CDCFE7E" w:rsidR="00570AFA" w:rsidRDefault="00570AFA" w:rsidP="008F3A56">
      <w:pPr>
        <w:pStyle w:val="SubmissionNormal"/>
        <w:tabs>
          <w:tab w:val="clear" w:pos="720"/>
          <w:tab w:val="num" w:pos="567"/>
        </w:tabs>
        <w:ind w:left="567" w:hanging="567"/>
        <w:rPr>
          <w:rFonts w:cs="Arial"/>
        </w:rPr>
      </w:pPr>
      <w:r>
        <w:rPr>
          <w:rFonts w:cs="Arial"/>
        </w:rPr>
        <w:t xml:space="preserve">Given the </w:t>
      </w:r>
      <w:r w:rsidRPr="008F3A56">
        <w:t>dou</w:t>
      </w:r>
      <w:r w:rsidR="005530DB" w:rsidRPr="008F3A56">
        <w:t>ble</w:t>
      </w:r>
      <w:r w:rsidR="005530DB">
        <w:rPr>
          <w:rFonts w:cs="Arial"/>
        </w:rPr>
        <w:t xml:space="preserve"> discrimination that young people</w:t>
      </w:r>
      <w:r>
        <w:rPr>
          <w:rFonts w:cs="Arial"/>
        </w:rPr>
        <w:t xml:space="preserve"> and Aboriginal and Torres Strait Islanders with cognitive and/or psychiatric impairment can </w:t>
      </w:r>
      <w:r w:rsidR="00B651ED">
        <w:rPr>
          <w:rFonts w:cs="Arial"/>
        </w:rPr>
        <w:t>experience</w:t>
      </w:r>
      <w:r>
        <w:rPr>
          <w:rFonts w:cs="Arial"/>
        </w:rPr>
        <w:t xml:space="preserve">, it is </w:t>
      </w:r>
      <w:r w:rsidR="00774C5F">
        <w:rPr>
          <w:rFonts w:cs="Arial"/>
        </w:rPr>
        <w:t xml:space="preserve">also </w:t>
      </w:r>
      <w:r>
        <w:rPr>
          <w:rFonts w:cs="Arial"/>
        </w:rPr>
        <w:t xml:space="preserve">relevant to note that: </w:t>
      </w:r>
    </w:p>
    <w:p w14:paraId="08BDB920" w14:textId="3B3DE819" w:rsidR="00570AFA" w:rsidRDefault="00570AFA" w:rsidP="00E13837">
      <w:pPr>
        <w:pStyle w:val="SubmissionNormal"/>
        <w:numPr>
          <w:ilvl w:val="0"/>
          <w:numId w:val="23"/>
        </w:numPr>
        <w:tabs>
          <w:tab w:val="clear" w:pos="720"/>
          <w:tab w:val="num" w:pos="1276"/>
        </w:tabs>
        <w:spacing w:before="0" w:after="120"/>
        <w:ind w:left="851" w:hanging="284"/>
        <w:rPr>
          <w:rFonts w:cs="Arial"/>
        </w:rPr>
      </w:pPr>
      <w:r>
        <w:rPr>
          <w:rFonts w:cs="Arial"/>
        </w:rPr>
        <w:t>The Disability Convention imposes a specific obligation on States Parties to ‘ta</w:t>
      </w:r>
      <w:r w:rsidRPr="009D2F73">
        <w:rPr>
          <w:rFonts w:cs="Arial"/>
        </w:rPr>
        <w:t>ke all necessary measures to ensure the full enjoyment by children with disabilities of all human rights and fundamental freedoms on an equal basis with other children</w:t>
      </w:r>
      <w:r>
        <w:rPr>
          <w:rFonts w:cs="Arial"/>
        </w:rPr>
        <w:t>’</w:t>
      </w:r>
      <w:r w:rsidRPr="009D2F73">
        <w:rPr>
          <w:rFonts w:cs="Arial"/>
        </w:rPr>
        <w:t>.</w:t>
      </w:r>
      <w:r>
        <w:rPr>
          <w:rStyle w:val="EndnoteReference"/>
          <w:rFonts w:cs="Arial"/>
        </w:rPr>
        <w:endnoteReference w:id="48"/>
      </w:r>
    </w:p>
    <w:p w14:paraId="0C08CAC6" w14:textId="77777777" w:rsidR="00570AFA" w:rsidRDefault="00570AFA" w:rsidP="00E13837">
      <w:pPr>
        <w:pStyle w:val="SubmissionNormal"/>
        <w:numPr>
          <w:ilvl w:val="0"/>
          <w:numId w:val="23"/>
        </w:numPr>
        <w:tabs>
          <w:tab w:val="clear" w:pos="720"/>
          <w:tab w:val="num" w:pos="1276"/>
        </w:tabs>
        <w:spacing w:before="0" w:after="120"/>
        <w:ind w:left="851" w:hanging="284"/>
        <w:rPr>
          <w:rFonts w:cs="Arial"/>
        </w:rPr>
      </w:pPr>
      <w:r>
        <w:rPr>
          <w:rFonts w:cs="Arial"/>
        </w:rPr>
        <w:t xml:space="preserve">The </w:t>
      </w:r>
      <w:r w:rsidRPr="00F574AF">
        <w:rPr>
          <w:rFonts w:cs="Arial"/>
          <w:i/>
        </w:rPr>
        <w:t>Convention on the Rights of the Child</w:t>
      </w:r>
      <w:r>
        <w:rPr>
          <w:rFonts w:cs="Arial"/>
        </w:rPr>
        <w:t>:</w:t>
      </w:r>
    </w:p>
    <w:p w14:paraId="226C7D21" w14:textId="449A6807" w:rsidR="00570AFA" w:rsidRDefault="00570AFA" w:rsidP="00E13837">
      <w:pPr>
        <w:pStyle w:val="SubmissionNormal"/>
        <w:numPr>
          <w:ilvl w:val="1"/>
          <w:numId w:val="24"/>
        </w:numPr>
        <w:spacing w:before="0" w:after="120"/>
        <w:ind w:left="1134" w:hanging="283"/>
        <w:rPr>
          <w:rFonts w:cs="Arial"/>
        </w:rPr>
      </w:pPr>
      <w:r>
        <w:rPr>
          <w:rFonts w:cs="Arial"/>
        </w:rPr>
        <w:t>requires States Parties to respect and ensure the rights in that Convention for every child without discrimination of any kind, including on the b</w:t>
      </w:r>
      <w:r w:rsidR="00C53F36">
        <w:rPr>
          <w:rFonts w:cs="Arial"/>
        </w:rPr>
        <w:t>asis of race and/or disability</w:t>
      </w:r>
      <w:r>
        <w:rPr>
          <w:rFonts w:cs="Arial"/>
        </w:rPr>
        <w:t>,</w:t>
      </w:r>
      <w:r>
        <w:rPr>
          <w:rStyle w:val="EndnoteReference"/>
          <w:rFonts w:cs="Arial"/>
        </w:rPr>
        <w:endnoteReference w:id="49"/>
      </w:r>
    </w:p>
    <w:p w14:paraId="5D6EBA21" w14:textId="22D4A48A" w:rsidR="00570AFA" w:rsidRPr="0044162D" w:rsidRDefault="00570AFA" w:rsidP="00E13837">
      <w:pPr>
        <w:pStyle w:val="SubmissionNormal"/>
        <w:numPr>
          <w:ilvl w:val="1"/>
          <w:numId w:val="24"/>
        </w:numPr>
        <w:spacing w:before="0" w:after="120"/>
        <w:ind w:left="1134" w:hanging="283"/>
        <w:rPr>
          <w:rFonts w:cs="Arial"/>
        </w:rPr>
      </w:pPr>
      <w:r w:rsidRPr="00C37251">
        <w:rPr>
          <w:rFonts w:cs="Arial"/>
        </w:rPr>
        <w:t>recognises the special needs of children with disability</w:t>
      </w:r>
      <w:r>
        <w:rPr>
          <w:rFonts w:cs="Arial"/>
        </w:rPr>
        <w:t>, and requires States Parties to provide assistance to children with disability to address these needs.</w:t>
      </w:r>
      <w:r>
        <w:rPr>
          <w:rStyle w:val="EndnoteReference"/>
          <w:rFonts w:cs="Arial"/>
        </w:rPr>
        <w:endnoteReference w:id="50"/>
      </w:r>
    </w:p>
    <w:p w14:paraId="065B446D" w14:textId="77777777" w:rsidR="00570AFA" w:rsidRDefault="00570AFA" w:rsidP="00E13837">
      <w:pPr>
        <w:pStyle w:val="SubmissionNormal"/>
        <w:numPr>
          <w:ilvl w:val="0"/>
          <w:numId w:val="24"/>
        </w:numPr>
        <w:tabs>
          <w:tab w:val="clear" w:pos="720"/>
        </w:tabs>
        <w:spacing w:before="0" w:after="120"/>
        <w:ind w:left="851" w:hanging="284"/>
        <w:rPr>
          <w:rFonts w:cs="Arial"/>
        </w:rPr>
      </w:pPr>
      <w:r>
        <w:rPr>
          <w:rFonts w:cs="Arial"/>
        </w:rPr>
        <w:t xml:space="preserve">The </w:t>
      </w:r>
      <w:r>
        <w:rPr>
          <w:rFonts w:cs="Arial"/>
          <w:i/>
          <w:iCs/>
          <w:szCs w:val="22"/>
        </w:rPr>
        <w:t xml:space="preserve">United Nations </w:t>
      </w:r>
      <w:r w:rsidRPr="00C37251">
        <w:rPr>
          <w:rFonts w:cs="Arial"/>
          <w:i/>
        </w:rPr>
        <w:t>Declaration on the Rights of Indigenous Peoples</w:t>
      </w:r>
      <w:r w:rsidRPr="00833448">
        <w:rPr>
          <w:rFonts w:cs="Arial"/>
        </w:rPr>
        <w:t xml:space="preserve">: </w:t>
      </w:r>
    </w:p>
    <w:p w14:paraId="48B7C5CB" w14:textId="38F3458F" w:rsidR="00570AFA" w:rsidRPr="00C37251" w:rsidRDefault="00570AFA" w:rsidP="00E13837">
      <w:pPr>
        <w:pStyle w:val="SubmissionNormal"/>
        <w:numPr>
          <w:ilvl w:val="1"/>
          <w:numId w:val="24"/>
        </w:numPr>
        <w:spacing w:before="0" w:after="120"/>
        <w:ind w:left="1134" w:hanging="283"/>
        <w:rPr>
          <w:rFonts w:cs="Arial"/>
        </w:rPr>
      </w:pPr>
      <w:r>
        <w:t>requires States to take all necessary steps to ensure the social and economic improvement of Indigenous peoples, with a particular focus on people with disability,</w:t>
      </w:r>
      <w:r>
        <w:rPr>
          <w:rStyle w:val="EndnoteReference"/>
        </w:rPr>
        <w:endnoteReference w:id="51"/>
      </w:r>
      <w:r>
        <w:t xml:space="preserve"> and</w:t>
      </w:r>
    </w:p>
    <w:p w14:paraId="6A7F87D7" w14:textId="2E5458B6" w:rsidR="00570AFA" w:rsidRPr="003E3AB6" w:rsidRDefault="00570AFA" w:rsidP="00E13837">
      <w:pPr>
        <w:pStyle w:val="SubmissionNormal"/>
        <w:numPr>
          <w:ilvl w:val="1"/>
          <w:numId w:val="24"/>
        </w:numPr>
        <w:spacing w:before="0" w:after="120"/>
        <w:ind w:left="1134" w:hanging="283"/>
        <w:rPr>
          <w:rFonts w:cs="Arial"/>
        </w:rPr>
      </w:pPr>
      <w:r>
        <w:t xml:space="preserve">places an </w:t>
      </w:r>
      <w:r w:rsidRPr="00C37251">
        <w:rPr>
          <w:rFonts w:cs="Arial"/>
        </w:rPr>
        <w:t>obligation</w:t>
      </w:r>
      <w:r>
        <w:t xml:space="preserve"> on States to focus on the rights and special needs of Indigenous peoples with disability and guarantees protection against all forms of violence and discrimination.</w:t>
      </w:r>
      <w:r>
        <w:rPr>
          <w:rStyle w:val="EndnoteReference"/>
        </w:rPr>
        <w:endnoteReference w:id="52"/>
      </w:r>
      <w:r>
        <w:t xml:space="preserve"> </w:t>
      </w:r>
    </w:p>
    <w:p w14:paraId="072D21A1" w14:textId="67FDBF63" w:rsidR="00570AFA" w:rsidRDefault="00570AFA" w:rsidP="00280A08">
      <w:pPr>
        <w:pStyle w:val="Heading1"/>
        <w:numPr>
          <w:ilvl w:val="0"/>
          <w:numId w:val="16"/>
        </w:numPr>
      </w:pPr>
      <w:bookmarkStart w:id="69" w:name="_Toc447200185"/>
      <w:r>
        <w:t>Access to justice for people with cognitive and/or psychiatric impairment</w:t>
      </w:r>
      <w:bookmarkEnd w:id="69"/>
      <w:r>
        <w:t xml:space="preserve"> </w:t>
      </w:r>
    </w:p>
    <w:p w14:paraId="50C2B79D" w14:textId="77777777" w:rsidR="00570AFA" w:rsidRPr="00720250" w:rsidRDefault="00570AFA" w:rsidP="00720250">
      <w:pPr>
        <w:pStyle w:val="ListParagraph"/>
        <w:keepNext/>
        <w:keepLines/>
        <w:numPr>
          <w:ilvl w:val="0"/>
          <w:numId w:val="1"/>
        </w:numPr>
        <w:spacing w:before="360"/>
        <w:contextualSpacing w:val="0"/>
        <w:outlineLvl w:val="0"/>
        <w:rPr>
          <w:b/>
          <w:bCs/>
          <w:vanish/>
          <w:sz w:val="28"/>
          <w:szCs w:val="28"/>
        </w:rPr>
      </w:pPr>
      <w:bookmarkStart w:id="70" w:name="_Toc443048159"/>
      <w:bookmarkStart w:id="71" w:name="_Toc443396451"/>
      <w:bookmarkStart w:id="72" w:name="_Toc443498120"/>
      <w:bookmarkStart w:id="73" w:name="_Toc443824163"/>
      <w:bookmarkStart w:id="74" w:name="_Toc444083556"/>
      <w:bookmarkStart w:id="75" w:name="_Toc444774941"/>
      <w:bookmarkStart w:id="76" w:name="_Toc445823248"/>
      <w:bookmarkStart w:id="77" w:name="_Toc447200186"/>
      <w:bookmarkEnd w:id="70"/>
      <w:bookmarkEnd w:id="71"/>
      <w:bookmarkEnd w:id="72"/>
      <w:bookmarkEnd w:id="73"/>
      <w:bookmarkEnd w:id="74"/>
      <w:bookmarkEnd w:id="75"/>
      <w:bookmarkEnd w:id="76"/>
      <w:bookmarkEnd w:id="77"/>
    </w:p>
    <w:p w14:paraId="13793155" w14:textId="77777777" w:rsidR="00570AFA" w:rsidRPr="00720250" w:rsidRDefault="00570AFA" w:rsidP="00720250">
      <w:pPr>
        <w:pStyle w:val="ListParagraph"/>
        <w:keepNext/>
        <w:keepLines/>
        <w:numPr>
          <w:ilvl w:val="0"/>
          <w:numId w:val="1"/>
        </w:numPr>
        <w:spacing w:before="360"/>
        <w:contextualSpacing w:val="0"/>
        <w:outlineLvl w:val="0"/>
        <w:rPr>
          <w:b/>
          <w:bCs/>
          <w:vanish/>
          <w:sz w:val="28"/>
          <w:szCs w:val="28"/>
        </w:rPr>
      </w:pPr>
      <w:bookmarkStart w:id="78" w:name="_Toc443048160"/>
      <w:bookmarkStart w:id="79" w:name="_Toc443396452"/>
      <w:bookmarkStart w:id="80" w:name="_Toc443498121"/>
      <w:bookmarkStart w:id="81" w:name="_Toc443824164"/>
      <w:bookmarkStart w:id="82" w:name="_Toc444083557"/>
      <w:bookmarkStart w:id="83" w:name="_Toc444774942"/>
      <w:bookmarkStart w:id="84" w:name="_Toc445823249"/>
      <w:bookmarkStart w:id="85" w:name="_Toc447200187"/>
      <w:bookmarkEnd w:id="78"/>
      <w:bookmarkEnd w:id="79"/>
      <w:bookmarkEnd w:id="80"/>
      <w:bookmarkEnd w:id="81"/>
      <w:bookmarkEnd w:id="82"/>
      <w:bookmarkEnd w:id="83"/>
      <w:bookmarkEnd w:id="84"/>
      <w:bookmarkEnd w:id="85"/>
    </w:p>
    <w:p w14:paraId="0D0067E2" w14:textId="3E5A122A" w:rsidR="00570AFA" w:rsidRDefault="00570AFA" w:rsidP="00720250">
      <w:pPr>
        <w:pStyle w:val="Heading2"/>
      </w:pPr>
      <w:bookmarkStart w:id="86" w:name="_Toc447200188"/>
      <w:r>
        <w:t>Introduction</w:t>
      </w:r>
      <w:bookmarkEnd w:id="86"/>
    </w:p>
    <w:p w14:paraId="6D9DA3FE" w14:textId="50D0B620" w:rsidR="009F4EB4" w:rsidRPr="00794CBE" w:rsidRDefault="00570AFA" w:rsidP="00E13837">
      <w:pPr>
        <w:pStyle w:val="SubmissionNormal"/>
        <w:tabs>
          <w:tab w:val="clear" w:pos="720"/>
          <w:tab w:val="num" w:pos="567"/>
        </w:tabs>
        <w:ind w:left="567" w:hanging="567"/>
        <w:rPr>
          <w:rFonts w:cs="Arial"/>
        </w:rPr>
      </w:pPr>
      <w:r w:rsidRPr="006F5DD7">
        <w:rPr>
          <w:rFonts w:cs="Arial"/>
        </w:rPr>
        <w:t xml:space="preserve">In 2013 the Commission conducted a wide-ranging consultation process </w:t>
      </w:r>
      <w:r>
        <w:rPr>
          <w:rFonts w:cs="Arial"/>
        </w:rPr>
        <w:t>to investigate</w:t>
      </w:r>
      <w:r w:rsidRPr="006F5DD7">
        <w:rPr>
          <w:rFonts w:cs="Arial"/>
        </w:rPr>
        <w:t xml:space="preserve"> the experience of people with disability who come into contact with the criminal justice </w:t>
      </w:r>
      <w:r>
        <w:rPr>
          <w:rFonts w:cs="Arial"/>
        </w:rPr>
        <w:t xml:space="preserve">system. </w:t>
      </w:r>
      <w:r w:rsidR="0053515B">
        <w:rPr>
          <w:rFonts w:cs="Arial"/>
        </w:rPr>
        <w:t xml:space="preserve">The Commission urges the Committee to read the Commission’s report </w:t>
      </w:r>
      <w:r w:rsidR="0053515B" w:rsidRPr="000F6102">
        <w:rPr>
          <w:i/>
        </w:rPr>
        <w:t xml:space="preserve">Equal before the </w:t>
      </w:r>
      <w:r w:rsidR="0053515B" w:rsidRPr="00403F80">
        <w:rPr>
          <w:rFonts w:cs="Arial"/>
          <w:i/>
        </w:rPr>
        <w:t>law</w:t>
      </w:r>
      <w:r w:rsidR="0053515B" w:rsidRPr="000F6102">
        <w:rPr>
          <w:i/>
        </w:rPr>
        <w:t>: Towards Disability Justice Strategies</w:t>
      </w:r>
      <w:r w:rsidR="002677FF">
        <w:rPr>
          <w:rFonts w:cs="Arial"/>
        </w:rPr>
        <w:t>.</w:t>
      </w:r>
      <w:r w:rsidR="00126E96">
        <w:rPr>
          <w:rStyle w:val="EndnoteReference"/>
          <w:rFonts w:cs="Arial"/>
        </w:rPr>
        <w:endnoteReference w:id="53"/>
      </w:r>
      <w:r w:rsidR="002677FF">
        <w:rPr>
          <w:rFonts w:cs="Arial"/>
        </w:rPr>
        <w:t xml:space="preserve"> That report</w:t>
      </w:r>
      <w:r w:rsidR="0053515B">
        <w:rPr>
          <w:rFonts w:cs="Arial"/>
        </w:rPr>
        <w:t xml:space="preserve"> provides the </w:t>
      </w:r>
      <w:r w:rsidR="006036E6">
        <w:rPr>
          <w:rFonts w:cs="Arial"/>
        </w:rPr>
        <w:t xml:space="preserve">broader </w:t>
      </w:r>
      <w:r w:rsidR="0053515B">
        <w:rPr>
          <w:rFonts w:cs="Arial"/>
        </w:rPr>
        <w:t xml:space="preserve">context </w:t>
      </w:r>
      <w:r w:rsidR="00E863FD">
        <w:rPr>
          <w:rFonts w:cs="Arial"/>
        </w:rPr>
        <w:t xml:space="preserve">for </w:t>
      </w:r>
      <w:r w:rsidR="0053515B">
        <w:rPr>
          <w:rFonts w:cs="Arial"/>
        </w:rPr>
        <w:t>the speci</w:t>
      </w:r>
      <w:r w:rsidR="00E863FD">
        <w:rPr>
          <w:rFonts w:cs="Arial"/>
        </w:rPr>
        <w:t>fic issues affecting</w:t>
      </w:r>
      <w:r w:rsidR="00403F80">
        <w:rPr>
          <w:rFonts w:cs="Arial"/>
        </w:rPr>
        <w:t xml:space="preserve"> defendants</w:t>
      </w:r>
      <w:r w:rsidR="0053515B">
        <w:rPr>
          <w:rFonts w:cs="Arial"/>
        </w:rPr>
        <w:t xml:space="preserve"> with cognitiv</w:t>
      </w:r>
      <w:r w:rsidR="00794CBE">
        <w:rPr>
          <w:rFonts w:cs="Arial"/>
        </w:rPr>
        <w:t>e and/or psychiatric impairment</w:t>
      </w:r>
      <w:r w:rsidR="0053515B">
        <w:rPr>
          <w:rFonts w:cs="Arial"/>
        </w:rPr>
        <w:t xml:space="preserve">. </w:t>
      </w:r>
      <w:r w:rsidR="00E863FD">
        <w:rPr>
          <w:rFonts w:cs="Arial"/>
        </w:rPr>
        <w:t>It</w:t>
      </w:r>
      <w:r w:rsidR="006036E6">
        <w:rPr>
          <w:rFonts w:cs="Arial"/>
        </w:rPr>
        <w:t xml:space="preserve"> identifies</w:t>
      </w:r>
      <w:r w:rsidR="00B36EF6">
        <w:rPr>
          <w:rFonts w:cs="Arial"/>
        </w:rPr>
        <w:t xml:space="preserve"> a number of actions to improve access to justice for people with disability.</w:t>
      </w:r>
    </w:p>
    <w:p w14:paraId="140FA488" w14:textId="6EF6E48A" w:rsidR="00570AFA" w:rsidRPr="00894765" w:rsidRDefault="00570AFA" w:rsidP="00812310">
      <w:pPr>
        <w:pStyle w:val="SubmissionNormal"/>
        <w:tabs>
          <w:tab w:val="clear" w:pos="720"/>
          <w:tab w:val="num" w:pos="567"/>
        </w:tabs>
        <w:ind w:left="567" w:hanging="567"/>
        <w:rPr>
          <w:rFonts w:cs="Arial"/>
        </w:rPr>
      </w:pPr>
      <w:r>
        <w:t>T</w:t>
      </w:r>
      <w:r w:rsidR="00B64D11">
        <w:t>he Commission’s primary finding in</w:t>
      </w:r>
      <w:r>
        <w:t xml:space="preserve"> </w:t>
      </w:r>
      <w:r w:rsidR="00B64D11">
        <w:rPr>
          <w:i/>
        </w:rPr>
        <w:t xml:space="preserve">Equal before the law </w:t>
      </w:r>
      <w:r w:rsidR="00B64D11">
        <w:t>was</w:t>
      </w:r>
      <w:r>
        <w:t xml:space="preserve"> that ‘</w:t>
      </w:r>
      <w:r>
        <w:rPr>
          <w:rFonts w:cs="Arial"/>
        </w:rPr>
        <w:t>[p]</w:t>
      </w:r>
      <w:r w:rsidRPr="000F6102">
        <w:rPr>
          <w:rFonts w:cs="Arial"/>
        </w:rPr>
        <w:t>eople with disabilities do not enjoy equality before the law when they come into contact with the criminal justice system in Australia</w:t>
      </w:r>
      <w:r w:rsidR="00147301">
        <w:rPr>
          <w:rFonts w:cs="Arial"/>
        </w:rPr>
        <w:t>’.</w:t>
      </w:r>
      <w:r>
        <w:rPr>
          <w:rStyle w:val="EndnoteReference"/>
          <w:rFonts w:cs="Arial"/>
        </w:rPr>
        <w:endnoteReference w:id="54"/>
      </w:r>
      <w:r>
        <w:rPr>
          <w:rFonts w:cs="Arial"/>
        </w:rPr>
        <w:t xml:space="preserve"> </w:t>
      </w:r>
      <w:r w:rsidRPr="000F6102">
        <w:rPr>
          <w:rFonts w:cs="Arial"/>
        </w:rPr>
        <w:t>The Commission identified 5 main barriers in this respect:</w:t>
      </w:r>
    </w:p>
    <w:p w14:paraId="347A7DF4" w14:textId="6E11BA47" w:rsidR="00570AFA" w:rsidRPr="00894765" w:rsidRDefault="00570AFA" w:rsidP="00894765">
      <w:pPr>
        <w:autoSpaceDE w:val="0"/>
        <w:autoSpaceDN w:val="0"/>
        <w:adjustRightInd w:val="0"/>
        <w:spacing w:before="0" w:after="120"/>
        <w:ind w:left="1134"/>
        <w:rPr>
          <w:rFonts w:eastAsia="Times New Roman" w:cs="Arial"/>
          <w:sz w:val="22"/>
          <w:szCs w:val="22"/>
        </w:rPr>
      </w:pPr>
      <w:r w:rsidRPr="00894765">
        <w:rPr>
          <w:rFonts w:eastAsia="Times New Roman" w:cs="Arial"/>
          <w:b/>
          <w:sz w:val="22"/>
          <w:szCs w:val="22"/>
        </w:rPr>
        <w:lastRenderedPageBreak/>
        <w:t>BARRIER 1.</w:t>
      </w:r>
      <w:r w:rsidRPr="00894765">
        <w:rPr>
          <w:rFonts w:eastAsia="Times New Roman" w:cs="Arial"/>
          <w:sz w:val="22"/>
          <w:szCs w:val="22"/>
        </w:rPr>
        <w:t xml:space="preserve"> Community support, programs and assistance to prevent violence and disadvantage and address a range of health and social risk factors may not be available to some people with disabilities.</w:t>
      </w:r>
    </w:p>
    <w:p w14:paraId="3BD12E84" w14:textId="06A0A720" w:rsidR="00570AFA" w:rsidRPr="00894765" w:rsidRDefault="00570AFA" w:rsidP="00894765">
      <w:pPr>
        <w:autoSpaceDE w:val="0"/>
        <w:autoSpaceDN w:val="0"/>
        <w:adjustRightInd w:val="0"/>
        <w:spacing w:before="0" w:after="120"/>
        <w:ind w:left="1134"/>
        <w:rPr>
          <w:rFonts w:eastAsia="Times New Roman" w:cs="Arial"/>
          <w:sz w:val="22"/>
          <w:szCs w:val="22"/>
        </w:rPr>
      </w:pPr>
      <w:r w:rsidRPr="00894765">
        <w:rPr>
          <w:rFonts w:eastAsia="Times New Roman" w:cs="Arial"/>
          <w:b/>
          <w:sz w:val="22"/>
          <w:szCs w:val="22"/>
        </w:rPr>
        <w:t>BARRIER 2.</w:t>
      </w:r>
      <w:r w:rsidRPr="00894765">
        <w:rPr>
          <w:rFonts w:eastAsia="Times New Roman" w:cs="Arial"/>
          <w:sz w:val="22"/>
          <w:szCs w:val="22"/>
        </w:rPr>
        <w:t xml:space="preserve"> People with disabilities do not receive the support, adjustments</w:t>
      </w:r>
      <w:r>
        <w:rPr>
          <w:rFonts w:eastAsia="Times New Roman" w:cs="Arial"/>
          <w:sz w:val="22"/>
          <w:szCs w:val="22"/>
        </w:rPr>
        <w:t xml:space="preserve"> </w:t>
      </w:r>
      <w:r w:rsidRPr="00894765">
        <w:rPr>
          <w:rFonts w:eastAsia="Times New Roman" w:cs="Arial"/>
          <w:sz w:val="22"/>
          <w:szCs w:val="22"/>
        </w:rPr>
        <w:t>or aids they need to access protections, to begin or defend criminal matters, or</w:t>
      </w:r>
      <w:r>
        <w:rPr>
          <w:rFonts w:eastAsia="Times New Roman" w:cs="Arial"/>
          <w:sz w:val="22"/>
          <w:szCs w:val="22"/>
        </w:rPr>
        <w:t xml:space="preserve"> </w:t>
      </w:r>
      <w:r w:rsidRPr="00894765">
        <w:rPr>
          <w:rFonts w:eastAsia="Times New Roman" w:cs="Arial"/>
          <w:sz w:val="22"/>
          <w:szCs w:val="22"/>
        </w:rPr>
        <w:t>to participate in criminal justice processes.</w:t>
      </w:r>
    </w:p>
    <w:p w14:paraId="6E362AE5" w14:textId="7492EAEB" w:rsidR="00570AFA" w:rsidRPr="00894765" w:rsidRDefault="00570AFA" w:rsidP="00894765">
      <w:pPr>
        <w:autoSpaceDE w:val="0"/>
        <w:autoSpaceDN w:val="0"/>
        <w:adjustRightInd w:val="0"/>
        <w:spacing w:before="0" w:after="120"/>
        <w:ind w:left="1134"/>
        <w:rPr>
          <w:rFonts w:eastAsia="Times New Roman" w:cs="Arial"/>
          <w:sz w:val="22"/>
          <w:szCs w:val="22"/>
        </w:rPr>
      </w:pPr>
      <w:r w:rsidRPr="00894765">
        <w:rPr>
          <w:rFonts w:eastAsia="Times New Roman" w:cs="Arial"/>
          <w:b/>
          <w:sz w:val="22"/>
          <w:szCs w:val="22"/>
        </w:rPr>
        <w:t>BARRIER 3.</w:t>
      </w:r>
      <w:r w:rsidRPr="00894765">
        <w:rPr>
          <w:rFonts w:eastAsia="Times New Roman" w:cs="Arial"/>
          <w:sz w:val="22"/>
          <w:szCs w:val="22"/>
        </w:rPr>
        <w:t xml:space="preserve"> Negative attitudes and assumptions about people with</w:t>
      </w:r>
      <w:r>
        <w:rPr>
          <w:rFonts w:eastAsia="Times New Roman" w:cs="Arial"/>
          <w:sz w:val="22"/>
          <w:szCs w:val="22"/>
        </w:rPr>
        <w:t xml:space="preserve"> </w:t>
      </w:r>
      <w:r w:rsidRPr="00894765">
        <w:rPr>
          <w:rFonts w:eastAsia="Times New Roman" w:cs="Arial"/>
          <w:sz w:val="22"/>
          <w:szCs w:val="22"/>
        </w:rPr>
        <w:t>disabilities often result in people with disabilities being viewed as unreliable,</w:t>
      </w:r>
      <w:r>
        <w:rPr>
          <w:rFonts w:eastAsia="Times New Roman" w:cs="Arial"/>
          <w:sz w:val="22"/>
          <w:szCs w:val="22"/>
        </w:rPr>
        <w:t xml:space="preserve"> </w:t>
      </w:r>
      <w:r w:rsidRPr="00894765">
        <w:rPr>
          <w:rFonts w:eastAsia="Times New Roman" w:cs="Arial"/>
          <w:sz w:val="22"/>
          <w:szCs w:val="22"/>
        </w:rPr>
        <w:t>not credible or not capable of giving evidence, making legal decisions or</w:t>
      </w:r>
      <w:r>
        <w:rPr>
          <w:rFonts w:eastAsia="Times New Roman" w:cs="Arial"/>
          <w:sz w:val="22"/>
          <w:szCs w:val="22"/>
        </w:rPr>
        <w:t xml:space="preserve"> </w:t>
      </w:r>
      <w:r w:rsidRPr="00894765">
        <w:rPr>
          <w:rFonts w:eastAsia="Times New Roman" w:cs="Arial"/>
          <w:sz w:val="22"/>
          <w:szCs w:val="22"/>
        </w:rPr>
        <w:t>participating in legal proceedings.</w:t>
      </w:r>
    </w:p>
    <w:p w14:paraId="0CB31A75" w14:textId="3800E857" w:rsidR="00570AFA" w:rsidRPr="00894765" w:rsidRDefault="00570AFA" w:rsidP="00894765">
      <w:pPr>
        <w:autoSpaceDE w:val="0"/>
        <w:autoSpaceDN w:val="0"/>
        <w:adjustRightInd w:val="0"/>
        <w:spacing w:before="0" w:after="120"/>
        <w:ind w:left="1134"/>
        <w:rPr>
          <w:rFonts w:eastAsia="Times New Roman" w:cs="Arial"/>
          <w:sz w:val="22"/>
          <w:szCs w:val="22"/>
        </w:rPr>
      </w:pPr>
      <w:r w:rsidRPr="00894765">
        <w:rPr>
          <w:rFonts w:eastAsia="Times New Roman" w:cs="Arial"/>
          <w:b/>
          <w:sz w:val="22"/>
          <w:szCs w:val="22"/>
        </w:rPr>
        <w:t xml:space="preserve">BARRIER 4. </w:t>
      </w:r>
      <w:r w:rsidRPr="00894765">
        <w:rPr>
          <w:rFonts w:eastAsia="Times New Roman" w:cs="Arial"/>
          <w:sz w:val="22"/>
          <w:szCs w:val="22"/>
        </w:rPr>
        <w:t>Specialist support, accommodation and programs may not be</w:t>
      </w:r>
      <w:r>
        <w:rPr>
          <w:rFonts w:eastAsia="Times New Roman" w:cs="Arial"/>
          <w:sz w:val="22"/>
          <w:szCs w:val="22"/>
        </w:rPr>
        <w:t xml:space="preserve"> </w:t>
      </w:r>
      <w:r w:rsidRPr="00894765">
        <w:rPr>
          <w:rFonts w:eastAsia="Times New Roman" w:cs="Arial"/>
          <w:sz w:val="22"/>
          <w:szCs w:val="22"/>
        </w:rPr>
        <w:t>provided to people with disabilities when they are considered unable to</w:t>
      </w:r>
      <w:r>
        <w:rPr>
          <w:rFonts w:eastAsia="Times New Roman" w:cs="Arial"/>
          <w:sz w:val="22"/>
          <w:szCs w:val="22"/>
        </w:rPr>
        <w:t xml:space="preserve"> </w:t>
      </w:r>
      <w:r w:rsidRPr="00894765">
        <w:rPr>
          <w:rFonts w:eastAsia="Times New Roman" w:cs="Arial"/>
          <w:sz w:val="22"/>
          <w:szCs w:val="22"/>
        </w:rPr>
        <w:t>understand or respond to criminal charges made against them (‘unfit to</w:t>
      </w:r>
      <w:r>
        <w:rPr>
          <w:rFonts w:eastAsia="Times New Roman" w:cs="Arial"/>
          <w:sz w:val="22"/>
          <w:szCs w:val="22"/>
        </w:rPr>
        <w:t xml:space="preserve"> </w:t>
      </w:r>
      <w:r w:rsidRPr="00894765">
        <w:rPr>
          <w:rFonts w:eastAsia="Times New Roman" w:cs="Arial"/>
          <w:sz w:val="22"/>
          <w:szCs w:val="22"/>
        </w:rPr>
        <w:t>plead’).</w:t>
      </w:r>
    </w:p>
    <w:p w14:paraId="0A9629CD" w14:textId="2C36A108" w:rsidR="00570AFA" w:rsidRPr="00894765" w:rsidRDefault="00570AFA" w:rsidP="00894765">
      <w:pPr>
        <w:autoSpaceDE w:val="0"/>
        <w:autoSpaceDN w:val="0"/>
        <w:adjustRightInd w:val="0"/>
        <w:spacing w:before="0" w:after="120"/>
        <w:ind w:left="1134"/>
        <w:rPr>
          <w:rFonts w:eastAsia="Times New Roman" w:cs="Arial"/>
          <w:sz w:val="22"/>
          <w:szCs w:val="22"/>
        </w:rPr>
      </w:pPr>
      <w:r w:rsidRPr="00894765">
        <w:rPr>
          <w:rFonts w:eastAsia="Times New Roman" w:cs="Arial"/>
          <w:b/>
          <w:sz w:val="22"/>
          <w:szCs w:val="22"/>
        </w:rPr>
        <w:t>BARRIER 5.</w:t>
      </w:r>
      <w:r w:rsidRPr="00894765">
        <w:rPr>
          <w:rFonts w:eastAsia="Times New Roman" w:cs="Arial"/>
          <w:sz w:val="22"/>
          <w:szCs w:val="22"/>
        </w:rPr>
        <w:t xml:space="preserve"> Support, adjustments and aids may not be provided to prisoners</w:t>
      </w:r>
      <w:r>
        <w:rPr>
          <w:rFonts w:eastAsia="Times New Roman" w:cs="Arial"/>
          <w:sz w:val="22"/>
          <w:szCs w:val="22"/>
        </w:rPr>
        <w:t xml:space="preserve"> </w:t>
      </w:r>
      <w:r w:rsidRPr="00894765">
        <w:rPr>
          <w:rFonts w:eastAsia="Times New Roman" w:cs="Arial"/>
          <w:sz w:val="22"/>
          <w:szCs w:val="22"/>
        </w:rPr>
        <w:t>with disabilities so that they can meet basic human needs and participate in</w:t>
      </w:r>
      <w:r>
        <w:rPr>
          <w:rFonts w:eastAsia="Times New Roman" w:cs="Arial"/>
          <w:sz w:val="22"/>
          <w:szCs w:val="22"/>
        </w:rPr>
        <w:t xml:space="preserve"> </w:t>
      </w:r>
      <w:r w:rsidRPr="00894765">
        <w:rPr>
          <w:rFonts w:eastAsia="Times New Roman" w:cs="Arial"/>
          <w:sz w:val="22"/>
          <w:szCs w:val="22"/>
        </w:rPr>
        <w:t>prison life.</w:t>
      </w:r>
      <w:r>
        <w:rPr>
          <w:rStyle w:val="EndnoteReference"/>
          <w:rFonts w:eastAsia="Times New Roman" w:cs="Arial"/>
          <w:szCs w:val="22"/>
        </w:rPr>
        <w:endnoteReference w:id="55"/>
      </w:r>
    </w:p>
    <w:p w14:paraId="51D143CF" w14:textId="099A5F60" w:rsidR="00570AFA" w:rsidRPr="00A24117" w:rsidRDefault="00570AFA" w:rsidP="00FF6B50">
      <w:pPr>
        <w:pStyle w:val="SubmissionNormal"/>
        <w:tabs>
          <w:tab w:val="clear" w:pos="720"/>
          <w:tab w:val="num" w:pos="567"/>
        </w:tabs>
        <w:ind w:left="567" w:hanging="567"/>
        <w:rPr>
          <w:rFonts w:cs="Arial"/>
        </w:rPr>
      </w:pPr>
      <w:r w:rsidRPr="00A24117">
        <w:rPr>
          <w:rFonts w:cs="Arial"/>
        </w:rPr>
        <w:t xml:space="preserve">The Commission’s consultations </w:t>
      </w:r>
      <w:r w:rsidRPr="00FF6B50">
        <w:t>revealed</w:t>
      </w:r>
      <w:r w:rsidRPr="00A24117">
        <w:rPr>
          <w:rFonts w:cs="Arial"/>
        </w:rPr>
        <w:t xml:space="preserve"> that:</w:t>
      </w:r>
    </w:p>
    <w:p w14:paraId="64232CF8" w14:textId="77777777" w:rsidR="00570AFA" w:rsidRPr="00A24117" w:rsidRDefault="00570AFA" w:rsidP="00FF6B50">
      <w:pPr>
        <w:pStyle w:val="ListParagraph"/>
        <w:numPr>
          <w:ilvl w:val="0"/>
          <w:numId w:val="17"/>
        </w:numPr>
        <w:spacing w:before="0" w:after="120"/>
        <w:ind w:left="851" w:hanging="284"/>
        <w:contextualSpacing w:val="0"/>
        <w:rPr>
          <w:rFonts w:cs="Arial"/>
          <w:color w:val="000000"/>
        </w:rPr>
      </w:pPr>
      <w:r w:rsidRPr="00A24117">
        <w:rPr>
          <w:rFonts w:cs="Arial"/>
          <w:color w:val="000000"/>
        </w:rPr>
        <w:t>Inability to access effective justice compounds disadvantages experienced by people with disabilities.</w:t>
      </w:r>
    </w:p>
    <w:p w14:paraId="34811EF4" w14:textId="77777777" w:rsidR="00570AFA" w:rsidRPr="00A24117" w:rsidRDefault="00570AFA" w:rsidP="00FF6B50">
      <w:pPr>
        <w:pStyle w:val="ListParagraph"/>
        <w:numPr>
          <w:ilvl w:val="0"/>
          <w:numId w:val="17"/>
        </w:numPr>
        <w:spacing w:before="0" w:after="120"/>
        <w:ind w:left="851" w:hanging="284"/>
        <w:contextualSpacing w:val="0"/>
        <w:rPr>
          <w:rFonts w:cs="Arial"/>
          <w:color w:val="000000"/>
        </w:rPr>
      </w:pPr>
      <w:r w:rsidRPr="00A24117">
        <w:rPr>
          <w:rFonts w:cs="Arial"/>
          <w:color w:val="000000"/>
        </w:rPr>
        <w:t>People with disabilities experience a relatively high risk of being jailed and are then likely to have repeated contact with the criminal justice system.</w:t>
      </w:r>
    </w:p>
    <w:p w14:paraId="588D4FF4" w14:textId="77777777" w:rsidR="00570AFA" w:rsidRPr="00A24117" w:rsidRDefault="00570AFA" w:rsidP="00FF6B50">
      <w:pPr>
        <w:pStyle w:val="ListParagraph"/>
        <w:numPr>
          <w:ilvl w:val="0"/>
          <w:numId w:val="17"/>
        </w:numPr>
        <w:spacing w:before="0" w:after="120"/>
        <w:ind w:left="851" w:hanging="284"/>
        <w:contextualSpacing w:val="0"/>
        <w:rPr>
          <w:rFonts w:cs="Arial"/>
          <w:color w:val="000000"/>
        </w:rPr>
      </w:pPr>
      <w:r w:rsidRPr="00A24117">
        <w:rPr>
          <w:rFonts w:cs="Arial"/>
          <w:color w:val="000000"/>
        </w:rPr>
        <w:t>There is widespread difficulty identifying disability and responding to it appropriately.</w:t>
      </w:r>
    </w:p>
    <w:p w14:paraId="40413143" w14:textId="77777777" w:rsidR="00570AFA" w:rsidRPr="00A24117" w:rsidRDefault="00570AFA" w:rsidP="00FF6B50">
      <w:pPr>
        <w:pStyle w:val="ListParagraph"/>
        <w:numPr>
          <w:ilvl w:val="0"/>
          <w:numId w:val="17"/>
        </w:numPr>
        <w:spacing w:before="0" w:after="120"/>
        <w:ind w:left="851" w:hanging="284"/>
        <w:contextualSpacing w:val="0"/>
        <w:rPr>
          <w:rFonts w:cs="Arial"/>
          <w:color w:val="000000"/>
        </w:rPr>
      </w:pPr>
      <w:r w:rsidRPr="00A24117">
        <w:rPr>
          <w:rFonts w:cs="Arial"/>
          <w:color w:val="000000"/>
        </w:rPr>
        <w:t>Necessary supports and adjustments are not provided because the need is not recognised.</w:t>
      </w:r>
    </w:p>
    <w:p w14:paraId="200BA737" w14:textId="77777777" w:rsidR="00570AFA" w:rsidRPr="00A24117" w:rsidRDefault="00570AFA" w:rsidP="00FF6B50">
      <w:pPr>
        <w:pStyle w:val="ListParagraph"/>
        <w:numPr>
          <w:ilvl w:val="0"/>
          <w:numId w:val="17"/>
        </w:numPr>
        <w:spacing w:before="0" w:after="120"/>
        <w:ind w:left="851" w:hanging="284"/>
        <w:contextualSpacing w:val="0"/>
        <w:rPr>
          <w:rFonts w:cs="Arial"/>
          <w:color w:val="000000"/>
        </w:rPr>
      </w:pPr>
      <w:r w:rsidRPr="00A24117">
        <w:rPr>
          <w:rFonts w:cs="Arial"/>
          <w:color w:val="000000"/>
        </w:rPr>
        <w:t>When a person’s disability is identified, necessary modifications and supports are frequently not provided.</w:t>
      </w:r>
    </w:p>
    <w:p w14:paraId="7A1AB494" w14:textId="77777777" w:rsidR="00570AFA" w:rsidRPr="00A24117" w:rsidRDefault="00570AFA" w:rsidP="00FF6B50">
      <w:pPr>
        <w:pStyle w:val="ListParagraph"/>
        <w:numPr>
          <w:ilvl w:val="0"/>
          <w:numId w:val="17"/>
        </w:numPr>
        <w:spacing w:before="0" w:after="120"/>
        <w:ind w:left="851" w:hanging="284"/>
        <w:contextualSpacing w:val="0"/>
        <w:rPr>
          <w:rFonts w:cs="Arial"/>
          <w:color w:val="000000"/>
        </w:rPr>
      </w:pPr>
      <w:r w:rsidRPr="00A24117">
        <w:rPr>
          <w:rFonts w:cs="Arial"/>
          <w:color w:val="000000"/>
        </w:rPr>
        <w:t>Erroneous assessments are being made about the legal competence of people with disabilities.</w:t>
      </w:r>
    </w:p>
    <w:p w14:paraId="6D8E9C88" w14:textId="77777777" w:rsidR="00570AFA" w:rsidRPr="00A24117" w:rsidRDefault="00570AFA" w:rsidP="00FF6B50">
      <w:pPr>
        <w:pStyle w:val="ListParagraph"/>
        <w:numPr>
          <w:ilvl w:val="0"/>
          <w:numId w:val="17"/>
        </w:numPr>
        <w:spacing w:before="0" w:after="120"/>
        <w:ind w:left="851" w:hanging="284"/>
        <w:contextualSpacing w:val="0"/>
        <w:rPr>
          <w:rFonts w:cs="Arial"/>
          <w:color w:val="000000"/>
        </w:rPr>
      </w:pPr>
      <w:r w:rsidRPr="00A24117">
        <w:rPr>
          <w:rFonts w:cs="Arial"/>
          <w:color w:val="000000"/>
        </w:rPr>
        <w:t>Styles of communication and questioning techniques used by police, lawyers, courts and custodial officers can confuse a person with disability.</w:t>
      </w:r>
    </w:p>
    <w:p w14:paraId="19599341" w14:textId="198AA8CD" w:rsidR="00570AFA" w:rsidRPr="006E4763" w:rsidRDefault="00570AFA" w:rsidP="00FF6B50">
      <w:pPr>
        <w:pStyle w:val="ListParagraph"/>
        <w:numPr>
          <w:ilvl w:val="0"/>
          <w:numId w:val="17"/>
        </w:numPr>
        <w:spacing w:before="0" w:after="120"/>
        <w:ind w:left="851" w:hanging="284"/>
        <w:contextualSpacing w:val="0"/>
        <w:rPr>
          <w:rFonts w:eastAsia="Times New Roman" w:cs="Arial"/>
        </w:rPr>
      </w:pPr>
      <w:r w:rsidRPr="00A24117">
        <w:rPr>
          <w:rFonts w:cs="Arial"/>
          <w:color w:val="000000"/>
        </w:rPr>
        <w:t>Appropriate diversionary measures are underutilised, not available or not effective due to lack of appropriate supports and services.</w:t>
      </w:r>
      <w:r>
        <w:rPr>
          <w:rStyle w:val="EndnoteReference"/>
          <w:rFonts w:cs="Arial"/>
          <w:color w:val="000000"/>
        </w:rPr>
        <w:endnoteReference w:id="56"/>
      </w:r>
    </w:p>
    <w:p w14:paraId="293FEA4C" w14:textId="453DE6B2" w:rsidR="00570AFA" w:rsidRDefault="00570AFA" w:rsidP="002D79C0">
      <w:pPr>
        <w:pStyle w:val="SubmissionNormal"/>
        <w:tabs>
          <w:tab w:val="clear" w:pos="720"/>
          <w:tab w:val="num" w:pos="567"/>
        </w:tabs>
        <w:ind w:left="567" w:hanging="567"/>
        <w:rPr>
          <w:rFonts w:cs="Arial"/>
        </w:rPr>
      </w:pPr>
      <w:r>
        <w:rPr>
          <w:rFonts w:cs="Arial"/>
        </w:rPr>
        <w:t xml:space="preserve">The Australian Law Reform Commission </w:t>
      </w:r>
      <w:r w:rsidR="0026772C">
        <w:rPr>
          <w:rFonts w:cs="Arial"/>
        </w:rPr>
        <w:t xml:space="preserve">(ALRC) </w:t>
      </w:r>
      <w:r>
        <w:rPr>
          <w:rFonts w:cs="Arial"/>
        </w:rPr>
        <w:t>made</w:t>
      </w:r>
      <w:r w:rsidR="005706AC">
        <w:rPr>
          <w:rFonts w:cs="Arial"/>
        </w:rPr>
        <w:t xml:space="preserve"> very similar findings about</w:t>
      </w:r>
      <w:r>
        <w:rPr>
          <w:rFonts w:cs="Arial"/>
        </w:rPr>
        <w:t xml:space="preserve"> the barriers </w:t>
      </w:r>
      <w:r w:rsidR="00020EC9">
        <w:rPr>
          <w:rFonts w:cs="Arial"/>
        </w:rPr>
        <w:t xml:space="preserve">preventing people with disability from fully participating </w:t>
      </w:r>
      <w:r>
        <w:rPr>
          <w:rFonts w:cs="Arial"/>
        </w:rPr>
        <w:t xml:space="preserve">in court processes in its </w:t>
      </w:r>
      <w:r w:rsidR="00B3025C">
        <w:rPr>
          <w:rFonts w:cs="Arial"/>
        </w:rPr>
        <w:t xml:space="preserve">2014 </w:t>
      </w:r>
      <w:r>
        <w:rPr>
          <w:rFonts w:cs="Arial"/>
        </w:rPr>
        <w:t xml:space="preserve">report </w:t>
      </w:r>
      <w:r w:rsidRPr="006E4763">
        <w:rPr>
          <w:rFonts w:cs="Arial"/>
          <w:i/>
        </w:rPr>
        <w:t>Equality, Capacity and Disability in Commonwealth Laws</w:t>
      </w:r>
      <w:r>
        <w:rPr>
          <w:rFonts w:cs="Arial"/>
        </w:rPr>
        <w:t>.</w:t>
      </w:r>
      <w:r>
        <w:rPr>
          <w:rStyle w:val="EndnoteReference"/>
          <w:rFonts w:cs="Arial"/>
        </w:rPr>
        <w:endnoteReference w:id="57"/>
      </w:r>
    </w:p>
    <w:p w14:paraId="537C3105" w14:textId="5ADFE870" w:rsidR="00570AFA" w:rsidRDefault="00570AFA" w:rsidP="00720250">
      <w:pPr>
        <w:pStyle w:val="Heading2"/>
      </w:pPr>
      <w:bookmarkStart w:id="87" w:name="_Toc447200189"/>
      <w:r>
        <w:t>Lack of community support prior to contact with criminal justice system</w:t>
      </w:r>
      <w:bookmarkEnd w:id="87"/>
    </w:p>
    <w:p w14:paraId="6E71DF9C" w14:textId="6CCC044C" w:rsidR="00322A01" w:rsidRPr="00322A01" w:rsidRDefault="005836C9" w:rsidP="00322A01">
      <w:pPr>
        <w:pStyle w:val="SubmissionNormal"/>
        <w:tabs>
          <w:tab w:val="clear" w:pos="720"/>
          <w:tab w:val="num" w:pos="567"/>
        </w:tabs>
        <w:ind w:left="567" w:hanging="567"/>
        <w:rPr>
          <w:rFonts w:cs="Arial"/>
        </w:rPr>
      </w:pPr>
      <w:r>
        <w:rPr>
          <w:rFonts w:ascii="TimesNewRomanPSMT" w:hAnsi="TimesNewRomanPSMT" w:cs="TimesNewRomanPSMT"/>
        </w:rPr>
        <w:t xml:space="preserve">People with cognitive and/or psychiatric impairment usually come into contact with the criminal justice system </w:t>
      </w:r>
      <w:r w:rsidR="00B81897">
        <w:rPr>
          <w:rFonts w:ascii="TimesNewRomanPSMT" w:hAnsi="TimesNewRomanPSMT" w:cs="TimesNewRomanPSMT"/>
        </w:rPr>
        <w:t xml:space="preserve">only </w:t>
      </w:r>
      <w:r w:rsidR="009E0CF3">
        <w:rPr>
          <w:rFonts w:ascii="TimesNewRomanPSMT" w:hAnsi="TimesNewRomanPSMT" w:cs="TimesNewRomanPSMT"/>
        </w:rPr>
        <w:t>after</w:t>
      </w:r>
      <w:r>
        <w:rPr>
          <w:rFonts w:ascii="TimesNewRomanPSMT" w:hAnsi="TimesNewRomanPSMT" w:cs="TimesNewRomanPSMT"/>
        </w:rPr>
        <w:t xml:space="preserve"> failures in service provision and support in the community.</w:t>
      </w:r>
      <w:r w:rsidRPr="0004072D">
        <w:rPr>
          <w:rFonts w:ascii="TimesNewRomanPSMT" w:hAnsi="TimesNewRomanPSMT" w:cs="TimesNewRomanPSMT"/>
        </w:rPr>
        <w:t xml:space="preserve"> </w:t>
      </w:r>
      <w:r>
        <w:rPr>
          <w:rFonts w:ascii="TimesNewRomanPSMT" w:hAnsi="TimesNewRomanPSMT" w:cs="TimesNewRomanPSMT"/>
        </w:rPr>
        <w:t xml:space="preserve">The ADJC found that </w:t>
      </w:r>
      <w:r w:rsidRPr="00E64DDD">
        <w:rPr>
          <w:rFonts w:ascii="TimesNewRomanPSMT" w:hAnsi="TimesNewRomanPSMT" w:cs="TimesNewRomanPSMT"/>
        </w:rPr>
        <w:t>‘</w:t>
      </w:r>
      <w:r w:rsidRPr="00E64DDD">
        <w:t xml:space="preserve">contact with criminal justice </w:t>
      </w:r>
      <w:r w:rsidRPr="00E64DDD">
        <w:lastRenderedPageBreak/>
        <w:t>agencies is usually preceded by compromised educational experience, disconnection with community, and inadequate service system responses to need</w:t>
      </w:r>
      <w:r w:rsidR="0036752B">
        <w:t>’.</w:t>
      </w:r>
      <w:r>
        <w:rPr>
          <w:rStyle w:val="EndnoteReference"/>
        </w:rPr>
        <w:endnoteReference w:id="58"/>
      </w:r>
      <w:r>
        <w:t xml:space="preserve"> </w:t>
      </w:r>
    </w:p>
    <w:p w14:paraId="0F9810E1" w14:textId="668F4821" w:rsidR="00FD69C9" w:rsidRPr="00FD69C9" w:rsidRDefault="00477DF6" w:rsidP="00E03511">
      <w:pPr>
        <w:pStyle w:val="SubmissionNormal"/>
        <w:tabs>
          <w:tab w:val="clear" w:pos="720"/>
          <w:tab w:val="num" w:pos="567"/>
        </w:tabs>
        <w:ind w:left="567" w:hanging="567"/>
        <w:rPr>
          <w:rFonts w:cs="Arial"/>
        </w:rPr>
      </w:pPr>
      <w:r>
        <w:rPr>
          <w:rFonts w:cs="Arial"/>
        </w:rPr>
        <w:t xml:space="preserve">The National Mental Health Commission which conducted a national Review of </w:t>
      </w:r>
      <w:r w:rsidRPr="009C3D77">
        <w:rPr>
          <w:rFonts w:ascii="TimesNewRomanPSMT" w:hAnsi="TimesNewRomanPSMT" w:cs="TimesNewRomanPSMT"/>
        </w:rPr>
        <w:t>Mental</w:t>
      </w:r>
      <w:r>
        <w:rPr>
          <w:rFonts w:cs="Arial"/>
        </w:rPr>
        <w:t xml:space="preserve"> Health Programmes and Services in 2014 found that ‘</w:t>
      </w:r>
      <w:r>
        <w:t>meaningful help often is not available until a person has deteriorated to crisis point</w:t>
      </w:r>
      <w:r w:rsidR="008260CD">
        <w:t>’.</w:t>
      </w:r>
      <w:r>
        <w:rPr>
          <w:rStyle w:val="EndnoteReference"/>
        </w:rPr>
        <w:endnoteReference w:id="59"/>
      </w:r>
      <w:r w:rsidR="00322A01" w:rsidRPr="00322A01">
        <w:t xml:space="preserve"> </w:t>
      </w:r>
    </w:p>
    <w:p w14:paraId="61EABE36" w14:textId="02A8D87B" w:rsidR="005836C9" w:rsidRPr="00E03511" w:rsidRDefault="00E03511" w:rsidP="00E03511">
      <w:pPr>
        <w:pStyle w:val="SubmissionNormal"/>
        <w:tabs>
          <w:tab w:val="clear" w:pos="720"/>
          <w:tab w:val="num" w:pos="567"/>
        </w:tabs>
        <w:ind w:left="567" w:hanging="567"/>
        <w:rPr>
          <w:rFonts w:cs="Arial"/>
        </w:rPr>
      </w:pPr>
      <w:r>
        <w:t xml:space="preserve">The lack of support in the community can lead to </w:t>
      </w:r>
      <w:r w:rsidR="00E62E86">
        <w:t xml:space="preserve">offending behaviour, and </w:t>
      </w:r>
      <w:r w:rsidR="00322A01" w:rsidRPr="00E03511">
        <w:rPr>
          <w:rFonts w:cs="Arial"/>
        </w:rPr>
        <w:t>an ‘inappropriate drift into the criminal justice system’, particularly for Aboriginal and Torres Strait Islander people.</w:t>
      </w:r>
      <w:r w:rsidR="00322A01">
        <w:rPr>
          <w:rStyle w:val="EndnoteReference"/>
          <w:rFonts w:cs="Arial"/>
        </w:rPr>
        <w:endnoteReference w:id="60"/>
      </w:r>
    </w:p>
    <w:p w14:paraId="1A19C271" w14:textId="3559B36C" w:rsidR="00816DE9" w:rsidRDefault="00E01030" w:rsidP="00816DE9">
      <w:pPr>
        <w:pStyle w:val="SubmissionNormal"/>
        <w:tabs>
          <w:tab w:val="clear" w:pos="720"/>
          <w:tab w:val="num" w:pos="567"/>
        </w:tabs>
        <w:ind w:left="567" w:hanging="567"/>
        <w:rPr>
          <w:rFonts w:cs="Arial"/>
        </w:rPr>
      </w:pPr>
      <w:r>
        <w:rPr>
          <w:rFonts w:cs="Arial"/>
        </w:rPr>
        <w:t xml:space="preserve">The Commission </w:t>
      </w:r>
      <w:r w:rsidR="00816DE9">
        <w:rPr>
          <w:rFonts w:cs="Arial"/>
        </w:rPr>
        <w:t xml:space="preserve">found in its 2013 consultations that people with disability had limited access to </w:t>
      </w:r>
      <w:r w:rsidR="00816DE9" w:rsidRPr="005E2AB0">
        <w:rPr>
          <w:rFonts w:cs="Arial"/>
        </w:rPr>
        <w:t>advocacy and legal services with disability expertise</w:t>
      </w:r>
      <w:r w:rsidR="00816DE9">
        <w:rPr>
          <w:rFonts w:cs="Arial"/>
        </w:rPr>
        <w:t>,</w:t>
      </w:r>
      <w:r w:rsidR="00816DE9" w:rsidRPr="005E2AB0">
        <w:rPr>
          <w:rFonts w:cs="Arial"/>
        </w:rPr>
        <w:t xml:space="preserve"> especially in remote and regional areas.</w:t>
      </w:r>
      <w:r w:rsidR="00816DE9">
        <w:rPr>
          <w:rStyle w:val="EndnoteReference"/>
          <w:rFonts w:cs="Arial"/>
        </w:rPr>
        <w:endnoteReference w:id="61"/>
      </w:r>
      <w:r w:rsidR="00816DE9" w:rsidRPr="005E2AB0">
        <w:rPr>
          <w:rFonts w:cs="Arial"/>
          <w:sz w:val="13"/>
          <w:szCs w:val="13"/>
        </w:rPr>
        <w:t xml:space="preserve"> </w:t>
      </w:r>
      <w:r w:rsidR="00816DE9">
        <w:rPr>
          <w:rFonts w:cs="Arial"/>
        </w:rPr>
        <w:t xml:space="preserve"> F</w:t>
      </w:r>
      <w:r w:rsidR="00816DE9" w:rsidRPr="005E2AB0">
        <w:rPr>
          <w:rFonts w:cs="Arial"/>
        </w:rPr>
        <w:t>or Aboriginal and Torres Strait Islander people and people from culturally and linguistically diver</w:t>
      </w:r>
      <w:r w:rsidR="00816DE9">
        <w:rPr>
          <w:rFonts w:cs="Arial"/>
        </w:rPr>
        <w:t>se backgrounds with disability,</w:t>
      </w:r>
      <w:r w:rsidR="00816DE9" w:rsidRPr="005E2AB0">
        <w:rPr>
          <w:rFonts w:cs="Arial"/>
        </w:rPr>
        <w:t xml:space="preserve"> access to culturally competent services with disability expertise, and Aboriginal legal services, was even harder.</w:t>
      </w:r>
      <w:r w:rsidR="00816DE9">
        <w:rPr>
          <w:rStyle w:val="EndnoteReference"/>
          <w:rFonts w:cs="Arial"/>
        </w:rPr>
        <w:endnoteReference w:id="62"/>
      </w:r>
    </w:p>
    <w:p w14:paraId="1F4E1470" w14:textId="77777777" w:rsidR="00834CD0" w:rsidRPr="00834CD0" w:rsidRDefault="006621E6" w:rsidP="00CF0D9E">
      <w:pPr>
        <w:pStyle w:val="SubmissionNormal"/>
        <w:tabs>
          <w:tab w:val="clear" w:pos="720"/>
          <w:tab w:val="num" w:pos="567"/>
        </w:tabs>
        <w:ind w:left="567" w:hanging="567"/>
        <w:rPr>
          <w:rFonts w:cs="Arial"/>
        </w:rPr>
      </w:pPr>
      <w:r w:rsidRPr="006621E6">
        <w:rPr>
          <w:rFonts w:cs="Arial"/>
        </w:rPr>
        <w:t xml:space="preserve">The key to protecting people with cognitive and/or psychiatric impairment from being </w:t>
      </w:r>
      <w:r w:rsidR="00C63A0B">
        <w:rPr>
          <w:rFonts w:cs="Arial"/>
        </w:rPr>
        <w:t xml:space="preserve">inappropriately </w:t>
      </w:r>
      <w:r w:rsidRPr="006621E6">
        <w:rPr>
          <w:rFonts w:cs="Arial"/>
        </w:rPr>
        <w:t>‘managed’ by the criminal justice system</w:t>
      </w:r>
      <w:r w:rsidR="00C63A0B">
        <w:rPr>
          <w:rFonts w:cs="Arial"/>
        </w:rPr>
        <w:t>, including</w:t>
      </w:r>
      <w:r w:rsidRPr="006621E6">
        <w:rPr>
          <w:rFonts w:cs="Arial"/>
        </w:rPr>
        <w:t xml:space="preserve"> by being placed in indefinite detention</w:t>
      </w:r>
      <w:r w:rsidR="00061C83">
        <w:rPr>
          <w:rFonts w:cs="Arial"/>
        </w:rPr>
        <w:t>,</w:t>
      </w:r>
      <w:r w:rsidRPr="006621E6">
        <w:rPr>
          <w:rFonts w:cs="Arial"/>
        </w:rPr>
        <w:t xml:space="preserve"> is to </w:t>
      </w:r>
      <w:r w:rsidR="00061C83">
        <w:rPr>
          <w:rFonts w:cs="Arial"/>
        </w:rPr>
        <w:t>support them to function in the community</w:t>
      </w:r>
      <w:r w:rsidR="00CF0D9E">
        <w:rPr>
          <w:rFonts w:cs="Arial"/>
        </w:rPr>
        <w:t xml:space="preserve">. </w:t>
      </w:r>
      <w:r w:rsidR="00935F32" w:rsidRPr="00FD69C9">
        <w:t>It is not appropriate or effective for people with complex needs to have to reach a crisis point before they receive supports and services.</w:t>
      </w:r>
      <w:r w:rsidR="00935F32">
        <w:t xml:space="preserve"> </w:t>
      </w:r>
      <w:r w:rsidR="005A22ED">
        <w:t>T</w:t>
      </w:r>
      <w:r w:rsidR="006B55C8">
        <w:t>he National Men</w:t>
      </w:r>
      <w:r w:rsidR="005A22ED">
        <w:t>tal Health Commission concluded that</w:t>
      </w:r>
      <w:r w:rsidR="006B55C8">
        <w:t xml:space="preserve"> the me</w:t>
      </w:r>
      <w:r w:rsidR="006D3F00">
        <w:t>ntal health system in Australia</w:t>
      </w:r>
      <w:r w:rsidR="006B55C8">
        <w:t xml:space="preserve"> needs to be reformed with ‘</w:t>
      </w:r>
      <w:r w:rsidR="006B55C8" w:rsidRPr="005542F0">
        <w:t>a strong focus on prevention, early interve</w:t>
      </w:r>
      <w:r w:rsidR="006B55C8">
        <w:t>ntion and support for recovery’.</w:t>
      </w:r>
      <w:r w:rsidR="006B55C8">
        <w:rPr>
          <w:rStyle w:val="EndnoteReference"/>
        </w:rPr>
        <w:endnoteReference w:id="63"/>
      </w:r>
    </w:p>
    <w:p w14:paraId="78200849" w14:textId="6A1C26CB" w:rsidR="00DD02DD" w:rsidRPr="00DD02DD" w:rsidRDefault="00AF2BA8" w:rsidP="00CF0D9E">
      <w:pPr>
        <w:pStyle w:val="SubmissionNormal"/>
        <w:tabs>
          <w:tab w:val="clear" w:pos="720"/>
          <w:tab w:val="num" w:pos="567"/>
        </w:tabs>
        <w:ind w:left="567" w:hanging="567"/>
        <w:rPr>
          <w:rFonts w:cs="Arial"/>
        </w:rPr>
      </w:pPr>
      <w:r>
        <w:t>The need for support in the community</w:t>
      </w:r>
      <w:r w:rsidR="00DD02DD">
        <w:t xml:space="preserve"> is as important</w:t>
      </w:r>
      <w:r w:rsidR="00834CD0">
        <w:t xml:space="preserve"> for preventing re-offending as it is for </w:t>
      </w:r>
      <w:r w:rsidR="008F4B3A">
        <w:t xml:space="preserve">preventing </w:t>
      </w:r>
      <w:r w:rsidR="00834CD0">
        <w:t xml:space="preserve">offending. </w:t>
      </w:r>
      <w:r w:rsidR="00DD02DD">
        <w:t xml:space="preserve">In the context of the over-representation of Aboriginal and Torres Strait Islander people </w:t>
      </w:r>
      <w:r w:rsidR="007749B1">
        <w:t xml:space="preserve">with disability </w:t>
      </w:r>
      <w:r w:rsidR="00DD02DD">
        <w:t>in prisons,</w:t>
      </w:r>
      <w:r w:rsidR="00634459">
        <w:t xml:space="preserve"> it is relevant to note that 77 per cent</w:t>
      </w:r>
      <w:r w:rsidR="00DD02DD">
        <w:t xml:space="preserve"> of the Aboriginal and Torres Str</w:t>
      </w:r>
      <w:r w:rsidR="00814E7C">
        <w:t>ait Islander people in prison on</w:t>
      </w:r>
      <w:r w:rsidR="00555AE4">
        <w:t xml:space="preserve"> 30 June 2015 had been </w:t>
      </w:r>
      <w:r w:rsidR="00814E7C">
        <w:t xml:space="preserve">previously </w:t>
      </w:r>
      <w:r w:rsidR="00555AE4">
        <w:t>imprisoned</w:t>
      </w:r>
      <w:r w:rsidR="00DD02DD">
        <w:t>.</w:t>
      </w:r>
      <w:r w:rsidR="007B4486">
        <w:rPr>
          <w:rStyle w:val="EndnoteReference"/>
        </w:rPr>
        <w:endnoteReference w:id="64"/>
      </w:r>
      <w:r w:rsidR="00DD02DD">
        <w:t xml:space="preserve"> </w:t>
      </w:r>
    </w:p>
    <w:p w14:paraId="7FC0D8F4" w14:textId="1510513D" w:rsidR="00A67979" w:rsidRPr="00555AE4" w:rsidRDefault="00834CD0" w:rsidP="00555AE4">
      <w:pPr>
        <w:pStyle w:val="SubmissionNormal"/>
        <w:tabs>
          <w:tab w:val="clear" w:pos="720"/>
          <w:tab w:val="num" w:pos="567"/>
        </w:tabs>
        <w:ind w:left="567" w:hanging="567"/>
        <w:rPr>
          <w:rFonts w:cs="Arial"/>
        </w:rPr>
      </w:pPr>
      <w:r>
        <w:t>People with cognitive and/o</w:t>
      </w:r>
      <w:r w:rsidR="00DD02DD">
        <w:t xml:space="preserve">r psychiatric impairment who </w:t>
      </w:r>
      <w:r>
        <w:t>spend time in custody or detention require specific</w:t>
      </w:r>
      <w:r w:rsidR="00B542E7">
        <w:t xml:space="preserve"> </w:t>
      </w:r>
      <w:r>
        <w:t xml:space="preserve">post-release </w:t>
      </w:r>
      <w:r w:rsidR="00B542E7">
        <w:t xml:space="preserve">support services and accommodation </w:t>
      </w:r>
      <w:r>
        <w:t>to enable them</w:t>
      </w:r>
      <w:r w:rsidR="008F4B3A">
        <w:t xml:space="preserve"> to rebuild </w:t>
      </w:r>
      <w:r w:rsidR="00B542E7">
        <w:t>their</w:t>
      </w:r>
      <w:r w:rsidR="00F60F30">
        <w:t xml:space="preserve"> lives</w:t>
      </w:r>
      <w:r w:rsidR="008F4B3A">
        <w:t xml:space="preserve"> in the community. If adequate post-release support is not provided, the</w:t>
      </w:r>
      <w:r w:rsidR="00485435">
        <w:t>re is a</w:t>
      </w:r>
      <w:r w:rsidR="00297FE7">
        <w:t xml:space="preserve"> risk </w:t>
      </w:r>
      <w:r w:rsidR="008F4B3A">
        <w:t xml:space="preserve">that these people will reoffend and cycle back through the criminal justice </w:t>
      </w:r>
      <w:r w:rsidR="00485435">
        <w:t>system.</w:t>
      </w:r>
      <w:r w:rsidR="00CD403F">
        <w:rPr>
          <w:rStyle w:val="EndnoteReference"/>
        </w:rPr>
        <w:endnoteReference w:id="65"/>
      </w:r>
      <w:r w:rsidR="00485435">
        <w:t xml:space="preserve"> </w:t>
      </w:r>
      <w:r w:rsidR="001F203A">
        <w:t xml:space="preserve">This suggests that </w:t>
      </w:r>
      <w:r w:rsidR="00C818D3">
        <w:t xml:space="preserve">the availability of </w:t>
      </w:r>
      <w:r w:rsidR="001F203A">
        <w:t>a</w:t>
      </w:r>
      <w:r w:rsidR="00F60F30">
        <w:t xml:space="preserve"> continuum of support, </w:t>
      </w:r>
      <w:r w:rsidR="00C818D3">
        <w:t>including</w:t>
      </w:r>
      <w:r w:rsidR="00297FE7">
        <w:t xml:space="preserve"> post–</w:t>
      </w:r>
      <w:r w:rsidR="00216B4B">
        <w:t>release</w:t>
      </w:r>
      <w:r w:rsidR="00C818D3">
        <w:t>, is important</w:t>
      </w:r>
      <w:r w:rsidR="00216B4B">
        <w:t xml:space="preserve"> when considering the risk of (re)offending.</w:t>
      </w:r>
      <w:r w:rsidR="001F203A">
        <w:t xml:space="preserve"> </w:t>
      </w:r>
    </w:p>
    <w:p w14:paraId="08FC45BF" w14:textId="13A2ADFF" w:rsidR="004E05F8" w:rsidRPr="00555AE4" w:rsidRDefault="006D3F00" w:rsidP="00555AE4">
      <w:pPr>
        <w:pStyle w:val="SubmissionNormal"/>
        <w:tabs>
          <w:tab w:val="clear" w:pos="720"/>
          <w:tab w:val="num" w:pos="567"/>
        </w:tabs>
        <w:ind w:left="567" w:hanging="567"/>
        <w:rPr>
          <w:rFonts w:cs="Arial"/>
        </w:rPr>
      </w:pPr>
      <w:r w:rsidRPr="0043297A">
        <w:rPr>
          <w:rFonts w:cs="Arial"/>
        </w:rPr>
        <w:t>The roll-out of the N</w:t>
      </w:r>
      <w:r w:rsidR="00A637ED">
        <w:rPr>
          <w:rFonts w:cs="Arial"/>
        </w:rPr>
        <w:t xml:space="preserve">ational </w:t>
      </w:r>
      <w:r w:rsidRPr="0043297A">
        <w:rPr>
          <w:rFonts w:cs="Arial"/>
        </w:rPr>
        <w:t>D</w:t>
      </w:r>
      <w:r w:rsidR="00A637ED">
        <w:rPr>
          <w:rFonts w:cs="Arial"/>
        </w:rPr>
        <w:t xml:space="preserve">isability </w:t>
      </w:r>
      <w:r w:rsidRPr="0043297A">
        <w:rPr>
          <w:rFonts w:cs="Arial"/>
        </w:rPr>
        <w:t>I</w:t>
      </w:r>
      <w:r w:rsidR="00A637ED">
        <w:rPr>
          <w:rFonts w:cs="Arial"/>
        </w:rPr>
        <w:t xml:space="preserve">nsurance </w:t>
      </w:r>
      <w:r w:rsidRPr="0043297A">
        <w:rPr>
          <w:rFonts w:cs="Arial"/>
        </w:rPr>
        <w:t>S</w:t>
      </w:r>
      <w:r w:rsidR="00A637ED">
        <w:rPr>
          <w:rFonts w:cs="Arial"/>
        </w:rPr>
        <w:t>cheme (NDIS)</w:t>
      </w:r>
      <w:r w:rsidRPr="0043297A">
        <w:rPr>
          <w:rFonts w:cs="Arial"/>
        </w:rPr>
        <w:t xml:space="preserve"> brings with it an opportunity to address current shortcomings with regard to service provision for people with disability, particularly in Aboriginal and Torres Strait Islander communities.</w:t>
      </w:r>
      <w:r w:rsidR="00370419" w:rsidRPr="0043297A">
        <w:rPr>
          <w:rFonts w:cs="Arial"/>
        </w:rPr>
        <w:t xml:space="preserve"> </w:t>
      </w:r>
      <w:r w:rsidRPr="0043297A">
        <w:rPr>
          <w:rFonts w:cs="Arial"/>
        </w:rPr>
        <w:t xml:space="preserve">In its most recent </w:t>
      </w:r>
      <w:r w:rsidRPr="0043297A">
        <w:rPr>
          <w:rFonts w:cs="Arial"/>
          <w:i/>
        </w:rPr>
        <w:t>Social Justice and Native Title Report</w:t>
      </w:r>
      <w:r w:rsidR="003744C7">
        <w:rPr>
          <w:rFonts w:cs="Arial"/>
        </w:rPr>
        <w:t xml:space="preserve"> </w:t>
      </w:r>
      <w:r w:rsidR="003744C7" w:rsidRPr="003744C7">
        <w:rPr>
          <w:rFonts w:cs="Arial"/>
          <w:i/>
        </w:rPr>
        <w:t>2015</w:t>
      </w:r>
      <w:r w:rsidRPr="0043297A">
        <w:rPr>
          <w:rFonts w:cs="Arial"/>
        </w:rPr>
        <w:t xml:space="preserve"> the Commission identified principles for </w:t>
      </w:r>
      <w:r>
        <w:t xml:space="preserve">effective service provision to Aboriginal and Torres Strait Islander people with disability, and identified some of the </w:t>
      </w:r>
      <w:r w:rsidR="00E43674">
        <w:t xml:space="preserve">emerging </w:t>
      </w:r>
      <w:r>
        <w:t xml:space="preserve">challenges in terms of </w:t>
      </w:r>
      <w:r w:rsidR="00B12FEF">
        <w:t>their access to</w:t>
      </w:r>
      <w:r>
        <w:t xml:space="preserve"> the NDIS.</w:t>
      </w:r>
      <w:r>
        <w:rPr>
          <w:rStyle w:val="EndnoteReference"/>
        </w:rPr>
        <w:endnoteReference w:id="66"/>
      </w:r>
    </w:p>
    <w:p w14:paraId="3EC7B64B" w14:textId="4211A92B" w:rsidR="00570AFA" w:rsidRPr="004C05B3" w:rsidRDefault="00440A5D" w:rsidP="002D79C0">
      <w:pPr>
        <w:pStyle w:val="SubmissionNormal"/>
        <w:numPr>
          <w:ilvl w:val="0"/>
          <w:numId w:val="0"/>
        </w:numPr>
        <w:ind w:left="567"/>
        <w:rPr>
          <w:b/>
        </w:rPr>
      </w:pPr>
      <w:r w:rsidRPr="004C05B3">
        <w:rPr>
          <w:b/>
        </w:rPr>
        <w:t xml:space="preserve">Recommendation </w:t>
      </w:r>
      <w:r w:rsidR="007C19E9" w:rsidRPr="00FB0C62">
        <w:rPr>
          <w:b/>
        </w:rPr>
        <w:t>1</w:t>
      </w:r>
      <w:r w:rsidRPr="004C05B3">
        <w:rPr>
          <w:b/>
        </w:rPr>
        <w:t xml:space="preserve">:  The Commission recommends that </w:t>
      </w:r>
      <w:r w:rsidR="00A0129E">
        <w:rPr>
          <w:b/>
        </w:rPr>
        <w:t>all g</w:t>
      </w:r>
      <w:r w:rsidR="004C05B3" w:rsidRPr="004C05B3">
        <w:rPr>
          <w:b/>
        </w:rPr>
        <w:t xml:space="preserve">overnments fund </w:t>
      </w:r>
      <w:r w:rsidR="00570AFA" w:rsidRPr="004C05B3">
        <w:rPr>
          <w:b/>
        </w:rPr>
        <w:t xml:space="preserve">adequate </w:t>
      </w:r>
      <w:r w:rsidR="0046370B">
        <w:rPr>
          <w:b/>
        </w:rPr>
        <w:t xml:space="preserve">and culturally appropriate </w:t>
      </w:r>
      <w:r w:rsidR="009E1FC6">
        <w:rPr>
          <w:b/>
        </w:rPr>
        <w:t xml:space="preserve">community </w:t>
      </w:r>
      <w:r w:rsidR="00570AFA" w:rsidRPr="004C05B3">
        <w:rPr>
          <w:b/>
        </w:rPr>
        <w:t xml:space="preserve">welfare, accommodation and support services </w:t>
      </w:r>
      <w:r w:rsidR="004C05B3" w:rsidRPr="004C05B3">
        <w:rPr>
          <w:b/>
        </w:rPr>
        <w:t xml:space="preserve">for people with cognitive and/or </w:t>
      </w:r>
      <w:r w:rsidR="004C05B3" w:rsidRPr="004C05B3">
        <w:rPr>
          <w:b/>
        </w:rPr>
        <w:lastRenderedPageBreak/>
        <w:t xml:space="preserve">psychiatric impairment </w:t>
      </w:r>
      <w:r w:rsidR="00570AFA" w:rsidRPr="004C05B3">
        <w:rPr>
          <w:b/>
        </w:rPr>
        <w:t xml:space="preserve">to </w:t>
      </w:r>
      <w:r w:rsidR="007262EC">
        <w:rPr>
          <w:b/>
        </w:rPr>
        <w:t xml:space="preserve">reduce </w:t>
      </w:r>
      <w:r w:rsidR="002950A6">
        <w:rPr>
          <w:b/>
        </w:rPr>
        <w:t xml:space="preserve">disadvantage and </w:t>
      </w:r>
      <w:r w:rsidR="007262EC">
        <w:rPr>
          <w:b/>
        </w:rPr>
        <w:t>the risk of offending behaviour.</w:t>
      </w:r>
    </w:p>
    <w:p w14:paraId="0D64460C" w14:textId="2B8D0404" w:rsidR="00570AFA" w:rsidRDefault="00570AFA" w:rsidP="004670D6">
      <w:pPr>
        <w:pStyle w:val="Heading2"/>
      </w:pPr>
      <w:bookmarkStart w:id="88" w:name="_Toc447200190"/>
      <w:r>
        <w:t>Challenges interacting with system because of disability</w:t>
      </w:r>
      <w:bookmarkEnd w:id="88"/>
    </w:p>
    <w:p w14:paraId="11D2C8A4" w14:textId="01AA3D90" w:rsidR="00570AFA" w:rsidRPr="00531313" w:rsidRDefault="00570AFA" w:rsidP="002D79C0">
      <w:pPr>
        <w:pStyle w:val="SubmissionNormal"/>
        <w:tabs>
          <w:tab w:val="clear" w:pos="720"/>
          <w:tab w:val="num" w:pos="567"/>
        </w:tabs>
        <w:ind w:left="567" w:hanging="567"/>
        <w:rPr>
          <w:rFonts w:ascii="ArialMT" w:hAnsi="ArialMT" w:cs="ArialMT"/>
          <w:sz w:val="22"/>
          <w:szCs w:val="22"/>
        </w:rPr>
      </w:pPr>
      <w:r>
        <w:rPr>
          <w:rFonts w:cs="Arial"/>
        </w:rPr>
        <w:t>People with cognitive</w:t>
      </w:r>
      <w:r w:rsidR="00192880">
        <w:rPr>
          <w:rFonts w:cs="Arial"/>
        </w:rPr>
        <w:t xml:space="preserve"> and/or psychiatric impairment </w:t>
      </w:r>
      <w:r>
        <w:rPr>
          <w:rFonts w:cs="Arial"/>
        </w:rPr>
        <w:t>can face particular challenges once they are brought within the criminal justice system. For example, people with cognitive impairment can be ‘overly compliant, easily intimidated and prone to confusion’, and ‘highly susceptible to suggestion, influence and coercion</w:t>
      </w:r>
      <w:r w:rsidR="00054F6C">
        <w:rPr>
          <w:rFonts w:cs="Arial"/>
        </w:rPr>
        <w:t>’.</w:t>
      </w:r>
      <w:r>
        <w:rPr>
          <w:rStyle w:val="EndnoteReference"/>
          <w:rFonts w:cs="Arial"/>
        </w:rPr>
        <w:endnoteReference w:id="67"/>
      </w:r>
      <w:r>
        <w:rPr>
          <w:rFonts w:cs="Arial"/>
        </w:rPr>
        <w:t xml:space="preserve">  For people affected by this type of impairment, the </w:t>
      </w:r>
      <w:r w:rsidR="00192880">
        <w:rPr>
          <w:rFonts w:cs="Arial"/>
        </w:rPr>
        <w:t xml:space="preserve">adversarial </w:t>
      </w:r>
      <w:r>
        <w:rPr>
          <w:rFonts w:cs="Arial"/>
        </w:rPr>
        <w:t>style of communi</w:t>
      </w:r>
      <w:r w:rsidR="00192880">
        <w:rPr>
          <w:rFonts w:cs="Arial"/>
        </w:rPr>
        <w:t xml:space="preserve">cation and questioning which is used in </w:t>
      </w:r>
      <w:r>
        <w:rPr>
          <w:rFonts w:cs="Arial"/>
        </w:rPr>
        <w:t>criminal process</w:t>
      </w:r>
      <w:r w:rsidR="00192880">
        <w:rPr>
          <w:rFonts w:cs="Arial"/>
        </w:rPr>
        <w:t>es</w:t>
      </w:r>
      <w:r>
        <w:rPr>
          <w:rFonts w:cs="Arial"/>
        </w:rPr>
        <w:t xml:space="preserve"> in Australia can be problematic.</w:t>
      </w:r>
    </w:p>
    <w:p w14:paraId="03A073F4" w14:textId="3A5D6D5A" w:rsidR="00522959" w:rsidRPr="00522959" w:rsidRDefault="00570AFA" w:rsidP="002D79C0">
      <w:pPr>
        <w:pStyle w:val="SubmissionNormal"/>
        <w:tabs>
          <w:tab w:val="clear" w:pos="720"/>
          <w:tab w:val="num" w:pos="567"/>
        </w:tabs>
        <w:ind w:left="567" w:hanging="567"/>
        <w:rPr>
          <w:rFonts w:ascii="ArialMT" w:hAnsi="ArialMT" w:cs="ArialMT"/>
          <w:sz w:val="22"/>
          <w:szCs w:val="22"/>
        </w:rPr>
      </w:pPr>
      <w:r>
        <w:rPr>
          <w:rFonts w:cs="Arial"/>
        </w:rPr>
        <w:t>People with intellectual disability also have ‘</w:t>
      </w:r>
      <w:r w:rsidRPr="00E94211">
        <w:rPr>
          <w:rFonts w:cs="Arial"/>
        </w:rPr>
        <w:t>high rates of illiteracy and</w:t>
      </w:r>
      <w:r>
        <w:rPr>
          <w:rFonts w:cs="Arial"/>
        </w:rPr>
        <w:t xml:space="preserve"> </w:t>
      </w:r>
      <w:r w:rsidRPr="00E94211">
        <w:rPr>
          <w:rFonts w:cs="Arial"/>
        </w:rPr>
        <w:t>limited language skills</w:t>
      </w:r>
      <w:r>
        <w:rPr>
          <w:rFonts w:cs="Arial"/>
        </w:rPr>
        <w:t>’.</w:t>
      </w:r>
      <w:r>
        <w:rPr>
          <w:rStyle w:val="EndnoteReference"/>
          <w:rFonts w:cs="Arial"/>
        </w:rPr>
        <w:endnoteReference w:id="68"/>
      </w:r>
      <w:r w:rsidR="004231EE">
        <w:rPr>
          <w:rFonts w:cs="Arial"/>
        </w:rPr>
        <w:t xml:space="preserve"> They may</w:t>
      </w:r>
      <w:r>
        <w:rPr>
          <w:rFonts w:cs="Arial"/>
        </w:rPr>
        <w:t xml:space="preserve"> ‘</w:t>
      </w:r>
      <w:r w:rsidRPr="002838BF">
        <w:rPr>
          <w:rFonts w:cs="Arial"/>
        </w:rPr>
        <w:t>struggle to understand legal advice, court process and court dialogue, which is filled</w:t>
      </w:r>
      <w:r>
        <w:rPr>
          <w:rFonts w:ascii="ArialMT" w:hAnsi="ArialMT" w:cs="ArialMT"/>
          <w:sz w:val="22"/>
          <w:szCs w:val="22"/>
        </w:rPr>
        <w:t xml:space="preserve"> </w:t>
      </w:r>
      <w:r w:rsidRPr="002838BF">
        <w:rPr>
          <w:rFonts w:cs="Arial"/>
        </w:rPr>
        <w:t>with jargon and complex statements</w:t>
      </w:r>
      <w:r>
        <w:rPr>
          <w:rFonts w:cs="Arial"/>
        </w:rPr>
        <w:t>’.</w:t>
      </w:r>
      <w:r>
        <w:rPr>
          <w:rStyle w:val="EndnoteReference"/>
          <w:rFonts w:cs="Arial"/>
        </w:rPr>
        <w:endnoteReference w:id="69"/>
      </w:r>
      <w:r>
        <w:rPr>
          <w:rFonts w:cs="Arial"/>
        </w:rPr>
        <w:t xml:space="preserve"> </w:t>
      </w:r>
    </w:p>
    <w:p w14:paraId="6C942853" w14:textId="4786436F" w:rsidR="00570AFA" w:rsidRPr="002838BF" w:rsidRDefault="00052C63" w:rsidP="002D79C0">
      <w:pPr>
        <w:pStyle w:val="SubmissionNormal"/>
        <w:tabs>
          <w:tab w:val="clear" w:pos="720"/>
          <w:tab w:val="num" w:pos="567"/>
        </w:tabs>
        <w:ind w:left="567" w:hanging="567"/>
        <w:rPr>
          <w:rFonts w:ascii="ArialMT" w:hAnsi="ArialMT" w:cs="ArialMT"/>
          <w:sz w:val="22"/>
          <w:szCs w:val="22"/>
        </w:rPr>
      </w:pPr>
      <w:r>
        <w:rPr>
          <w:rFonts w:cs="Arial"/>
        </w:rPr>
        <w:t>As a result of such difficulties, p</w:t>
      </w:r>
      <w:r w:rsidR="00A274AD">
        <w:rPr>
          <w:rFonts w:cs="Arial"/>
        </w:rPr>
        <w:t>eople with disability</w:t>
      </w:r>
      <w:r w:rsidRPr="00BD24BB">
        <w:rPr>
          <w:rFonts w:cs="Arial"/>
        </w:rPr>
        <w:t xml:space="preserve"> frequently experience prejudicial assessments of their</w:t>
      </w:r>
      <w:r>
        <w:rPr>
          <w:rFonts w:cs="Arial"/>
        </w:rPr>
        <w:t xml:space="preserve"> </w:t>
      </w:r>
      <w:r w:rsidRPr="00BD24BB">
        <w:rPr>
          <w:rFonts w:cs="Arial"/>
        </w:rPr>
        <w:t>competency to give evidence</w:t>
      </w:r>
      <w:r w:rsidR="0002796C">
        <w:rPr>
          <w:rFonts w:cs="Arial"/>
        </w:rPr>
        <w:t>, inc</w:t>
      </w:r>
      <w:r w:rsidR="008367C8">
        <w:rPr>
          <w:rFonts w:cs="Arial"/>
        </w:rPr>
        <w:t>luding</w:t>
      </w:r>
      <w:r w:rsidRPr="00BD24BB">
        <w:rPr>
          <w:rFonts w:cs="Arial"/>
        </w:rPr>
        <w:t xml:space="preserve"> as a</w:t>
      </w:r>
      <w:r>
        <w:rPr>
          <w:rFonts w:cs="Arial"/>
        </w:rPr>
        <w:t xml:space="preserve"> </w:t>
      </w:r>
      <w:r w:rsidRPr="00BD24BB">
        <w:rPr>
          <w:rFonts w:cs="Arial"/>
        </w:rPr>
        <w:t>defendant to proceedings.</w:t>
      </w:r>
      <w:r>
        <w:rPr>
          <w:rStyle w:val="EndnoteReference"/>
          <w:rFonts w:cs="Arial"/>
        </w:rPr>
        <w:endnoteReference w:id="70"/>
      </w:r>
      <w:r w:rsidRPr="00BD24BB">
        <w:rPr>
          <w:rFonts w:cs="Arial"/>
        </w:rPr>
        <w:t xml:space="preserve"> </w:t>
      </w:r>
    </w:p>
    <w:p w14:paraId="10180DCF" w14:textId="3BE36CBF" w:rsidR="00570AFA" w:rsidRPr="003341BE" w:rsidRDefault="00121008" w:rsidP="002D79C0">
      <w:pPr>
        <w:pStyle w:val="SubmissionNormal"/>
        <w:tabs>
          <w:tab w:val="clear" w:pos="720"/>
          <w:tab w:val="num" w:pos="567"/>
        </w:tabs>
        <w:ind w:left="567" w:hanging="567"/>
        <w:rPr>
          <w:rFonts w:ascii="ArialMT" w:hAnsi="ArialMT" w:cs="ArialMT"/>
          <w:sz w:val="22"/>
          <w:szCs w:val="22"/>
        </w:rPr>
      </w:pPr>
      <w:r>
        <w:rPr>
          <w:rFonts w:cs="Arial"/>
        </w:rPr>
        <w:t>Article 13 of t</w:t>
      </w:r>
      <w:r w:rsidR="00570AFA">
        <w:rPr>
          <w:rFonts w:cs="Arial"/>
        </w:rPr>
        <w:t xml:space="preserve">he Disability Convention requires States Parties to actively facilitate the participation of people with disability in legal proceedings so that they can have effective access to justice, on an equal footing with people without </w:t>
      </w:r>
      <w:r w:rsidR="00570AFA" w:rsidRPr="00946913">
        <w:rPr>
          <w:rFonts w:cs="Arial"/>
        </w:rPr>
        <w:t>disability.</w:t>
      </w:r>
      <w:r w:rsidR="00570AFA" w:rsidRPr="00946913">
        <w:rPr>
          <w:rStyle w:val="EndnoteReference"/>
          <w:rFonts w:cs="Arial"/>
          <w:color w:val="000000"/>
          <w:sz w:val="24"/>
        </w:rPr>
        <w:endnoteReference w:id="71"/>
      </w:r>
      <w:r w:rsidR="00570AFA" w:rsidRPr="00946913">
        <w:rPr>
          <w:rFonts w:cs="Arial"/>
        </w:rPr>
        <w:t xml:space="preserve"> States have an obl</w:t>
      </w:r>
      <w:r w:rsidR="00522959" w:rsidRPr="00946913">
        <w:rPr>
          <w:rFonts w:cs="Arial"/>
        </w:rPr>
        <w:t>igation to provide procedural modifications</w:t>
      </w:r>
      <w:r w:rsidR="00570AFA" w:rsidRPr="00946913">
        <w:rPr>
          <w:rFonts w:cs="Arial"/>
        </w:rPr>
        <w:t xml:space="preserve"> to legal processes to ensure people with disability can participate effectively.</w:t>
      </w:r>
      <w:r w:rsidR="00137D84" w:rsidRPr="00946913">
        <w:rPr>
          <w:rStyle w:val="EndnoteReference"/>
          <w:rFonts w:cs="Arial"/>
        </w:rPr>
        <w:endnoteReference w:id="72"/>
      </w:r>
    </w:p>
    <w:p w14:paraId="71D288A8" w14:textId="5301FA25" w:rsidR="003341BE" w:rsidRPr="003341BE" w:rsidRDefault="003341BE" w:rsidP="003341BE">
      <w:pPr>
        <w:pStyle w:val="SubmissionNormal"/>
        <w:tabs>
          <w:tab w:val="clear" w:pos="720"/>
          <w:tab w:val="num" w:pos="567"/>
        </w:tabs>
        <w:ind w:left="567" w:hanging="567"/>
      </w:pPr>
      <w:r w:rsidRPr="00115E14">
        <w:t xml:space="preserve">The UN </w:t>
      </w:r>
      <w:r w:rsidR="00287C0B" w:rsidRPr="001C24E2">
        <w:rPr>
          <w:rFonts w:cs="Arial"/>
          <w:lang w:val="en"/>
        </w:rPr>
        <w:t>Committe</w:t>
      </w:r>
      <w:r w:rsidR="00287C0B">
        <w:rPr>
          <w:rFonts w:cs="Arial"/>
          <w:lang w:val="en"/>
        </w:rPr>
        <w:t xml:space="preserve">e on the Rights of Persons with </w:t>
      </w:r>
      <w:r w:rsidR="00287C0B" w:rsidRPr="001C24E2">
        <w:rPr>
          <w:rFonts w:cs="Arial"/>
          <w:lang w:val="en"/>
        </w:rPr>
        <w:t xml:space="preserve">Disabilities </w:t>
      </w:r>
      <w:r w:rsidR="00287C0B">
        <w:rPr>
          <w:rFonts w:cs="Arial"/>
          <w:lang w:val="en"/>
        </w:rPr>
        <w:t>(</w:t>
      </w:r>
      <w:r w:rsidR="0065080A">
        <w:rPr>
          <w:rFonts w:cs="Arial"/>
          <w:lang w:val="en"/>
        </w:rPr>
        <w:t xml:space="preserve">UN </w:t>
      </w:r>
      <w:r>
        <w:t xml:space="preserve">Disability </w:t>
      </w:r>
      <w:r w:rsidR="00D70201">
        <w:t>Committee</w:t>
      </w:r>
      <w:r w:rsidR="00287C0B">
        <w:t>)</w:t>
      </w:r>
      <w:r w:rsidR="00D70201">
        <w:t xml:space="preserve"> </w:t>
      </w:r>
      <w:r w:rsidR="001747E6">
        <w:t>i</w:t>
      </w:r>
      <w:r w:rsidRPr="00115E14">
        <w:t>n 2013 recommended that Aust</w:t>
      </w:r>
      <w:r>
        <w:t>ralia as a matter of urgency e</w:t>
      </w:r>
      <w:r w:rsidRPr="00115E14">
        <w:t xml:space="preserve">stablish </w:t>
      </w:r>
      <w:r>
        <w:t>‘</w:t>
      </w:r>
      <w:r w:rsidRPr="00115E14">
        <w:t>mandatory guidelines and practice to ensure that persons with disabilities in the criminal justice system are provided with appropriate support and accommodation</w:t>
      </w:r>
      <w:r w:rsidR="000C0E03">
        <w:t>’</w:t>
      </w:r>
      <w:r w:rsidRPr="00115E14">
        <w:t>.</w:t>
      </w:r>
      <w:r w:rsidRPr="00115E14">
        <w:rPr>
          <w:rStyle w:val="EndnoteReference"/>
          <w:szCs w:val="22"/>
        </w:rPr>
        <w:endnoteReference w:id="73"/>
      </w:r>
    </w:p>
    <w:p w14:paraId="74C34A89" w14:textId="77777777" w:rsidR="00CD4669" w:rsidRPr="00C92A94" w:rsidRDefault="00CD4669" w:rsidP="002D79C0">
      <w:pPr>
        <w:pStyle w:val="SubmissionNormal"/>
        <w:tabs>
          <w:tab w:val="clear" w:pos="720"/>
          <w:tab w:val="num" w:pos="567"/>
        </w:tabs>
        <w:ind w:left="567" w:hanging="567"/>
      </w:pPr>
      <w:r>
        <w:rPr>
          <w:rFonts w:cs="Arial"/>
        </w:rPr>
        <w:t xml:space="preserve">The Victorian Parliamentary Law Reform Committee in 2013 concluded that:   </w:t>
      </w:r>
    </w:p>
    <w:p w14:paraId="19FC07C8" w14:textId="004DE3A8" w:rsidR="00CD4669" w:rsidRPr="00CD4669" w:rsidRDefault="00CD4669" w:rsidP="00CD4669">
      <w:pPr>
        <w:pStyle w:val="SubmissionNormal"/>
        <w:numPr>
          <w:ilvl w:val="0"/>
          <w:numId w:val="0"/>
        </w:numPr>
        <w:ind w:left="1134"/>
      </w:pPr>
      <w:r w:rsidRPr="00C92A94">
        <w:rPr>
          <w:rFonts w:cs="Arial"/>
          <w:sz w:val="22"/>
          <w:szCs w:val="22"/>
        </w:rPr>
        <w:t>Many of the barriers experienced by a person with an intellectual disability or cognitive impairment before the courts could be overcome if adjustments were made to court procedures and case management, and if support services were made available during and after a person’s court appearance</w:t>
      </w:r>
      <w:r>
        <w:rPr>
          <w:rFonts w:cs="Arial"/>
          <w:sz w:val="22"/>
          <w:szCs w:val="22"/>
        </w:rPr>
        <w:t>.</w:t>
      </w:r>
      <w:r>
        <w:rPr>
          <w:rStyle w:val="EndnoteReference"/>
          <w:rFonts w:cs="Arial"/>
          <w:szCs w:val="22"/>
        </w:rPr>
        <w:endnoteReference w:id="74"/>
      </w:r>
      <w:r w:rsidRPr="00D32DBE">
        <w:t xml:space="preserve"> </w:t>
      </w:r>
      <w:r>
        <w:t xml:space="preserve"> </w:t>
      </w:r>
    </w:p>
    <w:p w14:paraId="3CFF3E95" w14:textId="461F0F7A" w:rsidR="007E38D0" w:rsidRPr="005929DD" w:rsidRDefault="00CD4669" w:rsidP="005929DD">
      <w:pPr>
        <w:pStyle w:val="SubmissionNormal"/>
        <w:tabs>
          <w:tab w:val="clear" w:pos="720"/>
          <w:tab w:val="num" w:pos="567"/>
        </w:tabs>
        <w:ind w:left="567" w:hanging="567"/>
        <w:rPr>
          <w:rFonts w:cs="Arial"/>
        </w:rPr>
      </w:pPr>
      <w:r>
        <w:rPr>
          <w:rFonts w:cs="Arial"/>
        </w:rPr>
        <w:t>However,</w:t>
      </w:r>
      <w:r w:rsidR="00570AFA">
        <w:rPr>
          <w:rFonts w:cs="Arial"/>
        </w:rPr>
        <w:t xml:space="preserve"> the Commission in its 2013 consultations found that such </w:t>
      </w:r>
      <w:r w:rsidR="000E4BBD">
        <w:rPr>
          <w:rFonts w:cs="Arial"/>
        </w:rPr>
        <w:t>adjustments</w:t>
      </w:r>
      <w:r w:rsidR="00C03694">
        <w:rPr>
          <w:rFonts w:cs="Arial"/>
        </w:rPr>
        <w:t xml:space="preserve"> were frequently not </w:t>
      </w:r>
      <w:r w:rsidR="00570AFA">
        <w:rPr>
          <w:rFonts w:cs="Arial"/>
        </w:rPr>
        <w:t xml:space="preserve">made in court processes for a range of reasons, including </w:t>
      </w:r>
      <w:r w:rsidR="00570AFA" w:rsidRPr="003A4554">
        <w:rPr>
          <w:rFonts w:eastAsia="MS Mincho" w:cs="Arial"/>
          <w:color w:val="000000"/>
        </w:rPr>
        <w:t>lack of screening mechanisms, training and inability of lawyers and judges to identify disability</w:t>
      </w:r>
      <w:r w:rsidR="00570AFA" w:rsidRPr="003A4554">
        <w:rPr>
          <w:rFonts w:cs="Arial"/>
        </w:rPr>
        <w:t>.</w:t>
      </w:r>
      <w:r w:rsidR="00570AFA">
        <w:rPr>
          <w:rStyle w:val="EndnoteReference"/>
          <w:rFonts w:cs="Arial"/>
        </w:rPr>
        <w:endnoteReference w:id="75"/>
      </w:r>
      <w:r w:rsidR="00570AFA" w:rsidRPr="003A4554">
        <w:rPr>
          <w:rFonts w:cs="Arial"/>
        </w:rPr>
        <w:t xml:space="preserve"> </w:t>
      </w:r>
      <w:r w:rsidR="00570AFA" w:rsidRPr="00B85440">
        <w:rPr>
          <w:rFonts w:cs="Arial"/>
        </w:rPr>
        <w:t>The Commission heard that courts are not adjour</w:t>
      </w:r>
      <w:r w:rsidR="00570AFA">
        <w:rPr>
          <w:rFonts w:cs="Arial"/>
        </w:rPr>
        <w:t xml:space="preserve">ned to find out if a person has </w:t>
      </w:r>
      <w:r w:rsidR="00C03694">
        <w:rPr>
          <w:rFonts w:cs="Arial"/>
        </w:rPr>
        <w:t>disability</w:t>
      </w:r>
      <w:r w:rsidR="00570AFA">
        <w:rPr>
          <w:rFonts w:cs="Arial"/>
        </w:rPr>
        <w:t>,</w:t>
      </w:r>
      <w:r w:rsidR="00570AFA" w:rsidRPr="00B85440">
        <w:rPr>
          <w:rFonts w:cs="Arial"/>
        </w:rPr>
        <w:t xml:space="preserve"> and that systematic approaches to identif</w:t>
      </w:r>
      <w:r w:rsidR="00C9393F">
        <w:rPr>
          <w:rFonts w:cs="Arial"/>
        </w:rPr>
        <w:t xml:space="preserve">y disability </w:t>
      </w:r>
      <w:r w:rsidR="00570AFA">
        <w:rPr>
          <w:rFonts w:cs="Arial"/>
        </w:rPr>
        <w:t>do not exist. The failure to identify disability results</w:t>
      </w:r>
      <w:r w:rsidR="00570AFA" w:rsidRPr="00B85440">
        <w:rPr>
          <w:rFonts w:cs="Arial"/>
        </w:rPr>
        <w:t xml:space="preserve"> in supports </w:t>
      </w:r>
      <w:r w:rsidR="00570AFA">
        <w:rPr>
          <w:rFonts w:cs="Arial"/>
        </w:rPr>
        <w:t xml:space="preserve">and services not being provided, </w:t>
      </w:r>
      <w:r w:rsidR="00570AFA" w:rsidRPr="00B85440">
        <w:rPr>
          <w:rFonts w:cs="Arial"/>
        </w:rPr>
        <w:t xml:space="preserve">and no </w:t>
      </w:r>
      <w:r w:rsidR="00976B6A">
        <w:rPr>
          <w:rFonts w:cs="Arial"/>
        </w:rPr>
        <w:t>adjustments</w:t>
      </w:r>
      <w:r w:rsidR="00570AFA" w:rsidRPr="00B85440">
        <w:rPr>
          <w:rFonts w:cs="Arial"/>
        </w:rPr>
        <w:t xml:space="preserve"> being</w:t>
      </w:r>
      <w:r w:rsidR="00570AFA">
        <w:rPr>
          <w:rFonts w:cs="Arial"/>
        </w:rPr>
        <w:t xml:space="preserve"> made.</w:t>
      </w:r>
      <w:r w:rsidR="00570AFA">
        <w:rPr>
          <w:rStyle w:val="EndnoteReference"/>
          <w:rFonts w:cs="Arial"/>
        </w:rPr>
        <w:endnoteReference w:id="76"/>
      </w:r>
      <w:r w:rsidR="00570AFA" w:rsidRPr="00C92A94">
        <w:rPr>
          <w:rFonts w:cs="Arial"/>
          <w:sz w:val="13"/>
          <w:szCs w:val="13"/>
        </w:rPr>
        <w:t xml:space="preserve"> </w:t>
      </w:r>
    </w:p>
    <w:p w14:paraId="6C19D8CE" w14:textId="01ED4A8D" w:rsidR="00525E3C" w:rsidRPr="0025062E" w:rsidRDefault="0025062E" w:rsidP="0025062E">
      <w:pPr>
        <w:pStyle w:val="SubmissionNormal"/>
        <w:tabs>
          <w:tab w:val="clear" w:pos="720"/>
          <w:tab w:val="num" w:pos="567"/>
        </w:tabs>
        <w:ind w:left="567" w:hanging="567"/>
      </w:pPr>
      <w:r w:rsidRPr="0025062E">
        <w:t xml:space="preserve">In 2011 the Council of Australian Governments (COAG) agreed to the </w:t>
      </w:r>
      <w:r w:rsidRPr="0025062E">
        <w:rPr>
          <w:i/>
        </w:rPr>
        <w:t xml:space="preserve">National Disability Strategy 2010-2020 </w:t>
      </w:r>
      <w:r w:rsidRPr="0025062E">
        <w:t>(the Strategy).</w:t>
      </w:r>
      <w:r w:rsidRPr="0025062E">
        <w:rPr>
          <w:rStyle w:val="EndnoteReference"/>
          <w:rFonts w:cs="HelveticaNeueLTStd-Lt"/>
          <w:szCs w:val="22"/>
        </w:rPr>
        <w:endnoteReference w:id="77"/>
      </w:r>
      <w:r w:rsidRPr="0025062E">
        <w:t xml:space="preserve"> The Strategy </w:t>
      </w:r>
      <w:r w:rsidR="0087302E">
        <w:t xml:space="preserve">includes </w:t>
      </w:r>
      <w:r w:rsidR="00237552" w:rsidRPr="0025062E">
        <w:t xml:space="preserve">a policy direction that </w:t>
      </w:r>
      <w:r w:rsidR="00D5673E" w:rsidRPr="0025062E">
        <w:t xml:space="preserve">‘people with disability have access to justice’ </w:t>
      </w:r>
      <w:r w:rsidR="009423B4" w:rsidRPr="0025062E">
        <w:t xml:space="preserve">and agreement on </w:t>
      </w:r>
      <w:r w:rsidR="009423B4" w:rsidRPr="0025062E">
        <w:rPr>
          <w:rFonts w:cs="Arial"/>
        </w:rPr>
        <w:t>future</w:t>
      </w:r>
      <w:r w:rsidR="009423B4" w:rsidRPr="0025062E">
        <w:t xml:space="preserve"> action to ‘</w:t>
      </w:r>
      <w:r w:rsidR="009423B4" w:rsidRPr="0025062E">
        <w:rPr>
          <w:rFonts w:ascii="HelveticaNeueLTStd-Lt" w:hAnsi="HelveticaNeueLTStd-Lt" w:cs="HelveticaNeueLTStd-Lt"/>
          <w:color w:val="000000"/>
        </w:rPr>
        <w:t xml:space="preserve">[p]rovide greater support for people with disability with </w:t>
      </w:r>
      <w:r w:rsidR="009423B4" w:rsidRPr="0025062E">
        <w:rPr>
          <w:rFonts w:ascii="HelveticaNeueLTStd-Lt" w:hAnsi="HelveticaNeueLTStd-Lt" w:cs="HelveticaNeueLTStd-Lt"/>
          <w:color w:val="000000"/>
        </w:rPr>
        <w:lastRenderedPageBreak/>
        <w:t>heightened vulnerabilities to participate in legal processes on an equal basis with others</w:t>
      </w:r>
      <w:r w:rsidR="00AA34AC">
        <w:rPr>
          <w:rFonts w:ascii="HelveticaNeueLTStd-Lt" w:hAnsi="HelveticaNeueLTStd-Lt" w:cs="HelveticaNeueLTStd-Lt"/>
          <w:color w:val="000000"/>
        </w:rPr>
        <w:t>’.</w:t>
      </w:r>
      <w:r w:rsidR="00525E3C" w:rsidRPr="0025062E">
        <w:rPr>
          <w:rStyle w:val="EndnoteReference"/>
          <w:rFonts w:cs="HelveticaNeueLTStd-Lt"/>
          <w:color w:val="000000"/>
        </w:rPr>
        <w:endnoteReference w:id="78"/>
      </w:r>
      <w:r w:rsidR="00525E3C" w:rsidRPr="0025062E">
        <w:rPr>
          <w:rFonts w:ascii="HelveticaNeueLTStd-Lt" w:hAnsi="HelveticaNeueLTStd-Lt" w:cs="HelveticaNeueLTStd-Lt"/>
          <w:color w:val="000000"/>
        </w:rPr>
        <w:t xml:space="preserve"> In </w:t>
      </w:r>
      <w:r w:rsidR="003D7E3A">
        <w:t>the Strategy</w:t>
      </w:r>
      <w:r w:rsidR="00525E3C" w:rsidRPr="0025062E">
        <w:t xml:space="preserve"> COAG acknowledges that: </w:t>
      </w:r>
    </w:p>
    <w:p w14:paraId="42AEABA8" w14:textId="43ED2619" w:rsidR="0065636B" w:rsidRPr="00D44588" w:rsidRDefault="00525E3C" w:rsidP="00D44588">
      <w:pPr>
        <w:autoSpaceDE w:val="0"/>
        <w:autoSpaceDN w:val="0"/>
        <w:adjustRightInd w:val="0"/>
        <w:spacing w:before="0" w:after="120"/>
        <w:ind w:left="1134"/>
        <w:rPr>
          <w:rFonts w:eastAsia="Times New Roman" w:cs="Arial"/>
          <w:sz w:val="22"/>
          <w:szCs w:val="22"/>
        </w:rPr>
      </w:pPr>
      <w:r w:rsidRPr="0025062E">
        <w:rPr>
          <w:rFonts w:eastAsia="Times New Roman" w:cs="Arial"/>
          <w:sz w:val="22"/>
          <w:szCs w:val="22"/>
        </w:rPr>
        <w:t>Effective</w:t>
      </w:r>
      <w:r w:rsidRPr="00EE4015">
        <w:rPr>
          <w:rFonts w:eastAsia="Times New Roman" w:cs="Arial"/>
          <w:sz w:val="22"/>
          <w:szCs w:val="22"/>
        </w:rPr>
        <w:t xml:space="preserve"> access to justice for people with disability on an equal basis with others requires appropriate strategies, including aids and equipment, to facilitate their effective participation in all legal proceedings. Greater awareness is needed by the judiciary, legal professionals and court staff of disability issues.</w:t>
      </w:r>
      <w:r>
        <w:rPr>
          <w:rStyle w:val="EndnoteReference"/>
          <w:rFonts w:eastAsia="Times New Roman" w:cs="Arial"/>
          <w:szCs w:val="22"/>
        </w:rPr>
        <w:endnoteReference w:id="79"/>
      </w:r>
    </w:p>
    <w:p w14:paraId="7025305E" w14:textId="5499CAF8" w:rsidR="00DD7E3B" w:rsidRPr="001C383F" w:rsidRDefault="00525E3C" w:rsidP="001C383F">
      <w:pPr>
        <w:pStyle w:val="SubmissionNormal"/>
        <w:tabs>
          <w:tab w:val="clear" w:pos="720"/>
          <w:tab w:val="num" w:pos="567"/>
        </w:tabs>
        <w:ind w:left="567" w:hanging="567"/>
        <w:rPr>
          <w:rFonts w:eastAsia="SymbolMT"/>
        </w:rPr>
      </w:pPr>
      <w:r>
        <w:rPr>
          <w:rFonts w:cs="Arial"/>
        </w:rPr>
        <w:t xml:space="preserve">In 2014 the South Australian Government launched a Disability Justice Strategy </w:t>
      </w:r>
      <w:r w:rsidR="00B5109A">
        <w:rPr>
          <w:rFonts w:cs="Arial"/>
        </w:rPr>
        <w:t xml:space="preserve">which </w:t>
      </w:r>
      <w:r w:rsidR="00EB2D4E">
        <w:rPr>
          <w:rFonts w:cs="Arial"/>
        </w:rPr>
        <w:t xml:space="preserve">includes a number of priority actions </w:t>
      </w:r>
      <w:r w:rsidR="00971296">
        <w:rPr>
          <w:rFonts w:cs="Arial"/>
        </w:rPr>
        <w:t>to support people with disability to participate effectively in the criminal justice proc</w:t>
      </w:r>
      <w:r w:rsidR="00B008AA">
        <w:rPr>
          <w:rFonts w:cs="Arial"/>
        </w:rPr>
        <w:t>ess.</w:t>
      </w:r>
      <w:r w:rsidR="00B5109A" w:rsidRPr="00B5109A">
        <w:rPr>
          <w:rStyle w:val="EndnoteReference"/>
          <w:rFonts w:cs="Arial"/>
        </w:rPr>
        <w:t xml:space="preserve"> </w:t>
      </w:r>
      <w:r w:rsidR="00B5109A">
        <w:rPr>
          <w:rStyle w:val="EndnoteReference"/>
          <w:rFonts w:cs="Arial"/>
        </w:rPr>
        <w:endnoteReference w:id="80"/>
      </w:r>
      <w:r w:rsidR="00194FFE">
        <w:rPr>
          <w:rFonts w:cs="Arial"/>
        </w:rPr>
        <w:t xml:space="preserve"> </w:t>
      </w:r>
      <w:r w:rsidR="00C934F9">
        <w:rPr>
          <w:rFonts w:cs="Arial"/>
        </w:rPr>
        <w:t xml:space="preserve">The actions included amendments to the </w:t>
      </w:r>
      <w:r w:rsidR="00C934F9" w:rsidRPr="00B008AA">
        <w:rPr>
          <w:rFonts w:eastAsia="SymbolMT"/>
          <w:i/>
        </w:rPr>
        <w:t>Evidence Act 1929</w:t>
      </w:r>
      <w:r w:rsidR="00C934F9">
        <w:rPr>
          <w:rFonts w:eastAsia="SymbolMT"/>
        </w:rPr>
        <w:t xml:space="preserve"> (SA) to allow for flexibility and support for people with </w:t>
      </w:r>
      <w:r w:rsidR="00C934F9" w:rsidRPr="00DD7E3B">
        <w:rPr>
          <w:rFonts w:cs="Arial"/>
        </w:rPr>
        <w:t>disability</w:t>
      </w:r>
      <w:r w:rsidR="00C934F9">
        <w:rPr>
          <w:rFonts w:eastAsia="SymbolMT"/>
        </w:rPr>
        <w:t xml:space="preserve"> giving evidence</w:t>
      </w:r>
      <w:r w:rsidR="002175F7">
        <w:rPr>
          <w:rFonts w:eastAsia="SymbolMT"/>
        </w:rPr>
        <w:t xml:space="preserve">. </w:t>
      </w:r>
      <w:r w:rsidR="00D50AE1">
        <w:rPr>
          <w:rFonts w:eastAsia="SymbolMT"/>
        </w:rPr>
        <w:t>These amendments,</w:t>
      </w:r>
      <w:r w:rsidR="00714408">
        <w:rPr>
          <w:rFonts w:eastAsia="SymbolMT"/>
        </w:rPr>
        <w:t xml:space="preserve"> </w:t>
      </w:r>
      <w:r w:rsidR="001C383F">
        <w:rPr>
          <w:rFonts w:eastAsia="SymbolMT"/>
        </w:rPr>
        <w:t xml:space="preserve">which were implemented by </w:t>
      </w:r>
      <w:r w:rsidR="00AF7B4F" w:rsidRPr="001C383F">
        <w:rPr>
          <w:rFonts w:cs="Arial"/>
        </w:rPr>
        <w:t xml:space="preserve">the </w:t>
      </w:r>
      <w:r w:rsidR="00194FFE" w:rsidRPr="001C383F">
        <w:rPr>
          <w:rFonts w:cs="Arial"/>
          <w:i/>
        </w:rPr>
        <w:t>Statutes Amendment (Vulnerable Witnesses) Act 2015</w:t>
      </w:r>
      <w:r w:rsidR="00C35C17" w:rsidRPr="001C383F">
        <w:rPr>
          <w:rFonts w:cs="Arial"/>
        </w:rPr>
        <w:t xml:space="preserve"> (SA)</w:t>
      </w:r>
      <w:r w:rsidR="00D50AE1">
        <w:rPr>
          <w:rFonts w:cs="Arial"/>
        </w:rPr>
        <w:t>,</w:t>
      </w:r>
      <w:r w:rsidR="00714408">
        <w:rPr>
          <w:rFonts w:cs="Arial"/>
        </w:rPr>
        <w:t xml:space="preserve"> </w:t>
      </w:r>
      <w:r w:rsidR="008C154B" w:rsidRPr="001C383F">
        <w:rPr>
          <w:rFonts w:eastAsia="SymbolMT"/>
        </w:rPr>
        <w:t>include</w:t>
      </w:r>
      <w:r w:rsidR="007D3BAC" w:rsidRPr="001C383F">
        <w:rPr>
          <w:rFonts w:eastAsia="SymbolMT"/>
        </w:rPr>
        <w:t xml:space="preserve"> </w:t>
      </w:r>
      <w:r w:rsidR="00EE075E" w:rsidRPr="001C383F">
        <w:rPr>
          <w:rFonts w:eastAsia="SymbolMT"/>
        </w:rPr>
        <w:t>a</w:t>
      </w:r>
      <w:r w:rsidR="00DD7E3B" w:rsidRPr="001C383F">
        <w:rPr>
          <w:lang w:val="en"/>
        </w:rPr>
        <w:t xml:space="preserve"> general entitlement for people with complex communication needs (including defendants) to have a communication assistant present for any contact with the criminal justice system</w:t>
      </w:r>
      <w:r w:rsidR="001537FA" w:rsidRPr="001C383F">
        <w:rPr>
          <w:lang w:val="en"/>
        </w:rPr>
        <w:t>.</w:t>
      </w:r>
    </w:p>
    <w:p w14:paraId="17B75718" w14:textId="2D646D45" w:rsidR="000E2004" w:rsidRPr="00751BD6" w:rsidRDefault="001537FA" w:rsidP="002D79C0">
      <w:pPr>
        <w:pStyle w:val="SubmissionNormal"/>
        <w:tabs>
          <w:tab w:val="clear" w:pos="720"/>
          <w:tab w:val="num" w:pos="567"/>
        </w:tabs>
        <w:ind w:left="567" w:hanging="567"/>
      </w:pPr>
      <w:r w:rsidRPr="00EE075E">
        <w:rPr>
          <w:lang w:val="en"/>
        </w:rPr>
        <w:t>The Commission welcomes the reforms in South Australia</w:t>
      </w:r>
      <w:r w:rsidR="00EE075E" w:rsidRPr="00EE075E">
        <w:rPr>
          <w:lang w:val="en"/>
        </w:rPr>
        <w:t xml:space="preserve"> which are important </w:t>
      </w:r>
      <w:r w:rsidR="00EE075E" w:rsidRPr="000E2004">
        <w:rPr>
          <w:lang w:val="en"/>
        </w:rPr>
        <w:t xml:space="preserve">steps in </w:t>
      </w:r>
      <w:r w:rsidR="00EE075E" w:rsidRPr="002D79C0">
        <w:rPr>
          <w:rFonts w:cs="Arial"/>
        </w:rPr>
        <w:t>adjusting</w:t>
      </w:r>
      <w:r w:rsidR="00EE075E" w:rsidRPr="000E2004">
        <w:rPr>
          <w:lang w:val="en"/>
        </w:rPr>
        <w:t xml:space="preserve"> criminal court </w:t>
      </w:r>
      <w:r w:rsidR="00EE075E" w:rsidRPr="000E2004">
        <w:rPr>
          <w:rFonts w:cs="Arial"/>
        </w:rPr>
        <w:t>processes</w:t>
      </w:r>
      <w:r w:rsidR="00EE075E" w:rsidRPr="000E2004">
        <w:rPr>
          <w:lang w:val="en"/>
        </w:rPr>
        <w:t xml:space="preserve"> to allow people with cognitive and/or psychiatric impairment to effectively participate. </w:t>
      </w:r>
      <w:r w:rsidR="000E2004" w:rsidRPr="000E2004">
        <w:rPr>
          <w:lang w:val="en"/>
        </w:rPr>
        <w:t xml:space="preserve">The introduction of a ‘communication assistant’ is similar to suggestions from other reform bodies for </w:t>
      </w:r>
      <w:r w:rsidR="000E2004" w:rsidRPr="000E2004">
        <w:t>a formal support person, ‘disability advocate’ or ‘intermediary’ scheme.</w:t>
      </w:r>
      <w:r w:rsidR="000E2004" w:rsidRPr="000E2004">
        <w:rPr>
          <w:rStyle w:val="EndnoteReference"/>
        </w:rPr>
        <w:endnoteReference w:id="81"/>
      </w:r>
      <w:r w:rsidR="000E2004" w:rsidRPr="000E2004">
        <w:t xml:space="preserve"> In the case of Aboriginal and Torres Strait Islander people with </w:t>
      </w:r>
      <w:r w:rsidR="000E2004" w:rsidRPr="000E2004">
        <w:rPr>
          <w:rFonts w:cs="Arial"/>
        </w:rPr>
        <w:t>cognitive impairment, the ADJC has recommended that ‘</w:t>
      </w:r>
      <w:r w:rsidR="000E2004" w:rsidRPr="000E2004">
        <w:rPr>
          <w:rFonts w:cs="Arial"/>
          <w:color w:val="000000"/>
        </w:rPr>
        <w:t>skilled interpreting services for Indigenous people with cognitive impairment who are subject to the criminal justice system and who do not have English as their first language must be provided</w:t>
      </w:r>
      <w:r w:rsidR="0095608B">
        <w:rPr>
          <w:rFonts w:cs="Arial"/>
          <w:color w:val="000000"/>
        </w:rPr>
        <w:t>’</w:t>
      </w:r>
      <w:r w:rsidR="000E2004" w:rsidRPr="000E2004">
        <w:rPr>
          <w:rFonts w:cs="Arial"/>
          <w:color w:val="000000"/>
        </w:rPr>
        <w:t>.</w:t>
      </w:r>
      <w:r w:rsidR="000E2004" w:rsidRPr="000E2004">
        <w:rPr>
          <w:rStyle w:val="EndnoteReference"/>
          <w:rFonts w:cs="Arial"/>
          <w:color w:val="000000"/>
          <w:sz w:val="24"/>
        </w:rPr>
        <w:endnoteReference w:id="82"/>
      </w:r>
    </w:p>
    <w:p w14:paraId="31EF9FB8" w14:textId="53A3F951" w:rsidR="006860F7" w:rsidRPr="00BF64DF" w:rsidRDefault="00590847" w:rsidP="002D79C0">
      <w:pPr>
        <w:pStyle w:val="SubmissionNormal"/>
        <w:numPr>
          <w:ilvl w:val="0"/>
          <w:numId w:val="0"/>
        </w:numPr>
        <w:ind w:left="567"/>
        <w:rPr>
          <w:rFonts w:cs="Arial"/>
          <w:b/>
        </w:rPr>
      </w:pPr>
      <w:r w:rsidRPr="00BF64DF">
        <w:rPr>
          <w:b/>
          <w:lang w:val="en"/>
        </w:rPr>
        <w:t xml:space="preserve">Recommendation </w:t>
      </w:r>
      <w:r w:rsidR="007D3AAA" w:rsidRPr="00BF64DF">
        <w:rPr>
          <w:b/>
          <w:lang w:val="en"/>
        </w:rPr>
        <w:t>2</w:t>
      </w:r>
      <w:r w:rsidRPr="00BF64DF">
        <w:rPr>
          <w:b/>
          <w:lang w:val="en"/>
        </w:rPr>
        <w:t xml:space="preserve">: </w:t>
      </w:r>
      <w:r w:rsidR="00BF5995" w:rsidRPr="00BF64DF">
        <w:rPr>
          <w:rFonts w:cs="Arial"/>
          <w:b/>
        </w:rPr>
        <w:t xml:space="preserve"> </w:t>
      </w:r>
      <w:r w:rsidR="00E66FBD" w:rsidRPr="00BF64DF">
        <w:rPr>
          <w:rFonts w:cs="Arial"/>
          <w:b/>
        </w:rPr>
        <w:t xml:space="preserve">The Commission recommends that all state and territory governments </w:t>
      </w:r>
      <w:r w:rsidR="007769D0">
        <w:rPr>
          <w:rFonts w:cs="Arial"/>
          <w:b/>
        </w:rPr>
        <w:t>implement</w:t>
      </w:r>
      <w:r w:rsidR="00275C05" w:rsidRPr="00BF64DF">
        <w:rPr>
          <w:rFonts w:cs="Arial"/>
          <w:b/>
        </w:rPr>
        <w:t xml:space="preserve"> a Disability Justice Strategy</w:t>
      </w:r>
      <w:r w:rsidR="006860F7" w:rsidRPr="00BF64DF">
        <w:rPr>
          <w:rStyle w:val="EndnoteReference"/>
          <w:rFonts w:cs="Arial"/>
          <w:b/>
        </w:rPr>
        <w:endnoteReference w:id="83"/>
      </w:r>
      <w:r w:rsidR="006860F7" w:rsidRPr="00BF64DF">
        <w:rPr>
          <w:rFonts w:cs="Arial"/>
          <w:b/>
        </w:rPr>
        <w:t xml:space="preserve"> which includes </w:t>
      </w:r>
      <w:r w:rsidR="009B5FCD" w:rsidRPr="00BF64DF">
        <w:rPr>
          <w:rFonts w:cs="Arial"/>
          <w:b/>
        </w:rPr>
        <w:t xml:space="preserve">making </w:t>
      </w:r>
      <w:r w:rsidR="0082538F">
        <w:rPr>
          <w:rFonts w:cs="Arial"/>
          <w:b/>
        </w:rPr>
        <w:t xml:space="preserve">reasonable </w:t>
      </w:r>
      <w:r w:rsidR="006860F7" w:rsidRPr="00BF64DF">
        <w:rPr>
          <w:rFonts w:cs="Arial"/>
          <w:b/>
        </w:rPr>
        <w:t>adjustments</w:t>
      </w:r>
      <w:r w:rsidR="0082538F">
        <w:rPr>
          <w:rFonts w:cs="Arial"/>
          <w:b/>
        </w:rPr>
        <w:t xml:space="preserve"> </w:t>
      </w:r>
      <w:r w:rsidR="006860F7" w:rsidRPr="00BF64DF">
        <w:rPr>
          <w:rFonts w:cs="Arial"/>
          <w:b/>
        </w:rPr>
        <w:t>to court procedure and provision of support to defendants with disability to ensure they can participate in legal processes.</w:t>
      </w:r>
      <w:r w:rsidR="0082538F">
        <w:rPr>
          <w:rStyle w:val="EndnoteReference"/>
          <w:rFonts w:cs="Arial"/>
          <w:b/>
        </w:rPr>
        <w:endnoteReference w:id="84"/>
      </w:r>
      <w:r w:rsidR="0082538F" w:rsidRPr="00BF64DF">
        <w:rPr>
          <w:rFonts w:cs="Arial"/>
          <w:b/>
        </w:rPr>
        <w:t xml:space="preserve"> </w:t>
      </w:r>
      <w:r w:rsidR="006860F7" w:rsidRPr="00BF64DF">
        <w:rPr>
          <w:rFonts w:cs="Arial"/>
          <w:b/>
        </w:rPr>
        <w:t xml:space="preserve"> </w:t>
      </w:r>
    </w:p>
    <w:p w14:paraId="0C98C5AB" w14:textId="41877A22" w:rsidR="006860F7" w:rsidRPr="00E367A8" w:rsidRDefault="006860F7" w:rsidP="002D79C0">
      <w:pPr>
        <w:pStyle w:val="SubmissionNormal"/>
        <w:numPr>
          <w:ilvl w:val="0"/>
          <w:numId w:val="0"/>
        </w:numPr>
        <w:ind w:left="567"/>
        <w:rPr>
          <w:rFonts w:cs="Arial"/>
          <w:b/>
        </w:rPr>
      </w:pPr>
      <w:r w:rsidRPr="00BF64DF">
        <w:rPr>
          <w:b/>
          <w:lang w:val="en"/>
        </w:rPr>
        <w:t xml:space="preserve">Recommendation 3: </w:t>
      </w:r>
      <w:r w:rsidR="00D43FA1" w:rsidRPr="00BF64DF">
        <w:rPr>
          <w:b/>
          <w:lang w:val="en"/>
        </w:rPr>
        <w:t>The Commission recommends that all governments consider amendments to</w:t>
      </w:r>
      <w:r w:rsidR="00D43FA1" w:rsidRPr="00E75D4C">
        <w:rPr>
          <w:b/>
          <w:lang w:val="en"/>
        </w:rPr>
        <w:t xml:space="preserve"> the evidence laws in each jurisdiction similar to those introduced by the </w:t>
      </w:r>
      <w:r w:rsidR="00D43FA1" w:rsidRPr="00E75D4C">
        <w:rPr>
          <w:rFonts w:cs="Arial"/>
          <w:b/>
          <w:i/>
        </w:rPr>
        <w:t xml:space="preserve">Statutes Amendment (Vulnerable Witnesses) Act 2015 </w:t>
      </w:r>
      <w:r w:rsidR="00D43FA1" w:rsidRPr="00E75D4C">
        <w:rPr>
          <w:rFonts w:cs="Arial"/>
          <w:b/>
        </w:rPr>
        <w:t>(SA).</w:t>
      </w:r>
    </w:p>
    <w:p w14:paraId="0349B7B1" w14:textId="731799F1" w:rsidR="00865181" w:rsidRPr="00865181" w:rsidRDefault="00294C81" w:rsidP="002D79C0">
      <w:pPr>
        <w:pStyle w:val="SubmissionNormal"/>
        <w:tabs>
          <w:tab w:val="clear" w:pos="720"/>
          <w:tab w:val="num" w:pos="567"/>
        </w:tabs>
        <w:ind w:left="567" w:hanging="567"/>
        <w:rPr>
          <w:rFonts w:cs="Arial"/>
        </w:rPr>
      </w:pPr>
      <w:r>
        <w:rPr>
          <w:rFonts w:cs="Arial"/>
        </w:rPr>
        <w:t>T</w:t>
      </w:r>
      <w:r w:rsidR="006860F7" w:rsidRPr="0022165D">
        <w:rPr>
          <w:rFonts w:cs="Arial"/>
        </w:rPr>
        <w:t>hose</w:t>
      </w:r>
      <w:r w:rsidR="006860F7" w:rsidRPr="001C24E2">
        <w:rPr>
          <w:rFonts w:cs="Arial"/>
        </w:rPr>
        <w:t xml:space="preserve"> responsible for administering criminal justice processes need to be trained t</w:t>
      </w:r>
      <w:r w:rsidR="009957CA">
        <w:rPr>
          <w:rFonts w:cs="Arial"/>
        </w:rPr>
        <w:t>o identify the need for and provide</w:t>
      </w:r>
      <w:r w:rsidR="006860F7" w:rsidRPr="001C24E2">
        <w:rPr>
          <w:rFonts w:cs="Arial"/>
        </w:rPr>
        <w:t xml:space="preserve"> appropriate supports and adjustments to enable people with cognitive and/or psychiatric impairment to participate in those processes.</w:t>
      </w:r>
      <w:r w:rsidR="006860F7">
        <w:rPr>
          <w:rStyle w:val="EndnoteReference"/>
          <w:rFonts w:cs="Arial"/>
        </w:rPr>
        <w:endnoteReference w:id="85"/>
      </w:r>
      <w:r w:rsidR="006860F7" w:rsidRPr="001C24E2">
        <w:rPr>
          <w:rFonts w:cs="Arial"/>
        </w:rPr>
        <w:t xml:space="preserve"> </w:t>
      </w:r>
      <w:r w:rsidR="001C24E2" w:rsidRPr="001C24E2">
        <w:rPr>
          <w:rFonts w:cs="Arial"/>
        </w:rPr>
        <w:t xml:space="preserve">The Disability Convention places a specific obligation on States Parties to promote </w:t>
      </w:r>
      <w:r w:rsidR="001C24E2" w:rsidRPr="001C24E2">
        <w:rPr>
          <w:rFonts w:cs="Arial"/>
          <w:color w:val="000000"/>
        </w:rPr>
        <w:t xml:space="preserve">appropriate training for those working in the field of </w:t>
      </w:r>
      <w:r w:rsidR="001C24E2" w:rsidRPr="000915B8">
        <w:rPr>
          <w:lang w:val="en"/>
        </w:rPr>
        <w:t>administration</w:t>
      </w:r>
      <w:r w:rsidR="001C24E2" w:rsidRPr="001C24E2">
        <w:rPr>
          <w:rFonts w:cs="Arial"/>
          <w:color w:val="000000"/>
        </w:rPr>
        <w:t xml:space="preserve"> of justice, </w:t>
      </w:r>
      <w:r w:rsidR="001C24E2" w:rsidRPr="002D79C0">
        <w:rPr>
          <w:lang w:val="en"/>
        </w:rPr>
        <w:t>in</w:t>
      </w:r>
      <w:r w:rsidR="001C24E2" w:rsidRPr="001C24E2">
        <w:rPr>
          <w:rFonts w:cs="Arial"/>
          <w:color w:val="000000"/>
        </w:rPr>
        <w:t xml:space="preserve"> order to help to ensure effecti</w:t>
      </w:r>
      <w:r w:rsidR="001442A6">
        <w:rPr>
          <w:rFonts w:cs="Arial"/>
          <w:color w:val="000000"/>
        </w:rPr>
        <w:t>ve access to justice for people with disability</w:t>
      </w:r>
      <w:r w:rsidR="001C24E2" w:rsidRPr="001C24E2">
        <w:rPr>
          <w:rFonts w:cs="Arial"/>
          <w:color w:val="000000"/>
        </w:rPr>
        <w:t>.</w:t>
      </w:r>
      <w:r w:rsidR="001C24E2">
        <w:rPr>
          <w:rStyle w:val="EndnoteReference"/>
          <w:rFonts w:cs="Arial"/>
          <w:color w:val="000000"/>
        </w:rPr>
        <w:endnoteReference w:id="86"/>
      </w:r>
      <w:r w:rsidR="001C24E2" w:rsidRPr="001C24E2">
        <w:rPr>
          <w:rFonts w:cs="Arial"/>
          <w:color w:val="000000"/>
        </w:rPr>
        <w:t xml:space="preserve"> </w:t>
      </w:r>
    </w:p>
    <w:p w14:paraId="51DF4694" w14:textId="0C0E0F92" w:rsidR="001C24E2" w:rsidRPr="001C24E2" w:rsidRDefault="001C24E2" w:rsidP="002D79C0">
      <w:pPr>
        <w:pStyle w:val="SubmissionNormal"/>
        <w:tabs>
          <w:tab w:val="clear" w:pos="720"/>
          <w:tab w:val="num" w:pos="567"/>
        </w:tabs>
        <w:ind w:left="567" w:hanging="567"/>
        <w:rPr>
          <w:rFonts w:cs="Arial"/>
        </w:rPr>
      </w:pPr>
      <w:r w:rsidRPr="001C24E2">
        <w:rPr>
          <w:rFonts w:cs="Arial"/>
          <w:color w:val="000000"/>
        </w:rPr>
        <w:t xml:space="preserve">In its report on Australia in 2013 the </w:t>
      </w:r>
      <w:r w:rsidRPr="001C24E2">
        <w:rPr>
          <w:rFonts w:cs="Arial"/>
        </w:rPr>
        <w:t xml:space="preserve">UN </w:t>
      </w:r>
      <w:r w:rsidR="001442A6">
        <w:rPr>
          <w:rFonts w:cs="Arial"/>
          <w:lang w:val="en"/>
        </w:rPr>
        <w:t>Disabili</w:t>
      </w:r>
      <w:r w:rsidR="00287C0B">
        <w:rPr>
          <w:rFonts w:cs="Arial"/>
          <w:lang w:val="en"/>
        </w:rPr>
        <w:t>ty Committee</w:t>
      </w:r>
      <w:r w:rsidR="001442A6">
        <w:rPr>
          <w:rFonts w:cs="Arial"/>
          <w:lang w:val="en"/>
        </w:rPr>
        <w:t xml:space="preserve"> </w:t>
      </w:r>
      <w:r w:rsidRPr="001C24E2">
        <w:rPr>
          <w:rFonts w:cs="Arial"/>
          <w:lang w:val="en"/>
        </w:rPr>
        <w:t xml:space="preserve">recommended that </w:t>
      </w:r>
      <w:r>
        <w:t>‘</w:t>
      </w:r>
      <w:r w:rsidRPr="00F65331">
        <w:t>standard and compulsory modules on working with persons with disabilities be incorporated into training programmes for police officers, prison staff, lawyers, the judiciary and court personnel.’</w:t>
      </w:r>
      <w:r w:rsidRPr="00F65331">
        <w:rPr>
          <w:rStyle w:val="EndnoteReference"/>
        </w:rPr>
        <w:endnoteReference w:id="87"/>
      </w:r>
      <w:r w:rsidRPr="001C24E2">
        <w:rPr>
          <w:b/>
        </w:rPr>
        <w:t xml:space="preserve"> </w:t>
      </w:r>
    </w:p>
    <w:p w14:paraId="3D367C97" w14:textId="1FFDFB1D" w:rsidR="006501B5" w:rsidRDefault="001C24E2" w:rsidP="00865181">
      <w:pPr>
        <w:pStyle w:val="SubmissionNormal"/>
        <w:tabs>
          <w:tab w:val="clear" w:pos="720"/>
          <w:tab w:val="num" w:pos="567"/>
        </w:tabs>
        <w:ind w:left="567" w:hanging="567"/>
        <w:rPr>
          <w:rFonts w:cs="Arial"/>
        </w:rPr>
      </w:pPr>
      <w:r w:rsidRPr="00204609">
        <w:lastRenderedPageBreak/>
        <w:t xml:space="preserve">There is </w:t>
      </w:r>
      <w:r>
        <w:t xml:space="preserve">currently </w:t>
      </w:r>
      <w:r w:rsidRPr="00204609">
        <w:t>guidance</w:t>
      </w:r>
      <w:r>
        <w:t xml:space="preserve"> available to som</w:t>
      </w:r>
      <w:r w:rsidR="00926A63">
        <w:t>e judges on</w:t>
      </w:r>
      <w:r>
        <w:t xml:space="preserve"> considering and making adjustments </w:t>
      </w:r>
      <w:r w:rsidRPr="00204609">
        <w:rPr>
          <w:rFonts w:cs="Arial"/>
        </w:rPr>
        <w:t xml:space="preserve">to enable people with cognitive and/or psychiatric </w:t>
      </w:r>
      <w:r w:rsidRPr="00865181">
        <w:rPr>
          <w:rFonts w:cs="Arial"/>
          <w:color w:val="000000"/>
        </w:rPr>
        <w:t>impairment</w:t>
      </w:r>
      <w:r>
        <w:rPr>
          <w:rFonts w:cs="Arial"/>
        </w:rPr>
        <w:t xml:space="preserve"> to participate in court proceedings. For example, the Judicial Commission of N</w:t>
      </w:r>
      <w:r w:rsidR="00AA34AC">
        <w:rPr>
          <w:rFonts w:cs="Arial"/>
        </w:rPr>
        <w:t xml:space="preserve">ew </w:t>
      </w:r>
      <w:r>
        <w:rPr>
          <w:rFonts w:cs="Arial"/>
        </w:rPr>
        <w:t>S</w:t>
      </w:r>
      <w:r w:rsidR="00AA34AC">
        <w:rPr>
          <w:rFonts w:cs="Arial"/>
        </w:rPr>
        <w:t xml:space="preserve">outh </w:t>
      </w:r>
      <w:r>
        <w:rPr>
          <w:rFonts w:cs="Arial"/>
        </w:rPr>
        <w:t>W</w:t>
      </w:r>
      <w:r w:rsidR="00AA34AC">
        <w:rPr>
          <w:rFonts w:cs="Arial"/>
        </w:rPr>
        <w:t>ales</w:t>
      </w:r>
      <w:r>
        <w:rPr>
          <w:rFonts w:cs="Arial"/>
        </w:rPr>
        <w:t xml:space="preserve"> has produced the </w:t>
      </w:r>
      <w:r w:rsidRPr="00204609">
        <w:rPr>
          <w:rFonts w:cs="Arial"/>
          <w:i/>
        </w:rPr>
        <w:t>Equality before the Law Bench Book</w:t>
      </w:r>
      <w:r>
        <w:rPr>
          <w:rFonts w:cs="Arial"/>
        </w:rPr>
        <w:t xml:space="preserve"> which </w:t>
      </w:r>
      <w:r w:rsidR="00B253F2">
        <w:rPr>
          <w:rFonts w:cs="Arial"/>
        </w:rPr>
        <w:t>assists judges to identify and understand</w:t>
      </w:r>
      <w:r>
        <w:rPr>
          <w:rFonts w:cs="Arial"/>
        </w:rPr>
        <w:t xml:space="preserve"> disability and the types of adjustments that can be made to assist people with disability to participate.</w:t>
      </w:r>
      <w:r>
        <w:rPr>
          <w:rStyle w:val="EndnoteReference"/>
          <w:rFonts w:cs="Arial"/>
        </w:rPr>
        <w:endnoteReference w:id="88"/>
      </w:r>
    </w:p>
    <w:p w14:paraId="4CC3F815" w14:textId="29DCB133" w:rsidR="00F67521" w:rsidRDefault="00F67521" w:rsidP="00016C2A">
      <w:pPr>
        <w:pStyle w:val="SubmissionNormal"/>
        <w:numPr>
          <w:ilvl w:val="0"/>
          <w:numId w:val="0"/>
        </w:numPr>
        <w:spacing w:before="0" w:after="120"/>
        <w:ind w:left="567"/>
        <w:rPr>
          <w:rFonts w:cs="Arial"/>
          <w:b/>
        </w:rPr>
      </w:pPr>
      <w:r w:rsidRPr="00F67521">
        <w:rPr>
          <w:rFonts w:cs="Arial"/>
          <w:b/>
        </w:rPr>
        <w:t xml:space="preserve">Recommendation </w:t>
      </w:r>
      <w:r w:rsidR="007C2764" w:rsidRPr="007A532A">
        <w:rPr>
          <w:rFonts w:cs="Arial"/>
          <w:b/>
        </w:rPr>
        <w:t>4</w:t>
      </w:r>
      <w:r w:rsidRPr="00F67521">
        <w:rPr>
          <w:rFonts w:cs="Arial"/>
          <w:b/>
        </w:rPr>
        <w:t xml:space="preserve">: The Commission recommends that </w:t>
      </w:r>
      <w:r w:rsidR="0068261A">
        <w:rPr>
          <w:rFonts w:cs="Arial"/>
          <w:b/>
        </w:rPr>
        <w:t>each</w:t>
      </w:r>
      <w:r w:rsidR="007C2764">
        <w:rPr>
          <w:rFonts w:cs="Arial"/>
          <w:b/>
        </w:rPr>
        <w:t xml:space="preserve"> state and territory government</w:t>
      </w:r>
      <w:r w:rsidR="0068261A">
        <w:rPr>
          <w:rFonts w:cs="Arial"/>
          <w:b/>
        </w:rPr>
        <w:t>:</w:t>
      </w:r>
    </w:p>
    <w:p w14:paraId="06885616" w14:textId="4D5E50D0" w:rsidR="0068261A" w:rsidRDefault="00BF6B27" w:rsidP="00016C2A">
      <w:pPr>
        <w:pStyle w:val="SubmissionNormal"/>
        <w:numPr>
          <w:ilvl w:val="0"/>
          <w:numId w:val="28"/>
        </w:numPr>
        <w:spacing w:before="0" w:after="120"/>
        <w:ind w:left="993" w:hanging="426"/>
        <w:rPr>
          <w:rFonts w:cs="Arial"/>
          <w:b/>
        </w:rPr>
      </w:pPr>
      <w:r>
        <w:rPr>
          <w:rFonts w:cs="Arial"/>
          <w:b/>
        </w:rPr>
        <w:t>Develop a culturally appropriate</w:t>
      </w:r>
      <w:r w:rsidR="0068261A">
        <w:rPr>
          <w:rFonts w:cs="Arial"/>
          <w:b/>
        </w:rPr>
        <w:t xml:space="preserve"> assessment protocol that assists those administering the justice system to identify people with disability and ensure appropriate support and </w:t>
      </w:r>
      <w:r w:rsidR="00620465">
        <w:rPr>
          <w:rFonts w:cs="Arial"/>
          <w:b/>
        </w:rPr>
        <w:t>adjustments</w:t>
      </w:r>
      <w:r w:rsidR="0059783C">
        <w:rPr>
          <w:rFonts w:cs="Arial"/>
          <w:b/>
        </w:rPr>
        <w:t xml:space="preserve"> are provided.</w:t>
      </w:r>
    </w:p>
    <w:p w14:paraId="39FB0C9E" w14:textId="1E223E36" w:rsidR="002E29B8" w:rsidRPr="002E29B8" w:rsidRDefault="002E29B8" w:rsidP="00016C2A">
      <w:pPr>
        <w:pStyle w:val="SubmissionNormal"/>
        <w:numPr>
          <w:ilvl w:val="0"/>
          <w:numId w:val="28"/>
        </w:numPr>
        <w:spacing w:before="0" w:after="120"/>
        <w:ind w:left="993" w:hanging="426"/>
        <w:rPr>
          <w:rFonts w:cs="Arial"/>
          <w:b/>
        </w:rPr>
      </w:pPr>
      <w:r>
        <w:rPr>
          <w:rFonts w:cs="Arial"/>
          <w:b/>
        </w:rPr>
        <w:t xml:space="preserve">Develop and deliver training to those administering the justice system on how to identify and support people with disability to ensure they have effective access to justice.  </w:t>
      </w:r>
    </w:p>
    <w:p w14:paraId="77471705" w14:textId="018B2FD5" w:rsidR="00570AFA" w:rsidRDefault="00570AFA" w:rsidP="004670D6">
      <w:pPr>
        <w:pStyle w:val="Heading2"/>
      </w:pPr>
      <w:bookmarkStart w:id="89" w:name="_Toc447200191"/>
      <w:r>
        <w:t>Tests for unfitness to stand trial</w:t>
      </w:r>
      <w:bookmarkEnd w:id="89"/>
      <w:r>
        <w:t xml:space="preserve"> </w:t>
      </w:r>
    </w:p>
    <w:p w14:paraId="5F39F5F5" w14:textId="098093D9" w:rsidR="00570AFA" w:rsidRPr="00162B88" w:rsidRDefault="00570AFA" w:rsidP="00D75703">
      <w:pPr>
        <w:pStyle w:val="SubmissionNormal"/>
        <w:tabs>
          <w:tab w:val="clear" w:pos="720"/>
          <w:tab w:val="num" w:pos="567"/>
        </w:tabs>
        <w:ind w:left="567" w:hanging="567"/>
        <w:rPr>
          <w:rFonts w:cs="Arial"/>
        </w:rPr>
      </w:pPr>
      <w:r>
        <w:rPr>
          <w:rFonts w:cs="Arial"/>
        </w:rPr>
        <w:t xml:space="preserve">In every jurisdiction in Australia there is a requirement that a person must be </w:t>
      </w:r>
      <w:r w:rsidR="00D16172">
        <w:rPr>
          <w:rFonts w:cs="Arial"/>
        </w:rPr>
        <w:t>‘</w:t>
      </w:r>
      <w:r>
        <w:rPr>
          <w:rFonts w:cs="Arial"/>
        </w:rPr>
        <w:t>fit to stand trial</w:t>
      </w:r>
      <w:r w:rsidR="00D16172">
        <w:rPr>
          <w:rFonts w:cs="Arial"/>
        </w:rPr>
        <w:t>’</w:t>
      </w:r>
      <w:r>
        <w:rPr>
          <w:rFonts w:cs="Arial"/>
        </w:rPr>
        <w:t xml:space="preserve"> in order to have the charge against th</w:t>
      </w:r>
      <w:r w:rsidR="00D16172">
        <w:rPr>
          <w:rFonts w:cs="Arial"/>
        </w:rPr>
        <w:t xml:space="preserve">em determined through the </w:t>
      </w:r>
      <w:r w:rsidR="00D67141">
        <w:rPr>
          <w:rFonts w:cs="Arial"/>
        </w:rPr>
        <w:t xml:space="preserve">usual </w:t>
      </w:r>
      <w:r>
        <w:rPr>
          <w:rFonts w:cs="Arial"/>
        </w:rPr>
        <w:t>criminal process.</w:t>
      </w:r>
      <w:r w:rsidR="004C2FFD">
        <w:rPr>
          <w:rStyle w:val="EndnoteReference"/>
          <w:rFonts w:cs="Arial"/>
        </w:rPr>
        <w:endnoteReference w:id="89"/>
      </w:r>
      <w:r w:rsidR="004C2FFD">
        <w:rPr>
          <w:rFonts w:cs="Arial"/>
        </w:rPr>
        <w:t xml:space="preserve"> </w:t>
      </w:r>
      <w:r>
        <w:t>This fundamental principle of the criminal justice system in Australia is based on the common law right to a fair trial.</w:t>
      </w:r>
      <w:r>
        <w:rPr>
          <w:rStyle w:val="EndnoteReference"/>
        </w:rPr>
        <w:endnoteReference w:id="90"/>
      </w:r>
    </w:p>
    <w:p w14:paraId="45E00E16" w14:textId="7A5B2129" w:rsidR="00570AFA" w:rsidRPr="007D0209" w:rsidRDefault="00570AFA" w:rsidP="00D75703">
      <w:pPr>
        <w:pStyle w:val="SubmissionNormal"/>
        <w:tabs>
          <w:tab w:val="clear" w:pos="720"/>
          <w:tab w:val="num" w:pos="567"/>
        </w:tabs>
        <w:ind w:left="567" w:hanging="567"/>
        <w:rPr>
          <w:rFonts w:cs="Arial"/>
        </w:rPr>
      </w:pPr>
      <w:r>
        <w:rPr>
          <w:rFonts w:cs="Arial"/>
        </w:rPr>
        <w:t xml:space="preserve">The purpose of the unfitness test is to determine whether the person is and will be able to sufficiently participate in trial proceedings so that their trial would be ‘fair’. </w:t>
      </w:r>
      <w:r w:rsidR="00D853EF">
        <w:rPr>
          <w:rFonts w:cs="Arial"/>
        </w:rPr>
        <w:t xml:space="preserve">The test </w:t>
      </w:r>
      <w:r w:rsidR="00B03E3C">
        <w:rPr>
          <w:rFonts w:cs="Arial"/>
        </w:rPr>
        <w:t xml:space="preserve">generally </w:t>
      </w:r>
      <w:r w:rsidR="00E21963">
        <w:rPr>
          <w:rFonts w:cs="Arial"/>
        </w:rPr>
        <w:t>requires</w:t>
      </w:r>
      <w:r w:rsidR="00B03E3C">
        <w:rPr>
          <w:rFonts w:cs="Arial"/>
        </w:rPr>
        <w:t xml:space="preserve"> the defendant to be able to understand key aspects of the trial process, and communicate responses to his or her lawyer and the court.</w:t>
      </w:r>
      <w:r w:rsidR="00B03E3C">
        <w:rPr>
          <w:rStyle w:val="EndnoteReference"/>
          <w:rFonts w:cs="Arial"/>
        </w:rPr>
        <w:endnoteReference w:id="91"/>
      </w:r>
      <w:r w:rsidR="00804BB5">
        <w:rPr>
          <w:rFonts w:cs="Arial"/>
        </w:rPr>
        <w:t xml:space="preserve"> If the person is found to lack the ab</w:t>
      </w:r>
      <w:r w:rsidR="00D24D39">
        <w:rPr>
          <w:rFonts w:cs="Arial"/>
        </w:rPr>
        <w:t>ility to do any aspect of this, they are considered</w:t>
      </w:r>
      <w:r w:rsidR="00521B5E">
        <w:rPr>
          <w:rFonts w:cs="Arial"/>
        </w:rPr>
        <w:t xml:space="preserve"> unfit to stand trial.</w:t>
      </w:r>
    </w:p>
    <w:p w14:paraId="13344263" w14:textId="02582D67" w:rsidR="00570AFA" w:rsidRPr="00DC6A47" w:rsidRDefault="00D853EF" w:rsidP="008A1887">
      <w:pPr>
        <w:pStyle w:val="SubmissionNormal"/>
        <w:tabs>
          <w:tab w:val="clear" w:pos="720"/>
          <w:tab w:val="num" w:pos="567"/>
        </w:tabs>
        <w:ind w:left="567" w:hanging="567"/>
        <w:rPr>
          <w:rFonts w:cs="Arial"/>
        </w:rPr>
      </w:pPr>
      <w:r>
        <w:rPr>
          <w:rFonts w:cs="Arial"/>
        </w:rPr>
        <w:t>The</w:t>
      </w:r>
      <w:r w:rsidR="005922FD">
        <w:rPr>
          <w:rFonts w:cs="Arial"/>
        </w:rPr>
        <w:t xml:space="preserve"> unfitness test acts as a </w:t>
      </w:r>
      <w:r w:rsidR="00570AFA">
        <w:rPr>
          <w:rFonts w:cs="Arial"/>
        </w:rPr>
        <w:t>threshold for whether a person charged with a crime will be provided ac</w:t>
      </w:r>
      <w:r w:rsidR="00521B5E">
        <w:rPr>
          <w:rFonts w:cs="Arial"/>
        </w:rPr>
        <w:t>cess to justice through the usual</w:t>
      </w:r>
      <w:r w:rsidR="00570AFA">
        <w:rPr>
          <w:rFonts w:cs="Arial"/>
        </w:rPr>
        <w:t xml:space="preserve"> criminal trial procedure. The UN </w:t>
      </w:r>
      <w:r w:rsidR="007B214A">
        <w:rPr>
          <w:rFonts w:cs="Arial"/>
        </w:rPr>
        <w:t>Disability Committee</w:t>
      </w:r>
      <w:r w:rsidR="00570AFA">
        <w:rPr>
          <w:rFonts w:cs="Arial"/>
        </w:rPr>
        <w:t xml:space="preserve"> has been critical of courts making declarations of unfitness, particularly </w:t>
      </w:r>
      <w:r w:rsidR="00570AFA" w:rsidRPr="001E7F81">
        <w:rPr>
          <w:rFonts w:cs="Arial"/>
        </w:rPr>
        <w:t xml:space="preserve">where the result </w:t>
      </w:r>
      <w:r w:rsidR="00570AFA">
        <w:rPr>
          <w:rFonts w:cs="Arial"/>
        </w:rPr>
        <w:t>may be indefi</w:t>
      </w:r>
      <w:r w:rsidR="00203A9C">
        <w:rPr>
          <w:rFonts w:cs="Arial"/>
        </w:rPr>
        <w:t xml:space="preserve">nite detention. </w:t>
      </w:r>
      <w:r w:rsidR="00CB0B1B">
        <w:rPr>
          <w:rFonts w:cs="Arial"/>
        </w:rPr>
        <w:t>S</w:t>
      </w:r>
      <w:r w:rsidR="00570AFA">
        <w:rPr>
          <w:rFonts w:cs="Arial"/>
        </w:rPr>
        <w:t xml:space="preserve">uch declarations </w:t>
      </w:r>
      <w:r w:rsidR="00570AFA" w:rsidRPr="001E7F81">
        <w:rPr>
          <w:rFonts w:cs="Arial"/>
        </w:rPr>
        <w:t>‘</w:t>
      </w:r>
      <w:r w:rsidR="00570AFA">
        <w:rPr>
          <w:rFonts w:cs="Arial"/>
          <w:color w:val="000000"/>
          <w:lang w:eastAsia="en-GB"/>
        </w:rPr>
        <w:t>depriv[e]</w:t>
      </w:r>
      <w:r w:rsidR="00570AFA" w:rsidRPr="001E7F81">
        <w:rPr>
          <w:rFonts w:cs="Arial"/>
          <w:color w:val="000000"/>
          <w:lang w:eastAsia="en-GB"/>
        </w:rPr>
        <w:t xml:space="preserve"> the person of his or her right to due process and safeguards that are applicable to every defendant’.</w:t>
      </w:r>
      <w:r w:rsidR="00570AFA" w:rsidRPr="001E7F81">
        <w:rPr>
          <w:rStyle w:val="EndnoteReference"/>
          <w:rFonts w:cs="Arial"/>
          <w:color w:val="000000"/>
          <w:sz w:val="24"/>
          <w:lang w:eastAsia="en-GB"/>
        </w:rPr>
        <w:endnoteReference w:id="92"/>
      </w:r>
    </w:p>
    <w:p w14:paraId="3B23D2FE" w14:textId="760B6BF9" w:rsidR="00570AFA" w:rsidRDefault="00E042CB" w:rsidP="008A1887">
      <w:pPr>
        <w:pStyle w:val="SubmissionNormal"/>
        <w:tabs>
          <w:tab w:val="clear" w:pos="720"/>
          <w:tab w:val="num" w:pos="567"/>
        </w:tabs>
        <w:ind w:left="567" w:hanging="567"/>
        <w:rPr>
          <w:rFonts w:cs="Arial"/>
        </w:rPr>
      </w:pPr>
      <w:r>
        <w:rPr>
          <w:rFonts w:cs="Arial"/>
        </w:rPr>
        <w:t>T</w:t>
      </w:r>
      <w:r w:rsidR="00570AFA">
        <w:rPr>
          <w:rFonts w:cs="Arial"/>
        </w:rPr>
        <w:t>he obligation under article 12 of the Disability Convention to recognise that people with disability enjoy legal capacity on an equal basis with others requires States Parties not to conflate concepts of mental capacity with legal capacity</w:t>
      </w:r>
      <w:r w:rsidR="00C86688">
        <w:rPr>
          <w:rFonts w:cs="Arial"/>
        </w:rPr>
        <w:t>.</w:t>
      </w:r>
      <w:r w:rsidR="00C86688">
        <w:rPr>
          <w:rStyle w:val="EndnoteReference"/>
          <w:rFonts w:cs="Arial"/>
        </w:rPr>
        <w:endnoteReference w:id="93"/>
      </w:r>
      <w:r w:rsidR="00C86688">
        <w:rPr>
          <w:rFonts w:cs="Arial"/>
        </w:rPr>
        <w:t xml:space="preserve"> </w:t>
      </w:r>
      <w:r w:rsidR="00570AFA">
        <w:rPr>
          <w:rFonts w:cs="Arial"/>
        </w:rPr>
        <w:t xml:space="preserve"> </w:t>
      </w:r>
      <w:r w:rsidR="004653BB">
        <w:rPr>
          <w:rFonts w:cs="Arial"/>
        </w:rPr>
        <w:t xml:space="preserve">The </w:t>
      </w:r>
      <w:r>
        <w:rPr>
          <w:rFonts w:cs="Arial"/>
        </w:rPr>
        <w:t xml:space="preserve">UN Disability </w:t>
      </w:r>
      <w:r w:rsidR="004653BB">
        <w:rPr>
          <w:rFonts w:cs="Arial"/>
        </w:rPr>
        <w:t xml:space="preserve">Committee </w:t>
      </w:r>
      <w:r w:rsidR="00397E6E">
        <w:rPr>
          <w:rFonts w:cs="Arial"/>
        </w:rPr>
        <w:t xml:space="preserve">has </w:t>
      </w:r>
      <w:r w:rsidR="004653BB">
        <w:rPr>
          <w:rFonts w:cs="Arial"/>
        </w:rPr>
        <w:t xml:space="preserve">noted </w:t>
      </w:r>
      <w:r w:rsidR="00570AFA">
        <w:rPr>
          <w:rFonts w:cs="Arial"/>
        </w:rPr>
        <w:t>that</w:t>
      </w:r>
      <w:r w:rsidR="00397E6E">
        <w:rPr>
          <w:rFonts w:cs="Arial"/>
        </w:rPr>
        <w:t xml:space="preserve"> in many States</w:t>
      </w:r>
      <w:r w:rsidR="00570AFA">
        <w:rPr>
          <w:rFonts w:cs="Arial"/>
        </w:rPr>
        <w:t xml:space="preserve"> </w:t>
      </w:r>
      <w:r w:rsidR="00570AFA" w:rsidRPr="00DC6A47">
        <w:rPr>
          <w:rFonts w:cs="Arial"/>
        </w:rPr>
        <w:t xml:space="preserve">‘where a person is considered to have impaired decision-making skills, often because of a cognitive or psychosocial </w:t>
      </w:r>
      <w:r w:rsidR="00570AFA" w:rsidRPr="0009609F">
        <w:rPr>
          <w:rFonts w:cs="Arial"/>
        </w:rPr>
        <w:t>disability, his or her legal capacity to make a particular decision is consequently removed</w:t>
      </w:r>
      <w:r w:rsidR="00891C81">
        <w:rPr>
          <w:rFonts w:cs="Arial"/>
        </w:rPr>
        <w:t>’.</w:t>
      </w:r>
      <w:r w:rsidR="00570AFA" w:rsidRPr="0009609F">
        <w:rPr>
          <w:rStyle w:val="EndnoteReference"/>
          <w:rFonts w:cs="Arial"/>
          <w:sz w:val="24"/>
        </w:rPr>
        <w:endnoteReference w:id="94"/>
      </w:r>
      <w:r w:rsidR="00EC062A">
        <w:rPr>
          <w:rFonts w:cs="Arial"/>
        </w:rPr>
        <w:t xml:space="preserve"> It</w:t>
      </w:r>
      <w:r w:rsidR="004653BB">
        <w:rPr>
          <w:rFonts w:cs="Arial"/>
        </w:rPr>
        <w:t xml:space="preserve"> </w:t>
      </w:r>
      <w:r w:rsidR="00EC062A">
        <w:rPr>
          <w:rFonts w:cs="Arial"/>
        </w:rPr>
        <w:t xml:space="preserve">has </w:t>
      </w:r>
      <w:r w:rsidR="004653BB">
        <w:rPr>
          <w:rFonts w:cs="Arial"/>
        </w:rPr>
        <w:t>emphasised</w:t>
      </w:r>
      <w:r w:rsidR="003D0686">
        <w:rPr>
          <w:rFonts w:cs="Arial"/>
        </w:rPr>
        <w:t xml:space="preserve"> that ‘[a</w:t>
      </w:r>
      <w:r w:rsidR="00570AFA" w:rsidRPr="0009609F">
        <w:rPr>
          <w:rFonts w:cs="Arial"/>
        </w:rPr>
        <w:t>]rticle 12 does not permit such discriminatory denial of legal capacity, but, rather, requires that support be provided in the exercise of legal capacity</w:t>
      </w:r>
      <w:r w:rsidR="00891C81">
        <w:rPr>
          <w:rFonts w:cs="Arial"/>
        </w:rPr>
        <w:t>’.</w:t>
      </w:r>
      <w:r w:rsidR="00570AFA" w:rsidRPr="0009609F">
        <w:rPr>
          <w:rStyle w:val="EndnoteReference"/>
          <w:rFonts w:cs="Arial"/>
          <w:sz w:val="24"/>
        </w:rPr>
        <w:endnoteReference w:id="95"/>
      </w:r>
    </w:p>
    <w:p w14:paraId="1660FDA7" w14:textId="76F28AA4" w:rsidR="00570AFA" w:rsidRPr="00FD1941" w:rsidRDefault="00570AFA" w:rsidP="008A1887">
      <w:pPr>
        <w:pStyle w:val="SubmissionNormal"/>
        <w:tabs>
          <w:tab w:val="clear" w:pos="720"/>
          <w:tab w:val="num" w:pos="567"/>
        </w:tabs>
        <w:ind w:left="567" w:hanging="567"/>
        <w:rPr>
          <w:rFonts w:cs="Arial"/>
        </w:rPr>
      </w:pPr>
      <w:r>
        <w:rPr>
          <w:rFonts w:cs="Arial"/>
        </w:rPr>
        <w:t>The Disability Committ</w:t>
      </w:r>
      <w:r w:rsidR="00397E6E">
        <w:rPr>
          <w:rFonts w:cs="Arial"/>
        </w:rPr>
        <w:t xml:space="preserve">ee has recommended </w:t>
      </w:r>
      <w:r>
        <w:rPr>
          <w:rFonts w:cs="Arial"/>
        </w:rPr>
        <w:t xml:space="preserve">that to comply with its obligation under article 13 of the Disability Convention to </w:t>
      </w:r>
      <w:r w:rsidR="00397E6E">
        <w:rPr>
          <w:rFonts w:cs="Arial"/>
        </w:rPr>
        <w:t xml:space="preserve">provide </w:t>
      </w:r>
      <w:r>
        <w:rPr>
          <w:rFonts w:cs="Arial"/>
        </w:rPr>
        <w:t xml:space="preserve">effective access to </w:t>
      </w:r>
      <w:r>
        <w:rPr>
          <w:rFonts w:cs="Arial"/>
        </w:rPr>
        <w:lastRenderedPageBreak/>
        <w:t>justice for people with d</w:t>
      </w:r>
      <w:r w:rsidR="00397E6E">
        <w:rPr>
          <w:rFonts w:cs="Arial"/>
        </w:rPr>
        <w:t>isability, Australia</w:t>
      </w:r>
      <w:r w:rsidR="00C62E94">
        <w:rPr>
          <w:rFonts w:cs="Arial"/>
        </w:rPr>
        <w:t xml:space="preserve"> must ensure</w:t>
      </w:r>
      <w:r w:rsidR="00397E6E">
        <w:rPr>
          <w:rFonts w:cs="Arial"/>
        </w:rPr>
        <w:t xml:space="preserve"> to ‘</w:t>
      </w:r>
      <w:r w:rsidRPr="00FD1941">
        <w:rPr>
          <w:rFonts w:cs="Arial"/>
        </w:rPr>
        <w:t>persons with psychoso</w:t>
      </w:r>
      <w:r w:rsidR="00397E6E">
        <w:rPr>
          <w:rFonts w:cs="Arial"/>
        </w:rPr>
        <w:t>cial disabilities…</w:t>
      </w:r>
      <w:r w:rsidRPr="00FD1941">
        <w:rPr>
          <w:rFonts w:cs="Arial"/>
        </w:rPr>
        <w:t>the same substantive and procedural guarantees as others in the context of criminal proceedings’</w:t>
      </w:r>
      <w:r w:rsidR="00C62E94">
        <w:rPr>
          <w:rFonts w:cs="Arial"/>
        </w:rPr>
        <w:t>.</w:t>
      </w:r>
      <w:r w:rsidR="00C62E94" w:rsidRPr="00C62E94">
        <w:rPr>
          <w:rStyle w:val="EndnoteReference"/>
          <w:sz w:val="24"/>
        </w:rPr>
        <w:t xml:space="preserve"> </w:t>
      </w:r>
      <w:r w:rsidR="00C62E94" w:rsidRPr="00FD1941">
        <w:rPr>
          <w:rStyle w:val="EndnoteReference"/>
          <w:sz w:val="24"/>
        </w:rPr>
        <w:endnoteReference w:id="96"/>
      </w:r>
      <w:r w:rsidRPr="00FD1941">
        <w:rPr>
          <w:rFonts w:cs="Arial"/>
        </w:rPr>
        <w:t xml:space="preserve"> </w:t>
      </w:r>
      <w:r w:rsidR="00E16C0E">
        <w:rPr>
          <w:rFonts w:cs="Arial"/>
        </w:rPr>
        <w:t xml:space="preserve">It </w:t>
      </w:r>
      <w:r w:rsidR="00397E6E">
        <w:rPr>
          <w:rFonts w:cs="Arial"/>
        </w:rPr>
        <w:t xml:space="preserve">also </w:t>
      </w:r>
      <w:r w:rsidR="00E16C0E">
        <w:rPr>
          <w:rFonts w:cs="Arial"/>
        </w:rPr>
        <w:t>must ensure:</w:t>
      </w:r>
      <w:r>
        <w:rPr>
          <w:b/>
        </w:rPr>
        <w:t xml:space="preserve"> </w:t>
      </w:r>
    </w:p>
    <w:p w14:paraId="21EF9CED" w14:textId="4A07DF39" w:rsidR="00570AFA" w:rsidRPr="00FD1941" w:rsidRDefault="00570AFA" w:rsidP="00FD1941">
      <w:pPr>
        <w:pStyle w:val="SubmissionNormal"/>
        <w:numPr>
          <w:ilvl w:val="0"/>
          <w:numId w:val="0"/>
        </w:numPr>
        <w:spacing w:before="0" w:after="120"/>
        <w:ind w:left="1134"/>
        <w:rPr>
          <w:rFonts w:cs="Arial"/>
          <w:sz w:val="22"/>
          <w:szCs w:val="22"/>
        </w:rPr>
      </w:pPr>
      <w:r w:rsidRPr="00FD1941">
        <w:rPr>
          <w:rFonts w:cs="Arial"/>
          <w:sz w:val="22"/>
          <w:szCs w:val="22"/>
        </w:rPr>
        <w:t xml:space="preserve">that </w:t>
      </w:r>
      <w:r w:rsidRPr="00B87645">
        <w:rPr>
          <w:rFonts w:cs="Arial"/>
          <w:sz w:val="22"/>
          <w:szCs w:val="22"/>
        </w:rPr>
        <w:t>all persons with disabilities who have been accused of crimes and are currently detained in jails and institutions, without trial, are allowed to defend themselves against criminal charges,</w:t>
      </w:r>
      <w:r w:rsidRPr="00FD1941">
        <w:rPr>
          <w:rFonts w:cs="Arial"/>
          <w:sz w:val="22"/>
          <w:szCs w:val="22"/>
        </w:rPr>
        <w:t xml:space="preserve"> and are </w:t>
      </w:r>
      <w:r w:rsidRPr="00D1748E">
        <w:rPr>
          <w:rFonts w:cs="Arial"/>
          <w:sz w:val="22"/>
          <w:szCs w:val="22"/>
        </w:rPr>
        <w:t>provided with required support and accommodation to facilitate their effective participation</w:t>
      </w:r>
      <w:r w:rsidRPr="00FD1941">
        <w:rPr>
          <w:rFonts w:cs="Arial"/>
          <w:sz w:val="22"/>
          <w:szCs w:val="22"/>
        </w:rPr>
        <w:t>.</w:t>
      </w:r>
      <w:r w:rsidRPr="00FD1941">
        <w:rPr>
          <w:rStyle w:val="EndnoteReference"/>
          <w:sz w:val="24"/>
        </w:rPr>
        <w:endnoteReference w:id="97"/>
      </w:r>
      <w:r>
        <w:rPr>
          <w:rFonts w:cs="Arial"/>
          <w:sz w:val="22"/>
          <w:szCs w:val="22"/>
        </w:rPr>
        <w:t xml:space="preserve"> </w:t>
      </w:r>
    </w:p>
    <w:p w14:paraId="5FB6E286" w14:textId="7AABD31B" w:rsidR="00570AFA" w:rsidRPr="00F15B62" w:rsidRDefault="00570AFA" w:rsidP="008A1887">
      <w:pPr>
        <w:pStyle w:val="SubmissionNormal"/>
        <w:tabs>
          <w:tab w:val="clear" w:pos="720"/>
          <w:tab w:val="num" w:pos="567"/>
        </w:tabs>
        <w:ind w:left="567" w:hanging="567"/>
        <w:rPr>
          <w:rFonts w:cs="Arial"/>
          <w:iCs/>
        </w:rPr>
      </w:pPr>
      <w:r w:rsidRPr="00DC0E13">
        <w:rPr>
          <w:rFonts w:cs="Arial"/>
          <w:iCs/>
        </w:rPr>
        <w:t xml:space="preserve">Although courts </w:t>
      </w:r>
      <w:r>
        <w:rPr>
          <w:rFonts w:cs="Arial"/>
          <w:iCs/>
        </w:rPr>
        <w:t xml:space="preserve">currently have the power </w:t>
      </w:r>
      <w:r w:rsidRPr="00DC0E13">
        <w:rPr>
          <w:rFonts w:cs="Arial"/>
          <w:iCs/>
        </w:rPr>
        <w:t xml:space="preserve">to consider the use of support measures </w:t>
      </w:r>
      <w:r>
        <w:rPr>
          <w:rFonts w:cs="Arial"/>
          <w:iCs/>
        </w:rPr>
        <w:t xml:space="preserve">and other adjustments </w:t>
      </w:r>
      <w:r w:rsidR="006C5250">
        <w:rPr>
          <w:rFonts w:cs="Arial"/>
          <w:iCs/>
        </w:rPr>
        <w:t xml:space="preserve">to </w:t>
      </w:r>
      <w:r w:rsidR="00587DC3">
        <w:rPr>
          <w:rFonts w:cs="Arial"/>
          <w:iCs/>
        </w:rPr>
        <w:t xml:space="preserve">assist a person </w:t>
      </w:r>
      <w:r w:rsidRPr="00DC0E13">
        <w:rPr>
          <w:rFonts w:cs="Arial"/>
          <w:iCs/>
        </w:rPr>
        <w:t>to participate in a trial</w:t>
      </w:r>
      <w:r>
        <w:rPr>
          <w:rFonts w:cs="Arial"/>
          <w:iCs/>
        </w:rPr>
        <w:t xml:space="preserve">, it is </w:t>
      </w:r>
      <w:r w:rsidRPr="002A1C93">
        <w:rPr>
          <w:rFonts w:cs="Arial"/>
          <w:iCs/>
        </w:rPr>
        <w:t xml:space="preserve">evident that such measures </w:t>
      </w:r>
      <w:r w:rsidRPr="002A1C93">
        <w:rPr>
          <w:rFonts w:cs="Arial"/>
        </w:rPr>
        <w:t>are frequently not considered, available and/or provided.</w:t>
      </w:r>
      <w:r>
        <w:rPr>
          <w:rStyle w:val="EndnoteReference"/>
          <w:rFonts w:cs="Arial"/>
        </w:rPr>
        <w:endnoteReference w:id="98"/>
      </w:r>
      <w:r w:rsidRPr="001A76EF">
        <w:rPr>
          <w:rFonts w:cs="Arial"/>
        </w:rPr>
        <w:t xml:space="preserve"> </w:t>
      </w:r>
      <w:r w:rsidR="003E0D58">
        <w:rPr>
          <w:rFonts w:cs="Arial"/>
        </w:rPr>
        <w:t>A key problem identified by t</w:t>
      </w:r>
      <w:r>
        <w:rPr>
          <w:rFonts w:cs="Arial"/>
        </w:rPr>
        <w:t xml:space="preserve">he </w:t>
      </w:r>
      <w:r w:rsidR="0026772C">
        <w:rPr>
          <w:rFonts w:cs="Arial"/>
        </w:rPr>
        <w:t>ALRC</w:t>
      </w:r>
      <w:r w:rsidR="003E0D58">
        <w:rPr>
          <w:rFonts w:cs="Arial"/>
        </w:rPr>
        <w:t xml:space="preserve"> is that</w:t>
      </w:r>
      <w:r>
        <w:rPr>
          <w:rFonts w:cs="Arial"/>
        </w:rPr>
        <w:t xml:space="preserve"> across Australia ‘</w:t>
      </w:r>
      <w:r w:rsidRPr="00F15B62">
        <w:t>tests of unfitness to stand trial do not consider the possible role of assistance and support for defendants</w:t>
      </w:r>
      <w:r w:rsidR="00E53A78">
        <w:t>’</w:t>
      </w:r>
      <w:r w:rsidRPr="00F15B62">
        <w:t>.</w:t>
      </w:r>
      <w:r w:rsidRPr="00F15B62">
        <w:rPr>
          <w:rStyle w:val="EndnoteReference"/>
        </w:rPr>
        <w:endnoteReference w:id="99"/>
      </w:r>
    </w:p>
    <w:p w14:paraId="29A702C3" w14:textId="602BFA22" w:rsidR="00570AFA" w:rsidRDefault="00570AFA" w:rsidP="00B715F4">
      <w:pPr>
        <w:pStyle w:val="SubmissionNormal"/>
        <w:tabs>
          <w:tab w:val="clear" w:pos="720"/>
          <w:tab w:val="num" w:pos="567"/>
        </w:tabs>
        <w:ind w:left="567" w:hanging="567"/>
      </w:pPr>
      <w:r>
        <w:rPr>
          <w:rFonts w:cs="Arial"/>
          <w:iCs/>
        </w:rPr>
        <w:t xml:space="preserve">The </w:t>
      </w:r>
      <w:r w:rsidR="00E803F7">
        <w:rPr>
          <w:rFonts w:cs="Arial"/>
          <w:iCs/>
        </w:rPr>
        <w:t>NSWLRC</w:t>
      </w:r>
      <w:r>
        <w:rPr>
          <w:rFonts w:cs="Arial"/>
          <w:iCs/>
        </w:rPr>
        <w:t xml:space="preserve">, the Victorian Law Reform Commission </w:t>
      </w:r>
      <w:r w:rsidR="00BA056E">
        <w:rPr>
          <w:rFonts w:cs="Arial"/>
          <w:iCs/>
        </w:rPr>
        <w:t>(VLRC)</w:t>
      </w:r>
      <w:r w:rsidR="002B7BCF">
        <w:rPr>
          <w:rFonts w:cs="Arial"/>
          <w:iCs/>
        </w:rPr>
        <w:t>, the ALRC</w:t>
      </w:r>
      <w:r w:rsidR="00BA056E">
        <w:rPr>
          <w:rFonts w:cs="Arial"/>
          <w:iCs/>
        </w:rPr>
        <w:t xml:space="preserve"> </w:t>
      </w:r>
      <w:r>
        <w:rPr>
          <w:rFonts w:cs="Arial"/>
          <w:iCs/>
        </w:rPr>
        <w:t xml:space="preserve">and the Law Commission in the United Kingdom have all recommended that tests for unfitness should be changed to require the court to consider </w:t>
      </w:r>
      <w:r w:rsidRPr="00804BB5">
        <w:rPr>
          <w:rFonts w:cs="Arial"/>
          <w:i/>
          <w:iCs/>
        </w:rPr>
        <w:t>whether</w:t>
      </w:r>
      <w:r>
        <w:rPr>
          <w:rFonts w:cs="Arial"/>
          <w:iCs/>
        </w:rPr>
        <w:t xml:space="preserve"> the person </w:t>
      </w:r>
      <w:r w:rsidRPr="00804BB5">
        <w:rPr>
          <w:rFonts w:cs="Arial"/>
          <w:i/>
          <w:iCs/>
        </w:rPr>
        <w:t>could</w:t>
      </w:r>
      <w:r>
        <w:rPr>
          <w:rFonts w:cs="Arial"/>
          <w:iCs/>
        </w:rPr>
        <w:t xml:space="preserve"> participate in a trial </w:t>
      </w:r>
      <w:r w:rsidRPr="00425BBE">
        <w:rPr>
          <w:rFonts w:cs="Arial"/>
          <w:i/>
          <w:iCs/>
        </w:rPr>
        <w:t>if provided with support</w:t>
      </w:r>
      <w:r>
        <w:rPr>
          <w:rFonts w:cs="Arial"/>
          <w:iCs/>
        </w:rPr>
        <w:t>.</w:t>
      </w:r>
      <w:r>
        <w:rPr>
          <w:rStyle w:val="EndnoteReference"/>
          <w:rFonts w:cs="Arial"/>
          <w:iCs/>
        </w:rPr>
        <w:endnoteReference w:id="100"/>
      </w:r>
      <w:r w:rsidR="00EA3139">
        <w:rPr>
          <w:rFonts w:cs="Arial"/>
          <w:iCs/>
        </w:rPr>
        <w:t xml:space="preserve"> These Commissions </w:t>
      </w:r>
      <w:r>
        <w:rPr>
          <w:rFonts w:cs="Arial"/>
          <w:iCs/>
        </w:rPr>
        <w:t xml:space="preserve">recognised that to </w:t>
      </w:r>
      <w:r w:rsidR="00CD6816">
        <w:rPr>
          <w:rFonts w:cs="Arial"/>
          <w:iCs/>
        </w:rPr>
        <w:t xml:space="preserve">try </w:t>
      </w:r>
      <w:r>
        <w:rPr>
          <w:rFonts w:cs="Arial"/>
          <w:iCs/>
        </w:rPr>
        <w:t xml:space="preserve">the defendant through </w:t>
      </w:r>
      <w:r w:rsidRPr="004776A6">
        <w:rPr>
          <w:rFonts w:cs="Arial"/>
          <w:iCs/>
        </w:rPr>
        <w:t>the normal criminal trial process whenever possible ‘</w:t>
      </w:r>
      <w:r w:rsidRPr="004776A6">
        <w:t>is best not just for the defendant, but also for those affected by an offence and society more generally</w:t>
      </w:r>
      <w:r w:rsidR="00083D55">
        <w:t>’.</w:t>
      </w:r>
      <w:r w:rsidRPr="004776A6">
        <w:rPr>
          <w:rStyle w:val="EndnoteReference"/>
        </w:rPr>
        <w:endnoteReference w:id="101"/>
      </w:r>
      <w:r w:rsidR="00B715F4">
        <w:t xml:space="preserve"> </w:t>
      </w:r>
      <w:r w:rsidR="00244ECD">
        <w:t>It is in a</w:t>
      </w:r>
      <w:r>
        <w:t xml:space="preserve"> d</w:t>
      </w:r>
      <w:r w:rsidR="000E6BE6">
        <w:t xml:space="preserve">efendant’s interests </w:t>
      </w:r>
      <w:r>
        <w:t>to participate in the full trial process</w:t>
      </w:r>
      <w:r w:rsidR="00EE47DE">
        <w:t xml:space="preserve"> because</w:t>
      </w:r>
      <w:r>
        <w:t xml:space="preserve"> </w:t>
      </w:r>
      <w:r w:rsidR="00EE47DE">
        <w:t xml:space="preserve">it includes </w:t>
      </w:r>
      <w:r>
        <w:t xml:space="preserve">procedural protections, </w:t>
      </w:r>
      <w:r w:rsidR="00EE47DE">
        <w:t xml:space="preserve">but also </w:t>
      </w:r>
      <w:r>
        <w:t>beca</w:t>
      </w:r>
      <w:r w:rsidR="00583966">
        <w:t>use of the adverse consequences</w:t>
      </w:r>
      <w:r>
        <w:t xml:space="preserve"> if found unfit to stand trial, including the real risk of indefinite detention.</w:t>
      </w:r>
      <w:r>
        <w:rPr>
          <w:rStyle w:val="EndnoteReference"/>
        </w:rPr>
        <w:endnoteReference w:id="102"/>
      </w:r>
      <w:r w:rsidR="008A1887">
        <w:t xml:space="preserve"> </w:t>
      </w:r>
    </w:p>
    <w:p w14:paraId="6EDDCFCB" w14:textId="7039A5E9" w:rsidR="00570AFA" w:rsidRPr="00E70D7F" w:rsidRDefault="00570AFA" w:rsidP="008A1887">
      <w:pPr>
        <w:pStyle w:val="SubmissionNormal"/>
        <w:tabs>
          <w:tab w:val="clear" w:pos="720"/>
          <w:tab w:val="num" w:pos="567"/>
        </w:tabs>
        <w:ind w:left="567" w:hanging="567"/>
        <w:rPr>
          <w:rFonts w:cs="Arial"/>
          <w:sz w:val="22"/>
          <w:szCs w:val="22"/>
        </w:rPr>
      </w:pPr>
      <w:r>
        <w:t>As the ALRC noted, refocusing the test for unfitness on the question of  ‘</w:t>
      </w:r>
      <w:r w:rsidRPr="000B6F28">
        <w:t>whether, and to what extent, a person can be supported to play their role in the justice system, rather than on whether they have capacity to play such a role at all’</w:t>
      </w:r>
      <w:r>
        <w:t xml:space="preserve"> would</w:t>
      </w:r>
      <w:r w:rsidRPr="000B6F28">
        <w:t xml:space="preserve"> also </w:t>
      </w:r>
      <w:r>
        <w:t xml:space="preserve">be more </w:t>
      </w:r>
      <w:r w:rsidRPr="000B6F28">
        <w:t xml:space="preserve">consistent with </w:t>
      </w:r>
      <w:r w:rsidRPr="008611E8">
        <w:t xml:space="preserve">Australia’s obligations </w:t>
      </w:r>
      <w:r w:rsidR="008A1887">
        <w:t xml:space="preserve">under </w:t>
      </w:r>
      <w:r w:rsidRPr="008611E8">
        <w:t xml:space="preserve">article 12 </w:t>
      </w:r>
      <w:r w:rsidR="008A1887">
        <w:t xml:space="preserve">of </w:t>
      </w:r>
      <w:r w:rsidRPr="008611E8">
        <w:t>the Disability Convention.</w:t>
      </w:r>
      <w:r w:rsidRPr="008611E8">
        <w:rPr>
          <w:rStyle w:val="EndnoteReference"/>
          <w:sz w:val="24"/>
        </w:rPr>
        <w:endnoteReference w:id="103"/>
      </w:r>
      <w:r w:rsidRPr="008611E8">
        <w:t xml:space="preserve"> </w:t>
      </w:r>
      <w:r w:rsidR="00E70D7F" w:rsidRPr="008611E8">
        <w:t>As the VLRC recognised,</w:t>
      </w:r>
      <w:r w:rsidR="00E70D7F" w:rsidRPr="008611E8">
        <w:rPr>
          <w:rFonts w:cs="Arial"/>
        </w:rPr>
        <w:t xml:space="preserve"> ‘unfitness to stand trial is support-dependent</w:t>
      </w:r>
      <w:r w:rsidR="008611E8">
        <w:rPr>
          <w:rFonts w:cs="Arial"/>
        </w:rPr>
        <w:t xml:space="preserve">’ and therefore </w:t>
      </w:r>
      <w:r w:rsidR="009840E7">
        <w:rPr>
          <w:rFonts w:cs="Arial"/>
        </w:rPr>
        <w:t>‘</w:t>
      </w:r>
      <w:r w:rsidR="00E70D7F" w:rsidRPr="008611E8">
        <w:rPr>
          <w:rFonts w:cs="Arial"/>
        </w:rPr>
        <w:t>the law should accommodate the varying abilities and needs of accused</w:t>
      </w:r>
      <w:r w:rsidR="008611E8">
        <w:rPr>
          <w:rFonts w:cs="Arial"/>
        </w:rPr>
        <w:t>…</w:t>
      </w:r>
      <w:r w:rsidR="00E70D7F" w:rsidRPr="008611E8">
        <w:rPr>
          <w:rFonts w:cs="Arial"/>
        </w:rPr>
        <w:t>to the greatest extent possible’.</w:t>
      </w:r>
      <w:r w:rsidR="00E70D7F" w:rsidRPr="008611E8">
        <w:rPr>
          <w:rStyle w:val="EndnoteReference"/>
          <w:sz w:val="24"/>
        </w:rPr>
        <w:endnoteReference w:id="104"/>
      </w:r>
      <w:r w:rsidR="00E70D7F">
        <w:rPr>
          <w:rFonts w:cs="Arial"/>
          <w:sz w:val="22"/>
          <w:szCs w:val="22"/>
        </w:rPr>
        <w:t xml:space="preserve"> </w:t>
      </w:r>
    </w:p>
    <w:p w14:paraId="45A0FB90" w14:textId="010C2154" w:rsidR="00570AFA" w:rsidRDefault="004449E7" w:rsidP="008A1887">
      <w:pPr>
        <w:pStyle w:val="SubmissionNormal"/>
        <w:tabs>
          <w:tab w:val="clear" w:pos="720"/>
          <w:tab w:val="num" w:pos="567"/>
        </w:tabs>
        <w:ind w:left="567" w:hanging="567"/>
      </w:pPr>
      <w:r>
        <w:t>The</w:t>
      </w:r>
      <w:r w:rsidR="00570AFA">
        <w:t xml:space="preserve"> Victorian Parliamentary </w:t>
      </w:r>
      <w:r>
        <w:t xml:space="preserve">Law Reform </w:t>
      </w:r>
      <w:r w:rsidR="00570AFA">
        <w:t xml:space="preserve">Committee in 2013 concluded that </w:t>
      </w:r>
      <w:r w:rsidR="00A04F56">
        <w:t>‘</w:t>
      </w:r>
      <w:r w:rsidR="00A04F56" w:rsidRPr="00A04F56">
        <w:t>most defendants with an intellectual disability or cognitive impairment will be fit to stand trial when information is given in simple terms and support is available to help them understand court proceedings.</w:t>
      </w:r>
      <w:r w:rsidR="00A04F56">
        <w:t>’</w:t>
      </w:r>
      <w:r w:rsidR="00A04F56" w:rsidRPr="00A04F56">
        <w:rPr>
          <w:rStyle w:val="EndnoteReference"/>
        </w:rPr>
        <w:endnoteReference w:id="105"/>
      </w:r>
      <w:r w:rsidR="00A04F56" w:rsidRPr="00A04F56">
        <w:rPr>
          <w:rStyle w:val="EndnoteReference"/>
        </w:rPr>
        <w:t xml:space="preserve"> </w:t>
      </w:r>
    </w:p>
    <w:p w14:paraId="22090965" w14:textId="55562531" w:rsidR="003C7C6A" w:rsidRPr="003C7C6A" w:rsidRDefault="00B92906" w:rsidP="00945211">
      <w:pPr>
        <w:pStyle w:val="SubmissionNormal"/>
        <w:tabs>
          <w:tab w:val="clear" w:pos="720"/>
          <w:tab w:val="num" w:pos="567"/>
        </w:tabs>
        <w:ind w:left="567" w:hanging="567"/>
      </w:pPr>
      <w:r>
        <w:t xml:space="preserve">The Commission recommends that </w:t>
      </w:r>
      <w:r w:rsidR="002B7BCF">
        <w:t xml:space="preserve">the tests for unfitness to stand trial in every jurisdiction be </w:t>
      </w:r>
      <w:r w:rsidR="005C1E5D">
        <w:t>changed</w:t>
      </w:r>
      <w:r w:rsidR="00543585">
        <w:t xml:space="preserve"> to require judges to consider</w:t>
      </w:r>
      <w:r w:rsidR="002B7BCF">
        <w:t xml:space="preserve"> whether the accused could be supported to </w:t>
      </w:r>
      <w:r w:rsidR="000C4EC5">
        <w:t xml:space="preserve">effectively </w:t>
      </w:r>
      <w:r w:rsidR="002B7BCF">
        <w:t xml:space="preserve">participate in a </w:t>
      </w:r>
      <w:r w:rsidR="002B7BCF" w:rsidRPr="003A0AA9">
        <w:t>trial.</w:t>
      </w:r>
      <w:r w:rsidR="00570AFA" w:rsidRPr="003A0AA9">
        <w:rPr>
          <w:rFonts w:cs="Arial"/>
        </w:rPr>
        <w:t xml:space="preserve"> </w:t>
      </w:r>
      <w:r w:rsidR="003C7C6A" w:rsidRPr="00F65729">
        <w:t xml:space="preserve">The Commission suggests that a good model </w:t>
      </w:r>
      <w:r w:rsidR="003C7C6A">
        <w:t xml:space="preserve">for an amended test </w:t>
      </w:r>
      <w:r w:rsidR="003C7C6A" w:rsidRPr="00F65729">
        <w:t>is the provision recommended by t</w:t>
      </w:r>
      <w:r w:rsidR="003C7C6A">
        <w:t>he VLRC</w:t>
      </w:r>
      <w:r w:rsidR="003C7C6A" w:rsidRPr="00F65729">
        <w:rPr>
          <w:rFonts w:cs="Arial"/>
          <w:sz w:val="22"/>
          <w:szCs w:val="22"/>
        </w:rPr>
        <w:t>.</w:t>
      </w:r>
      <w:r w:rsidR="003C7C6A" w:rsidRPr="00F65729">
        <w:rPr>
          <w:rStyle w:val="EndnoteReference"/>
          <w:sz w:val="22"/>
          <w:szCs w:val="22"/>
        </w:rPr>
        <w:endnoteReference w:id="106"/>
      </w:r>
    </w:p>
    <w:p w14:paraId="6ADCE73B" w14:textId="3ADDDF96" w:rsidR="00570AFA" w:rsidRPr="00115E14" w:rsidRDefault="003C7C6A" w:rsidP="008A1887">
      <w:pPr>
        <w:pStyle w:val="SubmissionNormal"/>
        <w:tabs>
          <w:tab w:val="clear" w:pos="720"/>
          <w:tab w:val="num" w:pos="567"/>
        </w:tabs>
        <w:ind w:left="567" w:hanging="567"/>
      </w:pPr>
      <w:r>
        <w:rPr>
          <w:rFonts w:cs="Arial"/>
        </w:rPr>
        <w:t>In considering whether an accused can be supported to participate</w:t>
      </w:r>
      <w:r w:rsidR="00543585" w:rsidRPr="003A0AA9">
        <w:rPr>
          <w:rFonts w:cs="Arial"/>
        </w:rPr>
        <w:t>, judges should be assisted by expert reports which provide an assessment as to what modifications might assist the accused.</w:t>
      </w:r>
      <w:r w:rsidR="00543585" w:rsidRPr="003A0AA9">
        <w:rPr>
          <w:rStyle w:val="EndnoteReference"/>
          <w:rFonts w:cs="Arial"/>
          <w:sz w:val="24"/>
        </w:rPr>
        <w:endnoteReference w:id="107"/>
      </w:r>
      <w:r w:rsidR="00543585">
        <w:rPr>
          <w:rFonts w:cs="Arial"/>
          <w:sz w:val="22"/>
          <w:szCs w:val="22"/>
        </w:rPr>
        <w:t xml:space="preserve"> </w:t>
      </w:r>
      <w:r w:rsidR="002B7BCF" w:rsidRPr="006770C8">
        <w:t xml:space="preserve">The Commission agrees </w:t>
      </w:r>
      <w:r w:rsidR="006770C8">
        <w:t>with the UK Law Commission that</w:t>
      </w:r>
      <w:r w:rsidR="00900EE7">
        <w:t>:</w:t>
      </w:r>
    </w:p>
    <w:p w14:paraId="35B88FC1" w14:textId="1F2EEFCF" w:rsidR="002B7BCF" w:rsidRDefault="00570AFA" w:rsidP="002B7BCF">
      <w:pPr>
        <w:pStyle w:val="SubmissionNormal"/>
        <w:numPr>
          <w:ilvl w:val="0"/>
          <w:numId w:val="0"/>
        </w:numPr>
        <w:spacing w:before="0" w:after="120"/>
        <w:ind w:left="1134"/>
      </w:pPr>
      <w:r w:rsidRPr="002B7BCF">
        <w:rPr>
          <w:rFonts w:cs="Arial"/>
          <w:sz w:val="22"/>
          <w:szCs w:val="22"/>
        </w:rPr>
        <w:t>every effort should be made to afford a defendant whose capacity may be in doubt such adjustments to the proceedings as he or she reasonably requires to be able to participate in the full criminal process, and to maintain that capacit</w:t>
      </w:r>
      <w:r w:rsidR="009A7FC2">
        <w:rPr>
          <w:rFonts w:cs="Arial"/>
          <w:sz w:val="22"/>
          <w:szCs w:val="22"/>
        </w:rPr>
        <w:t>y for the whole of the process.</w:t>
      </w:r>
      <w:r w:rsidR="006770C8" w:rsidRPr="003D2547">
        <w:rPr>
          <w:rStyle w:val="EndnoteReference"/>
        </w:rPr>
        <w:endnoteReference w:id="108"/>
      </w:r>
      <w:r w:rsidR="006770C8" w:rsidRPr="003D2547">
        <w:rPr>
          <w:rStyle w:val="EndnoteReference"/>
          <w:szCs w:val="22"/>
        </w:rPr>
        <w:t xml:space="preserve"> </w:t>
      </w:r>
    </w:p>
    <w:p w14:paraId="635390B6" w14:textId="0F62C4B8" w:rsidR="00B91986" w:rsidRPr="0066522B" w:rsidRDefault="00B91986" w:rsidP="00B91986">
      <w:pPr>
        <w:pStyle w:val="SubmissionNormal"/>
        <w:numPr>
          <w:ilvl w:val="0"/>
          <w:numId w:val="0"/>
        </w:numPr>
        <w:ind w:left="567"/>
        <w:rPr>
          <w:b/>
        </w:rPr>
      </w:pPr>
      <w:r w:rsidRPr="00827482">
        <w:rPr>
          <w:b/>
        </w:rPr>
        <w:lastRenderedPageBreak/>
        <w:t xml:space="preserve">Recommendation 5: The </w:t>
      </w:r>
      <w:r w:rsidR="00096227">
        <w:rPr>
          <w:b/>
        </w:rPr>
        <w:t xml:space="preserve">Commission recommends that the </w:t>
      </w:r>
      <w:r w:rsidR="00096227" w:rsidRPr="000D1CE4">
        <w:rPr>
          <w:b/>
        </w:rPr>
        <w:t xml:space="preserve">tests for unfitness to stand trial in every jurisdiction </w:t>
      </w:r>
      <w:r w:rsidR="00096227">
        <w:rPr>
          <w:b/>
        </w:rPr>
        <w:t xml:space="preserve">be amended </w:t>
      </w:r>
      <w:r w:rsidR="00096227" w:rsidRPr="000D1CE4">
        <w:rPr>
          <w:b/>
        </w:rPr>
        <w:t>to require judges to consider whethe</w:t>
      </w:r>
      <w:r w:rsidR="00096227">
        <w:rPr>
          <w:b/>
        </w:rPr>
        <w:t>r the accused could effectively participate in a trial if provided with support and/or modifications.</w:t>
      </w:r>
      <w:r w:rsidRPr="003D2547">
        <w:rPr>
          <w:b/>
        </w:rPr>
        <w:t xml:space="preserve"> </w:t>
      </w:r>
    </w:p>
    <w:p w14:paraId="55C205CD" w14:textId="76BF3753" w:rsidR="00570AFA" w:rsidRPr="00384B0D" w:rsidRDefault="00720114" w:rsidP="0039779C">
      <w:pPr>
        <w:autoSpaceDE w:val="0"/>
        <w:autoSpaceDN w:val="0"/>
        <w:adjustRightInd w:val="0"/>
        <w:spacing w:before="0" w:after="0"/>
        <w:ind w:left="567"/>
        <w:rPr>
          <w:rFonts w:ascii="Frutiger-Bold" w:eastAsia="Times New Roman" w:hAnsi="Frutiger-Bold" w:cs="Frutiger-Bold"/>
          <w:b/>
          <w:bCs/>
        </w:rPr>
      </w:pPr>
      <w:r>
        <w:rPr>
          <w:rFonts w:ascii="Frutiger-Bold" w:eastAsia="Times New Roman" w:hAnsi="Frutiger-Bold" w:cs="Frutiger-Bold"/>
          <w:b/>
          <w:bCs/>
        </w:rPr>
        <w:t xml:space="preserve">Recommendation </w:t>
      </w:r>
      <w:r w:rsidRPr="00ED2509">
        <w:rPr>
          <w:rFonts w:ascii="Frutiger-Bold" w:eastAsia="Times New Roman" w:hAnsi="Frutiger-Bold" w:cs="Frutiger-Bold"/>
          <w:b/>
          <w:bCs/>
        </w:rPr>
        <w:t>6: The</w:t>
      </w:r>
      <w:r>
        <w:rPr>
          <w:rFonts w:ascii="Frutiger-Bold" w:eastAsia="Times New Roman" w:hAnsi="Frutiger-Bold" w:cs="Frutiger-Bold"/>
          <w:b/>
          <w:bCs/>
        </w:rPr>
        <w:t xml:space="preserve"> Commission recommends that </w:t>
      </w:r>
      <w:r w:rsidR="00ED2509">
        <w:rPr>
          <w:rFonts w:ascii="Frutiger-Bold" w:hAnsi="Frutiger-Bold" w:cs="Frutiger-Bold"/>
          <w:b/>
          <w:bCs/>
        </w:rPr>
        <w:t>training be delivered to the judiciary in eve</w:t>
      </w:r>
      <w:r w:rsidR="00425180">
        <w:rPr>
          <w:rFonts w:ascii="Frutiger-Bold" w:hAnsi="Frutiger-Bold" w:cs="Frutiger-Bold"/>
          <w:b/>
          <w:bCs/>
        </w:rPr>
        <w:t>ry jurisdiction on how to determine</w:t>
      </w:r>
      <w:r w:rsidR="00ED2509">
        <w:rPr>
          <w:rFonts w:ascii="Frutiger-Bold" w:hAnsi="Frutiger-Bold" w:cs="Frutiger-Bold"/>
          <w:b/>
          <w:bCs/>
        </w:rPr>
        <w:t xml:space="preserve"> capacity to stand trial by reference to the support available.</w:t>
      </w:r>
    </w:p>
    <w:p w14:paraId="5EA7AC3B" w14:textId="045922E3" w:rsidR="00570AFA" w:rsidRDefault="00570AFA" w:rsidP="004670D6">
      <w:pPr>
        <w:pStyle w:val="Heading2"/>
      </w:pPr>
      <w:bookmarkStart w:id="90" w:name="_Toc447200192"/>
      <w:r>
        <w:t>Special hearings</w:t>
      </w:r>
      <w:r w:rsidR="001E2B7A">
        <w:t xml:space="preserve"> for unfit defendants</w:t>
      </w:r>
      <w:bookmarkEnd w:id="90"/>
    </w:p>
    <w:p w14:paraId="589D1A06" w14:textId="7D6CF110" w:rsidR="00407BE2" w:rsidRPr="00407BE2" w:rsidRDefault="00FE424D" w:rsidP="0039779C">
      <w:pPr>
        <w:pStyle w:val="SubmissionNormal"/>
        <w:tabs>
          <w:tab w:val="clear" w:pos="720"/>
          <w:tab w:val="num" w:pos="567"/>
        </w:tabs>
        <w:ind w:left="567" w:hanging="567"/>
        <w:rPr>
          <w:rFonts w:cs="Arial"/>
          <w:sz w:val="22"/>
          <w:szCs w:val="22"/>
        </w:rPr>
      </w:pPr>
      <w:r>
        <w:rPr>
          <w:rFonts w:cs="Arial"/>
        </w:rPr>
        <w:t xml:space="preserve">The practice varies across the jurisdictions as to what happens once a person is determined to be unfit to stand trial. </w:t>
      </w:r>
      <w:r w:rsidR="00570AFA" w:rsidRPr="002B583E">
        <w:rPr>
          <w:rFonts w:cs="Arial"/>
        </w:rPr>
        <w:t>In Victoria</w:t>
      </w:r>
      <w:r w:rsidR="00570AFA" w:rsidRPr="002A7FD1">
        <w:rPr>
          <w:rFonts w:cs="Arial"/>
        </w:rPr>
        <w:t>, N</w:t>
      </w:r>
      <w:r w:rsidR="00D4261C">
        <w:rPr>
          <w:rFonts w:cs="Arial"/>
        </w:rPr>
        <w:t xml:space="preserve">ew </w:t>
      </w:r>
      <w:r w:rsidR="00570AFA" w:rsidRPr="002A7FD1">
        <w:rPr>
          <w:rFonts w:cs="Arial"/>
        </w:rPr>
        <w:t>S</w:t>
      </w:r>
      <w:r w:rsidR="00D4261C">
        <w:rPr>
          <w:rFonts w:cs="Arial"/>
        </w:rPr>
        <w:t xml:space="preserve">outh </w:t>
      </w:r>
      <w:r w:rsidR="00570AFA" w:rsidRPr="002A7FD1">
        <w:rPr>
          <w:rFonts w:cs="Arial"/>
        </w:rPr>
        <w:t>W</w:t>
      </w:r>
      <w:r w:rsidR="00D4261C">
        <w:rPr>
          <w:rFonts w:cs="Arial"/>
        </w:rPr>
        <w:t>ales</w:t>
      </w:r>
      <w:r w:rsidR="00422FC7">
        <w:rPr>
          <w:rFonts w:cs="Arial"/>
        </w:rPr>
        <w:t xml:space="preserve"> (NSW)</w:t>
      </w:r>
      <w:r w:rsidR="00570AFA" w:rsidRPr="002A7FD1">
        <w:rPr>
          <w:rFonts w:cs="Arial"/>
        </w:rPr>
        <w:t>, Tasmania, the A</w:t>
      </w:r>
      <w:r w:rsidR="00D4261C">
        <w:rPr>
          <w:rFonts w:cs="Arial"/>
        </w:rPr>
        <w:t xml:space="preserve">ustralian </w:t>
      </w:r>
      <w:r w:rsidR="00570AFA" w:rsidRPr="002A7FD1">
        <w:rPr>
          <w:rFonts w:cs="Arial"/>
        </w:rPr>
        <w:t>C</w:t>
      </w:r>
      <w:r w:rsidR="00D4261C">
        <w:rPr>
          <w:rFonts w:cs="Arial"/>
        </w:rPr>
        <w:t xml:space="preserve">apital </w:t>
      </w:r>
      <w:r w:rsidR="00570AFA" w:rsidRPr="002A7FD1">
        <w:rPr>
          <w:rFonts w:cs="Arial"/>
        </w:rPr>
        <w:t>T</w:t>
      </w:r>
      <w:r w:rsidR="00D4261C">
        <w:rPr>
          <w:rFonts w:cs="Arial"/>
        </w:rPr>
        <w:t>erritory</w:t>
      </w:r>
      <w:r w:rsidR="00422FC7">
        <w:rPr>
          <w:rFonts w:cs="Arial"/>
        </w:rPr>
        <w:t xml:space="preserve"> (ACT)</w:t>
      </w:r>
      <w:r w:rsidR="00570AFA" w:rsidRPr="002A7FD1">
        <w:rPr>
          <w:rFonts w:cs="Arial"/>
        </w:rPr>
        <w:t xml:space="preserve"> and the N</w:t>
      </w:r>
      <w:r w:rsidR="00D4261C">
        <w:rPr>
          <w:rFonts w:cs="Arial"/>
        </w:rPr>
        <w:t>orthern Territory</w:t>
      </w:r>
      <w:r w:rsidR="00422FC7">
        <w:rPr>
          <w:rFonts w:cs="Arial"/>
        </w:rPr>
        <w:t xml:space="preserve"> (NT)</w:t>
      </w:r>
      <w:r w:rsidR="00570AFA" w:rsidRPr="002A7FD1">
        <w:rPr>
          <w:rFonts w:cs="Arial"/>
        </w:rPr>
        <w:t xml:space="preserve">, if </w:t>
      </w:r>
      <w:r w:rsidR="001B2AB9" w:rsidRPr="002A7FD1">
        <w:rPr>
          <w:rFonts w:cs="Arial"/>
        </w:rPr>
        <w:t>a person is charged with an indictab</w:t>
      </w:r>
      <w:r w:rsidR="001B2AB9">
        <w:rPr>
          <w:rFonts w:cs="Arial"/>
        </w:rPr>
        <w:t xml:space="preserve">le </w:t>
      </w:r>
      <w:r w:rsidR="001B2AB9" w:rsidRPr="0039779C">
        <w:t>offence</w:t>
      </w:r>
      <w:r w:rsidR="001B2AB9">
        <w:rPr>
          <w:rFonts w:cs="Arial"/>
        </w:rPr>
        <w:t xml:space="preserve"> but is found</w:t>
      </w:r>
      <w:r w:rsidR="00570AFA" w:rsidRPr="002B583E">
        <w:rPr>
          <w:rFonts w:cs="Arial"/>
        </w:rPr>
        <w:t xml:space="preserve"> unfit to stand trial</w:t>
      </w:r>
      <w:r w:rsidR="00570AFA">
        <w:rPr>
          <w:rFonts w:cs="Arial"/>
        </w:rPr>
        <w:t xml:space="preserve"> </w:t>
      </w:r>
      <w:r w:rsidR="00407BE2">
        <w:rPr>
          <w:rFonts w:cs="Arial"/>
        </w:rPr>
        <w:t>(</w:t>
      </w:r>
      <w:r w:rsidR="00570AFA">
        <w:rPr>
          <w:rFonts w:cs="Arial"/>
        </w:rPr>
        <w:t xml:space="preserve">and </w:t>
      </w:r>
      <w:r w:rsidR="00407BE2">
        <w:rPr>
          <w:rFonts w:cs="Arial"/>
        </w:rPr>
        <w:t xml:space="preserve">unlikely to </w:t>
      </w:r>
      <w:r w:rsidR="00570AFA">
        <w:rPr>
          <w:rFonts w:cs="Arial"/>
        </w:rPr>
        <w:t>become fit in the next 12 months</w:t>
      </w:r>
      <w:r w:rsidR="00407BE2">
        <w:rPr>
          <w:rFonts w:cs="Arial"/>
        </w:rPr>
        <w:t>)</w:t>
      </w:r>
      <w:r w:rsidR="00570AFA" w:rsidRPr="002B583E">
        <w:rPr>
          <w:rFonts w:cs="Arial"/>
        </w:rPr>
        <w:t>,</w:t>
      </w:r>
      <w:r w:rsidR="00570AFA">
        <w:rPr>
          <w:rFonts w:cs="Arial"/>
        </w:rPr>
        <w:t xml:space="preserve"> the</w:t>
      </w:r>
      <w:r w:rsidR="00570AFA">
        <w:rPr>
          <w:rFonts w:cs="Arial"/>
          <w:sz w:val="14"/>
          <w:szCs w:val="14"/>
        </w:rPr>
        <w:t xml:space="preserve">  </w:t>
      </w:r>
      <w:r w:rsidR="00570AFA">
        <w:rPr>
          <w:rFonts w:cs="Arial"/>
        </w:rPr>
        <w:t xml:space="preserve">court is generally required to </w:t>
      </w:r>
      <w:r w:rsidR="0035582F">
        <w:rPr>
          <w:rFonts w:cs="Arial"/>
        </w:rPr>
        <w:t xml:space="preserve">hold </w:t>
      </w:r>
      <w:r w:rsidR="00570AFA">
        <w:rPr>
          <w:rFonts w:cs="Arial"/>
        </w:rPr>
        <w:t>a ‘special hearing’.</w:t>
      </w:r>
      <w:r w:rsidR="00570AFA">
        <w:rPr>
          <w:rStyle w:val="EndnoteReference"/>
          <w:rFonts w:cs="Arial"/>
        </w:rPr>
        <w:endnoteReference w:id="109"/>
      </w:r>
      <w:r w:rsidR="002F760B">
        <w:rPr>
          <w:rFonts w:cs="Arial"/>
        </w:rPr>
        <w:t xml:space="preserve"> </w:t>
      </w:r>
    </w:p>
    <w:p w14:paraId="10E28AC4" w14:textId="463FB563" w:rsidR="002A7E41" w:rsidRPr="00CE7F24" w:rsidRDefault="002A7E41" w:rsidP="000E6985">
      <w:pPr>
        <w:pStyle w:val="SubmissionNormal"/>
        <w:tabs>
          <w:tab w:val="clear" w:pos="720"/>
          <w:tab w:val="num" w:pos="567"/>
        </w:tabs>
        <w:ind w:left="567" w:hanging="567"/>
        <w:rPr>
          <w:rFonts w:cs="Arial"/>
        </w:rPr>
      </w:pPr>
      <w:r w:rsidRPr="00CE7F24">
        <w:rPr>
          <w:rFonts w:cs="Arial"/>
        </w:rPr>
        <w:t>Special hearings were introduced as a mechanism to provide people who had been found unfit to stand trial with an opportunity to be acquitted.</w:t>
      </w:r>
      <w:r w:rsidRPr="00CE7F24">
        <w:rPr>
          <w:rStyle w:val="EndnoteReference"/>
          <w:rFonts w:cs="Arial"/>
        </w:rPr>
        <w:endnoteReference w:id="110"/>
      </w:r>
      <w:r w:rsidRPr="00CE7F24">
        <w:rPr>
          <w:rFonts w:cs="Arial"/>
        </w:rPr>
        <w:t xml:space="preserve"> They replaced regimes in which unfit defendants were detained indefinitely ‘at the Governor’s pleasure’, without any consideration of whether the evidence available established that the person had committed the offence charged.</w:t>
      </w:r>
      <w:r w:rsidR="00EE74FC" w:rsidRPr="00CE7F24">
        <w:rPr>
          <w:rStyle w:val="EndnoteReference"/>
          <w:rFonts w:cs="Arial"/>
        </w:rPr>
        <w:endnoteReference w:id="111"/>
      </w:r>
      <w:r w:rsidRPr="00CE7F24">
        <w:rPr>
          <w:rFonts w:cs="Arial"/>
        </w:rPr>
        <w:t xml:space="preserve">  </w:t>
      </w:r>
    </w:p>
    <w:p w14:paraId="151E6F29" w14:textId="66AA953D" w:rsidR="000E6985" w:rsidRPr="00CE7F24" w:rsidRDefault="003B56B8" w:rsidP="00325EBF">
      <w:pPr>
        <w:pStyle w:val="SubmissionNormal"/>
        <w:tabs>
          <w:tab w:val="clear" w:pos="720"/>
          <w:tab w:val="num" w:pos="567"/>
        </w:tabs>
        <w:ind w:left="567" w:hanging="567"/>
        <w:rPr>
          <w:rFonts w:cs="Arial"/>
        </w:rPr>
      </w:pPr>
      <w:r w:rsidRPr="00CE7F24">
        <w:rPr>
          <w:rFonts w:cs="Arial"/>
        </w:rPr>
        <w:t xml:space="preserve">It is commendable that </w:t>
      </w:r>
      <w:r w:rsidR="00411160" w:rsidRPr="00CE7F24">
        <w:rPr>
          <w:rFonts w:cs="Arial"/>
        </w:rPr>
        <w:t>a special hearing provides a</w:t>
      </w:r>
      <w:r w:rsidRPr="00CE7F24">
        <w:rPr>
          <w:rFonts w:cs="Arial"/>
        </w:rPr>
        <w:t>n opportunity for an acquittal. However, the Commission is concerned that</w:t>
      </w:r>
      <w:r w:rsidR="00411160" w:rsidRPr="00CE7F24">
        <w:rPr>
          <w:rFonts w:cs="Arial"/>
        </w:rPr>
        <w:t xml:space="preserve"> it also provides an opportunity for a finding adverse to the unfit defendant which triggers</w:t>
      </w:r>
      <w:r w:rsidR="0002420F" w:rsidRPr="00CE7F24">
        <w:rPr>
          <w:rFonts w:cs="Arial"/>
        </w:rPr>
        <w:t xml:space="preserve"> the court’s power to order</w:t>
      </w:r>
      <w:r w:rsidR="00411160" w:rsidRPr="00CE7F24">
        <w:rPr>
          <w:rFonts w:cs="Arial"/>
        </w:rPr>
        <w:t xml:space="preserve"> (and ostensibly justifies) the person’s detention.</w:t>
      </w:r>
    </w:p>
    <w:p w14:paraId="11FEEE0C" w14:textId="014C68C0" w:rsidR="001F6743" w:rsidRPr="00325EBF" w:rsidRDefault="00570AFA" w:rsidP="00325EBF">
      <w:pPr>
        <w:pStyle w:val="SubmissionNormal"/>
        <w:tabs>
          <w:tab w:val="clear" w:pos="720"/>
          <w:tab w:val="num" w:pos="567"/>
        </w:tabs>
        <w:ind w:left="567" w:hanging="567"/>
        <w:rPr>
          <w:rFonts w:cs="Arial"/>
          <w:sz w:val="22"/>
          <w:szCs w:val="22"/>
        </w:rPr>
      </w:pPr>
      <w:r>
        <w:t xml:space="preserve">A special hearing is run </w:t>
      </w:r>
      <w:r w:rsidR="00FF317E">
        <w:t>as m</w:t>
      </w:r>
      <w:r w:rsidR="00D46311">
        <w:t xml:space="preserve">uch as possible </w:t>
      </w:r>
      <w:r>
        <w:t xml:space="preserve">as if it were a </w:t>
      </w:r>
      <w:r w:rsidR="00410030">
        <w:t xml:space="preserve">normal </w:t>
      </w:r>
      <w:r>
        <w:t>criminal trial</w:t>
      </w:r>
      <w:r w:rsidR="009522DB">
        <w:t xml:space="preserve">, with the accused being deemed to have </w:t>
      </w:r>
      <w:r>
        <w:t>pleaded not guilty.</w:t>
      </w:r>
      <w:r>
        <w:rPr>
          <w:rStyle w:val="EndnoteReference"/>
        </w:rPr>
        <w:endnoteReference w:id="112"/>
      </w:r>
      <w:r w:rsidR="009522DB">
        <w:t xml:space="preserve"> However </w:t>
      </w:r>
      <w:r w:rsidR="0078393E">
        <w:t>it is a ‘</w:t>
      </w:r>
      <w:r w:rsidR="001F6743" w:rsidRPr="009522DB">
        <w:rPr>
          <w:rFonts w:cs="Arial"/>
        </w:rPr>
        <w:t>necessarily imperfect’ proc</w:t>
      </w:r>
      <w:r w:rsidR="0078393E">
        <w:rPr>
          <w:rFonts w:cs="Arial"/>
        </w:rPr>
        <w:t>ess</w:t>
      </w:r>
      <w:r w:rsidR="001F6743" w:rsidRPr="009522DB">
        <w:rPr>
          <w:rFonts w:cs="Arial"/>
        </w:rPr>
        <w:t>,</w:t>
      </w:r>
      <w:r w:rsidR="0078393E">
        <w:rPr>
          <w:rFonts w:cs="Arial"/>
        </w:rPr>
        <w:t xml:space="preserve"> as it</w:t>
      </w:r>
      <w:r w:rsidR="001F6743" w:rsidRPr="009522DB">
        <w:rPr>
          <w:rFonts w:cs="Arial"/>
        </w:rPr>
        <w:t xml:space="preserve"> involve</w:t>
      </w:r>
      <w:r w:rsidR="0078393E">
        <w:rPr>
          <w:rFonts w:cs="Arial"/>
        </w:rPr>
        <w:t>s</w:t>
      </w:r>
      <w:r w:rsidR="001F6743" w:rsidRPr="009522DB">
        <w:rPr>
          <w:rFonts w:cs="Arial"/>
        </w:rPr>
        <w:t xml:space="preserve"> </w:t>
      </w:r>
      <w:r w:rsidR="0078393E">
        <w:rPr>
          <w:rFonts w:cs="Arial"/>
        </w:rPr>
        <w:t>‘</w:t>
      </w:r>
      <w:r w:rsidR="001F6743" w:rsidRPr="009522DB">
        <w:rPr>
          <w:rFonts w:eastAsia="MS Mincho" w:cs="Arial"/>
        </w:rPr>
        <w:t>[t]rying an unfit person who may not be able to communicate properly or understand proceedings’</w:t>
      </w:r>
      <w:r w:rsidR="001F6743" w:rsidRPr="009522DB">
        <w:rPr>
          <w:rFonts w:cs="Arial"/>
        </w:rPr>
        <w:t>.</w:t>
      </w:r>
      <w:r w:rsidR="001F6743" w:rsidRPr="0081532C">
        <w:rPr>
          <w:rStyle w:val="EndnoteReference"/>
        </w:rPr>
        <w:endnoteReference w:id="113"/>
      </w:r>
      <w:r w:rsidR="001F6743" w:rsidRPr="009522DB">
        <w:rPr>
          <w:rFonts w:cs="Arial"/>
        </w:rPr>
        <w:t xml:space="preserve"> </w:t>
      </w:r>
      <w:r w:rsidR="00491B62">
        <w:rPr>
          <w:rFonts w:cs="Arial"/>
        </w:rPr>
        <w:t xml:space="preserve">Due to </w:t>
      </w:r>
      <w:r w:rsidR="00491B62" w:rsidRPr="002F3D93">
        <w:rPr>
          <w:rFonts w:cs="Arial"/>
        </w:rPr>
        <w:t>th</w:t>
      </w:r>
      <w:r w:rsidR="00491B62">
        <w:rPr>
          <w:rFonts w:cs="Arial"/>
        </w:rPr>
        <w:t>e impai</w:t>
      </w:r>
      <w:r w:rsidR="00325EBF">
        <w:rPr>
          <w:rFonts w:cs="Arial"/>
        </w:rPr>
        <w:t xml:space="preserve">rment which rendered </w:t>
      </w:r>
      <w:r w:rsidR="00491B62">
        <w:rPr>
          <w:rFonts w:cs="Arial"/>
        </w:rPr>
        <w:t>him or her</w:t>
      </w:r>
      <w:r w:rsidR="00491B62" w:rsidRPr="002F3D93">
        <w:rPr>
          <w:rFonts w:cs="Arial"/>
        </w:rPr>
        <w:t xml:space="preserve"> unfit to stand trial</w:t>
      </w:r>
      <w:r w:rsidR="00491B62">
        <w:rPr>
          <w:rFonts w:cs="Arial"/>
        </w:rPr>
        <w:t xml:space="preserve">, the defendant in a special hearing </w:t>
      </w:r>
      <w:r w:rsidR="00325EBF">
        <w:rPr>
          <w:rFonts w:cs="Arial"/>
        </w:rPr>
        <w:t xml:space="preserve">may not </w:t>
      </w:r>
      <w:r w:rsidR="00491B62" w:rsidRPr="002F3D93">
        <w:t xml:space="preserve">be able to understand the </w:t>
      </w:r>
      <w:r w:rsidR="00325EBF">
        <w:t>process</w:t>
      </w:r>
      <w:r w:rsidR="00491B62" w:rsidRPr="002F3D93">
        <w:t xml:space="preserve"> or the charge </w:t>
      </w:r>
      <w:r w:rsidR="00491B62">
        <w:t>against them</w:t>
      </w:r>
      <w:r w:rsidR="00325EBF">
        <w:t xml:space="preserve">, </w:t>
      </w:r>
      <w:r w:rsidR="00491B62" w:rsidRPr="002F3D93">
        <w:t>to adequately instruct their</w:t>
      </w:r>
      <w:r w:rsidR="00491B62">
        <w:t xml:space="preserve"> lawyer</w:t>
      </w:r>
      <w:r w:rsidR="00325EBF">
        <w:t>, or to provide relevant evidence in their own defence</w:t>
      </w:r>
      <w:r w:rsidR="00491B62">
        <w:t>.</w:t>
      </w:r>
      <w:r w:rsidR="00491B62" w:rsidRPr="002F3D93">
        <w:rPr>
          <w:rStyle w:val="EndnoteReference"/>
          <w:rFonts w:cs="Arial"/>
        </w:rPr>
        <w:endnoteReference w:id="114"/>
      </w:r>
    </w:p>
    <w:p w14:paraId="2D490481" w14:textId="3A533721" w:rsidR="000465FB" w:rsidRPr="00CA1E36" w:rsidRDefault="00CA1E36" w:rsidP="00CA1E36">
      <w:pPr>
        <w:pStyle w:val="SubmissionNormal"/>
        <w:tabs>
          <w:tab w:val="clear" w:pos="720"/>
          <w:tab w:val="num" w:pos="567"/>
        </w:tabs>
        <w:ind w:left="567" w:hanging="567"/>
        <w:rPr>
          <w:rFonts w:cs="Arial"/>
          <w:sz w:val="22"/>
          <w:szCs w:val="22"/>
        </w:rPr>
      </w:pPr>
      <w:r>
        <w:rPr>
          <w:rFonts w:cs="Arial"/>
        </w:rPr>
        <w:t xml:space="preserve">A special hearing therefore involves </w:t>
      </w:r>
      <w:r w:rsidR="001A4511" w:rsidRPr="002F3D93">
        <w:rPr>
          <w:rFonts w:cs="Arial"/>
        </w:rPr>
        <w:t>a determination of the case against the accused, but without the</w:t>
      </w:r>
      <w:r w:rsidR="009C796B">
        <w:rPr>
          <w:rFonts w:cs="Arial"/>
        </w:rPr>
        <w:t>ir</w:t>
      </w:r>
      <w:r w:rsidR="001A4511" w:rsidRPr="002F3D93">
        <w:rPr>
          <w:rFonts w:cs="Arial"/>
        </w:rPr>
        <w:t xml:space="preserve"> effective participation in one or more ways which would be required for a normal trial to be fair.</w:t>
      </w:r>
      <w:r w:rsidR="001A4511" w:rsidRPr="002F3D93">
        <w:rPr>
          <w:rStyle w:val="EndnoteReference"/>
          <w:rFonts w:cs="Arial"/>
        </w:rPr>
        <w:endnoteReference w:id="115"/>
      </w:r>
      <w:r w:rsidR="001A4511" w:rsidRPr="002F3D93">
        <w:rPr>
          <w:rFonts w:cs="Arial"/>
        </w:rPr>
        <w:t xml:space="preserve"> </w:t>
      </w:r>
      <w:r w:rsidR="00570AFA" w:rsidRPr="00CA1E36">
        <w:rPr>
          <w:rFonts w:cs="Arial"/>
        </w:rPr>
        <w:t xml:space="preserve">The </w:t>
      </w:r>
      <w:r w:rsidR="008A7FF2">
        <w:rPr>
          <w:rFonts w:cs="Arial"/>
        </w:rPr>
        <w:t xml:space="preserve">fact that </w:t>
      </w:r>
      <w:r w:rsidR="00570AFA" w:rsidRPr="00CA1E36">
        <w:rPr>
          <w:rFonts w:cs="Arial"/>
        </w:rPr>
        <w:t xml:space="preserve">‘unfit’ defendants </w:t>
      </w:r>
      <w:r w:rsidR="008A7FF2">
        <w:rPr>
          <w:rFonts w:cs="Arial"/>
        </w:rPr>
        <w:t xml:space="preserve">will generally be unable </w:t>
      </w:r>
      <w:r w:rsidR="00570AFA" w:rsidRPr="00CA1E36">
        <w:rPr>
          <w:rFonts w:cs="Arial"/>
        </w:rPr>
        <w:t>to give evi</w:t>
      </w:r>
      <w:r w:rsidR="00937972" w:rsidRPr="00CA1E36">
        <w:rPr>
          <w:rFonts w:cs="Arial"/>
        </w:rPr>
        <w:t xml:space="preserve">dence is </w:t>
      </w:r>
      <w:r w:rsidR="00570AFA" w:rsidRPr="00CA1E36">
        <w:rPr>
          <w:rFonts w:cs="Arial"/>
        </w:rPr>
        <w:t xml:space="preserve">particularly problematic when </w:t>
      </w:r>
      <w:r w:rsidR="00E16EB8">
        <w:rPr>
          <w:rFonts w:cs="Arial"/>
        </w:rPr>
        <w:t xml:space="preserve">without their testimony it is </w:t>
      </w:r>
      <w:r w:rsidR="00570AFA" w:rsidRPr="00CA1E36">
        <w:rPr>
          <w:rFonts w:cs="Arial"/>
        </w:rPr>
        <w:t xml:space="preserve">likely they will be found to have </w:t>
      </w:r>
      <w:r w:rsidR="0047131C">
        <w:rPr>
          <w:rFonts w:cs="Arial"/>
        </w:rPr>
        <w:t>‘</w:t>
      </w:r>
      <w:r w:rsidR="00570AFA" w:rsidRPr="00CA1E36">
        <w:rPr>
          <w:rFonts w:cs="Arial"/>
        </w:rPr>
        <w:t>committed</w:t>
      </w:r>
      <w:r w:rsidR="008A7FF2">
        <w:rPr>
          <w:rFonts w:cs="Arial"/>
        </w:rPr>
        <w:t xml:space="preserve"> the offence</w:t>
      </w:r>
      <w:r w:rsidR="0047131C">
        <w:rPr>
          <w:rFonts w:cs="Arial"/>
        </w:rPr>
        <w:t>’</w:t>
      </w:r>
      <w:r w:rsidR="00570AFA" w:rsidRPr="00CA1E36">
        <w:rPr>
          <w:rFonts w:cs="Arial"/>
        </w:rPr>
        <w:t>.</w:t>
      </w:r>
      <w:r w:rsidR="00570AFA" w:rsidRPr="00C21316">
        <w:rPr>
          <w:rStyle w:val="EndnoteReference"/>
          <w:rFonts w:cs="Arial"/>
        </w:rPr>
        <w:endnoteReference w:id="116"/>
      </w:r>
      <w:r w:rsidR="007647CF" w:rsidRPr="00CA1E36">
        <w:rPr>
          <w:rFonts w:cs="Arial"/>
        </w:rPr>
        <w:t xml:space="preserve"> </w:t>
      </w:r>
      <w:r w:rsidR="00C21316" w:rsidRPr="00CA1E36">
        <w:rPr>
          <w:rFonts w:cs="Arial"/>
        </w:rPr>
        <w:t>T</w:t>
      </w:r>
      <w:r w:rsidR="00570AFA" w:rsidRPr="00CA1E36">
        <w:rPr>
          <w:rFonts w:cs="Arial"/>
        </w:rPr>
        <w:t>he ‘inability of the accused to participate in a meaningful way</w:t>
      </w:r>
      <w:r w:rsidR="00B956BF" w:rsidRPr="00CA1E36">
        <w:rPr>
          <w:rFonts w:cs="Arial"/>
        </w:rPr>
        <w:t>’</w:t>
      </w:r>
      <w:r w:rsidR="00570AFA" w:rsidRPr="00CA1E36">
        <w:rPr>
          <w:rFonts w:cs="Arial"/>
        </w:rPr>
        <w:t xml:space="preserve"> </w:t>
      </w:r>
      <w:r w:rsidR="00B956BF" w:rsidRPr="00CA1E36">
        <w:rPr>
          <w:rFonts w:cs="Arial"/>
        </w:rPr>
        <w:t>‘</w:t>
      </w:r>
      <w:r w:rsidR="00570AFA" w:rsidRPr="00CA1E36">
        <w:rPr>
          <w:rFonts w:cs="Arial"/>
        </w:rPr>
        <w:t>diminishes the ability of the court to test the case made against the accused’.</w:t>
      </w:r>
      <w:r w:rsidR="00570AFA" w:rsidRPr="00C21316">
        <w:rPr>
          <w:rStyle w:val="EndnoteReference"/>
        </w:rPr>
        <w:endnoteReference w:id="117"/>
      </w:r>
      <w:r w:rsidR="007D407E" w:rsidRPr="00CA1E36">
        <w:rPr>
          <w:rFonts w:ascii="Times-Roman" w:hAnsi="Times-Roman" w:cs="Times-Roman"/>
        </w:rPr>
        <w:t xml:space="preserve"> </w:t>
      </w:r>
    </w:p>
    <w:p w14:paraId="04E44953" w14:textId="3EAF1D05" w:rsidR="00324862" w:rsidRPr="007C723C" w:rsidRDefault="00B956BF" w:rsidP="00A51C1A">
      <w:pPr>
        <w:pStyle w:val="SubmissionNormal"/>
        <w:tabs>
          <w:tab w:val="clear" w:pos="720"/>
          <w:tab w:val="num" w:pos="567"/>
        </w:tabs>
        <w:ind w:left="567" w:hanging="567"/>
        <w:rPr>
          <w:rFonts w:cs="Arial"/>
        </w:rPr>
      </w:pPr>
      <w:r>
        <w:rPr>
          <w:rFonts w:cs="Arial"/>
        </w:rPr>
        <w:t xml:space="preserve">It also </w:t>
      </w:r>
      <w:r w:rsidR="007D407E" w:rsidRPr="007C723C">
        <w:rPr>
          <w:rFonts w:cs="Arial"/>
        </w:rPr>
        <w:t>results in the jury in a special hea</w:t>
      </w:r>
      <w:r w:rsidR="00937972" w:rsidRPr="007C723C">
        <w:rPr>
          <w:rFonts w:cs="Arial"/>
        </w:rPr>
        <w:t>ring having to reach a finding</w:t>
      </w:r>
      <w:r w:rsidR="007D407E" w:rsidRPr="007C723C">
        <w:rPr>
          <w:rFonts w:cs="Arial"/>
        </w:rPr>
        <w:t xml:space="preserve"> </w:t>
      </w:r>
      <w:r w:rsidR="00937972" w:rsidRPr="007C723C">
        <w:rPr>
          <w:rFonts w:cs="Arial"/>
        </w:rPr>
        <w:t xml:space="preserve">as to whether the unfit accused </w:t>
      </w:r>
      <w:r w:rsidR="003F0DA8">
        <w:rPr>
          <w:rFonts w:cs="Arial"/>
        </w:rPr>
        <w:t xml:space="preserve">is not guilty, not </w:t>
      </w:r>
      <w:r w:rsidR="003F0DA8" w:rsidRPr="007C723C">
        <w:rPr>
          <w:rFonts w:cs="Arial"/>
        </w:rPr>
        <w:t>guilty by reas</w:t>
      </w:r>
      <w:r w:rsidR="003F0DA8">
        <w:rPr>
          <w:rFonts w:cs="Arial"/>
        </w:rPr>
        <w:t xml:space="preserve">on of mental impairment/illness, or </w:t>
      </w:r>
      <w:r w:rsidR="009312C6">
        <w:rPr>
          <w:rFonts w:cs="Arial"/>
        </w:rPr>
        <w:t>‘</w:t>
      </w:r>
      <w:r w:rsidR="00937972" w:rsidRPr="007C723C">
        <w:rPr>
          <w:rFonts w:cs="Arial"/>
        </w:rPr>
        <w:t xml:space="preserve">committed </w:t>
      </w:r>
      <w:r w:rsidR="00937972" w:rsidRPr="00A50772">
        <w:rPr>
          <w:rFonts w:cs="Arial"/>
        </w:rPr>
        <w:t>the offence charged</w:t>
      </w:r>
      <w:r w:rsidR="009312C6" w:rsidRPr="00A50772">
        <w:rPr>
          <w:rFonts w:cs="Arial"/>
        </w:rPr>
        <w:t>’</w:t>
      </w:r>
      <w:r w:rsidR="00937972" w:rsidRPr="00A50772">
        <w:rPr>
          <w:rFonts w:cs="Arial"/>
        </w:rPr>
        <w:t xml:space="preserve"> </w:t>
      </w:r>
      <w:r w:rsidR="00422BAC" w:rsidRPr="00A50772">
        <w:rPr>
          <w:rFonts w:cs="Arial"/>
        </w:rPr>
        <w:t xml:space="preserve">(or </w:t>
      </w:r>
      <w:r w:rsidRPr="00A50772">
        <w:rPr>
          <w:rFonts w:cs="Arial"/>
        </w:rPr>
        <w:t xml:space="preserve">an </w:t>
      </w:r>
      <w:r w:rsidR="00422BAC" w:rsidRPr="00A50772">
        <w:rPr>
          <w:rFonts w:cs="Arial"/>
        </w:rPr>
        <w:t>alternative</w:t>
      </w:r>
      <w:r w:rsidRPr="00A50772">
        <w:rPr>
          <w:rFonts w:cs="Arial"/>
        </w:rPr>
        <w:t xml:space="preserve"> </w:t>
      </w:r>
      <w:r w:rsidRPr="00A50772">
        <w:rPr>
          <w:rFonts w:cs="Arial"/>
        </w:rPr>
        <w:lastRenderedPageBreak/>
        <w:t>offence)</w:t>
      </w:r>
      <w:r w:rsidR="00401125" w:rsidRPr="00A50772">
        <w:rPr>
          <w:rFonts w:cs="Arial"/>
        </w:rPr>
        <w:t>,</w:t>
      </w:r>
      <w:r w:rsidR="00422BAC" w:rsidRPr="00A50772">
        <w:rPr>
          <w:rFonts w:cs="Arial"/>
        </w:rPr>
        <w:t xml:space="preserve"> on limited evidence</w:t>
      </w:r>
      <w:r w:rsidR="000465FB" w:rsidRPr="00A50772">
        <w:rPr>
          <w:rFonts w:cs="Arial"/>
        </w:rPr>
        <w:t>.</w:t>
      </w:r>
      <w:r w:rsidR="000465FB" w:rsidRPr="00A50772">
        <w:rPr>
          <w:rStyle w:val="EndnoteReference"/>
          <w:rFonts w:cs="Arial"/>
          <w:sz w:val="24"/>
        </w:rPr>
        <w:endnoteReference w:id="118"/>
      </w:r>
      <w:r w:rsidR="003F0DA8" w:rsidRPr="00A50772">
        <w:rPr>
          <w:rFonts w:cs="Arial"/>
        </w:rPr>
        <w:t xml:space="preserve"> </w:t>
      </w:r>
      <w:r w:rsidR="007B1FF6" w:rsidRPr="00A50772">
        <w:rPr>
          <w:rFonts w:cs="Arial"/>
        </w:rPr>
        <w:t>Adverse f</w:t>
      </w:r>
      <w:r w:rsidR="00B22D1A" w:rsidRPr="00A50772">
        <w:rPr>
          <w:rFonts w:cs="Arial"/>
        </w:rPr>
        <w:t xml:space="preserve">indings by a jury at a special </w:t>
      </w:r>
      <w:r w:rsidR="000158BD" w:rsidRPr="00A50772">
        <w:rPr>
          <w:rFonts w:cs="Arial"/>
        </w:rPr>
        <w:t>hearing cannot lead to a</w:t>
      </w:r>
      <w:r w:rsidR="00C74C7B">
        <w:rPr>
          <w:rFonts w:cs="Arial"/>
        </w:rPr>
        <w:t>ny</w:t>
      </w:r>
      <w:r w:rsidR="000158BD" w:rsidRPr="00A50772">
        <w:rPr>
          <w:rFonts w:cs="Arial"/>
        </w:rPr>
        <w:t xml:space="preserve"> </w:t>
      </w:r>
      <w:r w:rsidR="00882344" w:rsidRPr="00A50772">
        <w:rPr>
          <w:rFonts w:cs="Arial"/>
        </w:rPr>
        <w:t>conviction.</w:t>
      </w:r>
      <w:r w:rsidR="00882344" w:rsidRPr="00A50772">
        <w:rPr>
          <w:rStyle w:val="EndnoteReference"/>
          <w:rFonts w:cs="Arial"/>
        </w:rPr>
        <w:endnoteReference w:id="119"/>
      </w:r>
      <w:r w:rsidR="00882344" w:rsidRPr="00A50772">
        <w:rPr>
          <w:rFonts w:cs="Arial"/>
        </w:rPr>
        <w:t xml:space="preserve"> However</w:t>
      </w:r>
      <w:r w:rsidR="00BD69BA" w:rsidRPr="00A50772">
        <w:rPr>
          <w:rFonts w:cs="Arial"/>
        </w:rPr>
        <w:t xml:space="preserve"> </w:t>
      </w:r>
      <w:r w:rsidR="00AF44FC" w:rsidRPr="00A50772">
        <w:rPr>
          <w:rFonts w:cs="Arial"/>
        </w:rPr>
        <w:t>they</w:t>
      </w:r>
      <w:r w:rsidR="00AF44FC">
        <w:rPr>
          <w:rFonts w:cs="Arial"/>
        </w:rPr>
        <w:t xml:space="preserve"> </w:t>
      </w:r>
      <w:r w:rsidR="00B22D1A">
        <w:rPr>
          <w:rFonts w:cs="Arial"/>
        </w:rPr>
        <w:t>trigger</w:t>
      </w:r>
      <w:r w:rsidR="00DB422E" w:rsidRPr="007C723C">
        <w:rPr>
          <w:rFonts w:cs="Arial"/>
        </w:rPr>
        <w:t xml:space="preserve"> the court’s power to ultimately </w:t>
      </w:r>
      <w:r w:rsidR="00697717">
        <w:rPr>
          <w:rFonts w:cs="Arial"/>
        </w:rPr>
        <w:t>order that the accused be detained (</w:t>
      </w:r>
      <w:r w:rsidR="00DB422E" w:rsidRPr="007C723C">
        <w:rPr>
          <w:rFonts w:cs="Arial"/>
        </w:rPr>
        <w:t>potentially indefinite</w:t>
      </w:r>
      <w:r w:rsidR="00697717">
        <w:rPr>
          <w:rFonts w:cs="Arial"/>
        </w:rPr>
        <w:t>ly)</w:t>
      </w:r>
      <w:r w:rsidR="00DB422E" w:rsidRPr="007C723C">
        <w:rPr>
          <w:rFonts w:cs="Arial"/>
        </w:rPr>
        <w:t>.</w:t>
      </w:r>
      <w:r w:rsidR="00DB422E" w:rsidRPr="007C723C">
        <w:rPr>
          <w:rStyle w:val="EndnoteReference"/>
          <w:rFonts w:cs="Arial"/>
          <w:sz w:val="24"/>
        </w:rPr>
        <w:endnoteReference w:id="120"/>
      </w:r>
      <w:r w:rsidR="00DB422E" w:rsidRPr="007C723C">
        <w:rPr>
          <w:rFonts w:cs="Arial"/>
        </w:rPr>
        <w:t xml:space="preserve"> </w:t>
      </w:r>
    </w:p>
    <w:p w14:paraId="4F1114C3" w14:textId="1FAA8348" w:rsidR="0081532C" w:rsidRPr="00147D6D" w:rsidRDefault="007A103A" w:rsidP="00147D6D">
      <w:pPr>
        <w:pStyle w:val="SubmissionNormal"/>
        <w:tabs>
          <w:tab w:val="clear" w:pos="720"/>
          <w:tab w:val="num" w:pos="567"/>
        </w:tabs>
        <w:ind w:left="567" w:hanging="567"/>
        <w:rPr>
          <w:rFonts w:cs="Arial"/>
        </w:rPr>
      </w:pPr>
      <w:r>
        <w:rPr>
          <w:rFonts w:cs="Arial"/>
        </w:rPr>
        <w:t xml:space="preserve">In the Commission’s view </w:t>
      </w:r>
      <w:r w:rsidR="008A3EC7" w:rsidRPr="007C723C">
        <w:rPr>
          <w:rFonts w:cs="Arial"/>
        </w:rPr>
        <w:t>special hearing</w:t>
      </w:r>
      <w:r w:rsidR="00AD4DAF">
        <w:rPr>
          <w:rFonts w:cs="Arial"/>
        </w:rPr>
        <w:t>s</w:t>
      </w:r>
      <w:r w:rsidR="0081532C" w:rsidRPr="007C723C">
        <w:rPr>
          <w:rFonts w:cs="Arial"/>
        </w:rPr>
        <w:t xml:space="preserve"> </w:t>
      </w:r>
      <w:r w:rsidR="008A3EC7" w:rsidRPr="007C723C">
        <w:rPr>
          <w:rFonts w:cs="Arial"/>
        </w:rPr>
        <w:t xml:space="preserve">do </w:t>
      </w:r>
      <w:r w:rsidR="009D0822" w:rsidRPr="007C723C">
        <w:rPr>
          <w:rFonts w:cs="Arial"/>
        </w:rPr>
        <w:t>not constitute a fair trial under intern</w:t>
      </w:r>
      <w:r w:rsidR="009D4C83">
        <w:rPr>
          <w:rFonts w:cs="Arial"/>
        </w:rPr>
        <w:t xml:space="preserve">ational human rights law or </w:t>
      </w:r>
      <w:r w:rsidR="00057A5D">
        <w:rPr>
          <w:rFonts w:cs="Arial"/>
        </w:rPr>
        <w:t xml:space="preserve">the </w:t>
      </w:r>
      <w:r w:rsidR="0081532C" w:rsidRPr="007C723C">
        <w:rPr>
          <w:rFonts w:cs="Arial"/>
        </w:rPr>
        <w:t xml:space="preserve">Australian </w:t>
      </w:r>
      <w:r w:rsidR="009D0822" w:rsidRPr="007C723C">
        <w:rPr>
          <w:rFonts w:cs="Arial"/>
        </w:rPr>
        <w:t>common law.</w:t>
      </w:r>
      <w:r w:rsidR="00D44D8E" w:rsidRPr="007C723C">
        <w:rPr>
          <w:rFonts w:cs="Arial"/>
        </w:rPr>
        <w:t xml:space="preserve"> </w:t>
      </w:r>
      <w:r w:rsidR="000D4853" w:rsidRPr="007C723C">
        <w:rPr>
          <w:rFonts w:cs="Arial"/>
        </w:rPr>
        <w:t>They</w:t>
      </w:r>
      <w:r w:rsidR="00414569" w:rsidRPr="007C723C">
        <w:rPr>
          <w:rFonts w:cs="Arial"/>
        </w:rPr>
        <w:t xml:space="preserve"> </w:t>
      </w:r>
      <w:r w:rsidR="000D4853" w:rsidRPr="007C723C">
        <w:rPr>
          <w:rFonts w:cs="Arial"/>
        </w:rPr>
        <w:t xml:space="preserve">will often if not always involve a compromise of the minimum guarantees (which require participation of the accused) </w:t>
      </w:r>
      <w:r w:rsidR="00414569" w:rsidRPr="007C723C">
        <w:rPr>
          <w:rFonts w:cs="Arial"/>
        </w:rPr>
        <w:t>that all people are entitled to under article 14(3) of the ICCPR.</w:t>
      </w:r>
      <w:r w:rsidR="008717E7" w:rsidRPr="007C723C">
        <w:rPr>
          <w:rFonts w:cs="Arial"/>
        </w:rPr>
        <w:t xml:space="preserve"> </w:t>
      </w:r>
      <w:r w:rsidR="0002551D" w:rsidRPr="00147D6D">
        <w:rPr>
          <w:rFonts w:cs="Arial"/>
        </w:rPr>
        <w:t xml:space="preserve">They </w:t>
      </w:r>
      <w:r w:rsidR="000827C0" w:rsidRPr="00147D6D">
        <w:rPr>
          <w:rFonts w:cs="Arial"/>
        </w:rPr>
        <w:t xml:space="preserve">necessarily </w:t>
      </w:r>
      <w:r w:rsidR="0002551D" w:rsidRPr="00147D6D">
        <w:rPr>
          <w:rFonts w:cs="Arial"/>
        </w:rPr>
        <w:t xml:space="preserve">involve a compromise of the right of people with disability </w:t>
      </w:r>
      <w:r w:rsidR="00E32E71">
        <w:t>to equality before and under the law</w:t>
      </w:r>
      <w:r w:rsidR="00E32E71" w:rsidRPr="00147D6D">
        <w:rPr>
          <w:rFonts w:cs="Arial"/>
        </w:rPr>
        <w:t xml:space="preserve"> and </w:t>
      </w:r>
      <w:r w:rsidR="0002551D" w:rsidRPr="00147D6D">
        <w:rPr>
          <w:rFonts w:cs="Arial"/>
        </w:rPr>
        <w:t xml:space="preserve">effective access to justice </w:t>
      </w:r>
      <w:r w:rsidR="0002551D" w:rsidRPr="00147D6D">
        <w:rPr>
          <w:rFonts w:cs="Arial"/>
          <w:i/>
        </w:rPr>
        <w:t>on an equal basis with others</w:t>
      </w:r>
      <w:r w:rsidR="0002551D" w:rsidRPr="00147D6D">
        <w:rPr>
          <w:rFonts w:cs="Arial"/>
        </w:rPr>
        <w:t xml:space="preserve">, as people </w:t>
      </w:r>
      <w:r w:rsidR="005A1767" w:rsidRPr="00147D6D">
        <w:rPr>
          <w:rFonts w:cs="Arial"/>
        </w:rPr>
        <w:t xml:space="preserve">without </w:t>
      </w:r>
      <w:r w:rsidR="0002551D" w:rsidRPr="00147D6D">
        <w:rPr>
          <w:rFonts w:cs="Arial"/>
        </w:rPr>
        <w:t xml:space="preserve">disability are not subjected to </w:t>
      </w:r>
      <w:r w:rsidR="00E32E71" w:rsidRPr="00147D6D">
        <w:rPr>
          <w:rFonts w:cs="Arial"/>
        </w:rPr>
        <w:t xml:space="preserve">these ‘necessarily imperfect’ </w:t>
      </w:r>
      <w:r w:rsidR="008717E7" w:rsidRPr="00147D6D">
        <w:rPr>
          <w:rFonts w:cs="Arial"/>
        </w:rPr>
        <w:t xml:space="preserve">fact-finding </w:t>
      </w:r>
      <w:r w:rsidR="00E32E71" w:rsidRPr="00147D6D">
        <w:rPr>
          <w:rFonts w:cs="Arial"/>
        </w:rPr>
        <w:t xml:space="preserve">processes. </w:t>
      </w:r>
    </w:p>
    <w:p w14:paraId="7E70102F" w14:textId="7EC3CDF9" w:rsidR="00FD7CAF" w:rsidRPr="008717E7" w:rsidRDefault="00FD7CAF" w:rsidP="00FD7CAF">
      <w:pPr>
        <w:pStyle w:val="SubmissionNormal"/>
        <w:tabs>
          <w:tab w:val="clear" w:pos="720"/>
          <w:tab w:val="num" w:pos="567"/>
        </w:tabs>
        <w:ind w:left="567" w:hanging="567"/>
        <w:rPr>
          <w:rFonts w:cs="Arial"/>
        </w:rPr>
      </w:pPr>
      <w:r>
        <w:rPr>
          <w:rFonts w:cs="Arial"/>
        </w:rPr>
        <w:t>The</w:t>
      </w:r>
      <w:r w:rsidR="00134A04">
        <w:rPr>
          <w:rFonts w:cs="Arial"/>
        </w:rPr>
        <w:t>se</w:t>
      </w:r>
      <w:r>
        <w:rPr>
          <w:rFonts w:cs="Arial"/>
        </w:rPr>
        <w:t xml:space="preserve"> special</w:t>
      </w:r>
      <w:r w:rsidR="00134A04">
        <w:rPr>
          <w:rFonts w:cs="Arial"/>
        </w:rPr>
        <w:t xml:space="preserve"> hearings also appear</w:t>
      </w:r>
      <w:r>
        <w:rPr>
          <w:rFonts w:cs="Arial"/>
        </w:rPr>
        <w:t xml:space="preserve"> to undermine the common law principle (</w:t>
      </w:r>
      <w:r w:rsidRPr="008717E7">
        <w:rPr>
          <w:rFonts w:cs="Arial"/>
        </w:rPr>
        <w:t>underpinning the fitness to stand trial requirement) that ‘</w:t>
      </w:r>
      <w:r w:rsidRPr="008717E7">
        <w:t>a trial is not held when the defendant’s abilities are so limited that the trial would be unfair or unjust</w:t>
      </w:r>
      <w:r w:rsidR="002A5FA3">
        <w:t>’.</w:t>
      </w:r>
      <w:r w:rsidRPr="008717E7">
        <w:rPr>
          <w:rStyle w:val="EndnoteReference"/>
        </w:rPr>
        <w:endnoteReference w:id="121"/>
      </w:r>
    </w:p>
    <w:p w14:paraId="1B3E81C9" w14:textId="37FB957D" w:rsidR="0081532C" w:rsidRDefault="00E32E71" w:rsidP="00AC3BA5">
      <w:pPr>
        <w:pStyle w:val="SubmissionNormal"/>
        <w:tabs>
          <w:tab w:val="clear" w:pos="720"/>
          <w:tab w:val="num" w:pos="567"/>
        </w:tabs>
        <w:ind w:left="567" w:hanging="567"/>
        <w:rPr>
          <w:rFonts w:cs="Arial"/>
        </w:rPr>
      </w:pPr>
      <w:r>
        <w:rPr>
          <w:rFonts w:cs="Arial"/>
        </w:rPr>
        <w:t>Special hearings also do not provide a</w:t>
      </w:r>
      <w:r w:rsidR="007F5FDC">
        <w:rPr>
          <w:rFonts w:cs="Arial"/>
        </w:rPr>
        <w:t>n effective</w:t>
      </w:r>
      <w:r>
        <w:rPr>
          <w:rFonts w:cs="Arial"/>
        </w:rPr>
        <w:t xml:space="preserve"> </w:t>
      </w:r>
      <w:r w:rsidR="009D0822">
        <w:rPr>
          <w:rFonts w:cs="Arial"/>
        </w:rPr>
        <w:t>safeguard against i</w:t>
      </w:r>
      <w:r>
        <w:rPr>
          <w:rFonts w:cs="Arial"/>
        </w:rPr>
        <w:t xml:space="preserve">ndefinite detention. Rather, adverse findings at a special hearing trigger the court’s power to order detention of the accused, but </w:t>
      </w:r>
      <w:r w:rsidR="00202564">
        <w:rPr>
          <w:rFonts w:cs="Arial"/>
        </w:rPr>
        <w:t xml:space="preserve">generally </w:t>
      </w:r>
      <w:r>
        <w:rPr>
          <w:rFonts w:cs="Arial"/>
        </w:rPr>
        <w:t>do not circumscribe the length of that detention (</w:t>
      </w:r>
      <w:r w:rsidR="00F25AA7">
        <w:rPr>
          <w:rFonts w:cs="Arial"/>
        </w:rPr>
        <w:t>see</w:t>
      </w:r>
      <w:r>
        <w:rPr>
          <w:rFonts w:cs="Arial"/>
        </w:rPr>
        <w:t xml:space="preserve"> the discussion</w:t>
      </w:r>
      <w:r w:rsidR="0081532C" w:rsidRPr="00E32E71">
        <w:rPr>
          <w:rFonts w:cs="Arial"/>
        </w:rPr>
        <w:t xml:space="preserve"> in the section immediately below).</w:t>
      </w:r>
    </w:p>
    <w:p w14:paraId="65B81879" w14:textId="1F70EFA6" w:rsidR="007F3271" w:rsidRDefault="00FD7CAF" w:rsidP="007F3271">
      <w:pPr>
        <w:pStyle w:val="SubmissionNormal"/>
        <w:tabs>
          <w:tab w:val="clear" w:pos="720"/>
          <w:tab w:val="num" w:pos="567"/>
        </w:tabs>
        <w:ind w:left="567" w:hanging="567"/>
        <w:rPr>
          <w:rFonts w:cs="Arial"/>
        </w:rPr>
      </w:pPr>
      <w:r>
        <w:rPr>
          <w:rFonts w:cs="Arial"/>
        </w:rPr>
        <w:t>Given these limitations, the Commission</w:t>
      </w:r>
      <w:r w:rsidRPr="007D407E">
        <w:rPr>
          <w:rFonts w:cs="Arial"/>
        </w:rPr>
        <w:t xml:space="preserve"> </w:t>
      </w:r>
      <w:r>
        <w:t>emphasises that special hearings</w:t>
      </w:r>
      <w:r w:rsidRPr="00351C76">
        <w:t xml:space="preserve"> </w:t>
      </w:r>
      <w:r w:rsidRPr="00AC3BA5">
        <w:rPr>
          <w:rFonts w:cs="Arial"/>
        </w:rPr>
        <w:t>should</w:t>
      </w:r>
      <w:r>
        <w:t xml:space="preserve"> not be viewed as </w:t>
      </w:r>
      <w:r w:rsidRPr="00351C76">
        <w:t xml:space="preserve">an equal alternative </w:t>
      </w:r>
      <w:r>
        <w:t>to a full criminal trial</w:t>
      </w:r>
      <w:r w:rsidRPr="00351C76">
        <w:t xml:space="preserve"> for people with cognitive and/or psychiatric impairmen</w:t>
      </w:r>
      <w:r>
        <w:t>t.</w:t>
      </w:r>
      <w:r w:rsidR="007F3271">
        <w:t xml:space="preserve"> </w:t>
      </w:r>
      <w:r w:rsidR="007F3271">
        <w:rPr>
          <w:rFonts w:cs="Arial"/>
        </w:rPr>
        <w:t>A full criminal trial contains safeguards which</w:t>
      </w:r>
      <w:r w:rsidR="00896E8F">
        <w:rPr>
          <w:rFonts w:cs="Arial"/>
        </w:rPr>
        <w:t xml:space="preserve"> best protect the rights of all </w:t>
      </w:r>
      <w:r w:rsidR="00B16DD3">
        <w:rPr>
          <w:rFonts w:cs="Arial"/>
        </w:rPr>
        <w:t>accus</w:t>
      </w:r>
      <w:r w:rsidR="00C45A4D">
        <w:rPr>
          <w:rFonts w:cs="Arial"/>
        </w:rPr>
        <w:t>ed, and therefore should be the process adopted</w:t>
      </w:r>
      <w:r w:rsidR="00B16DD3">
        <w:rPr>
          <w:rFonts w:cs="Arial"/>
        </w:rPr>
        <w:t xml:space="preserve">, </w:t>
      </w:r>
      <w:r w:rsidR="00DD7D52">
        <w:rPr>
          <w:rFonts w:cs="Arial"/>
        </w:rPr>
        <w:t xml:space="preserve">with necessary modifications, whenever possible.  As discussed below, if it is not possible to conduct a full criminal trial, a person should not be subject to criminal punishment, and should only be detained if necessary for treatment, rehabilitation and the protection of the individual and/or the community. </w:t>
      </w:r>
    </w:p>
    <w:p w14:paraId="6D4A09F5" w14:textId="6907BA3E" w:rsidR="00570AFA" w:rsidRDefault="00570AFA" w:rsidP="00052879">
      <w:pPr>
        <w:pStyle w:val="Heading2"/>
      </w:pPr>
      <w:bookmarkStart w:id="91" w:name="_Toc447200193"/>
      <w:r>
        <w:t xml:space="preserve">Lack of appropriate </w:t>
      </w:r>
      <w:r w:rsidR="004B7BF8">
        <w:t xml:space="preserve">and effective </w:t>
      </w:r>
      <w:r w:rsidR="007B0F2A">
        <w:t>limits on detention for people</w:t>
      </w:r>
      <w:r>
        <w:t xml:space="preserve"> found unfit to stand trial or not guilty by reason of mental impairment</w:t>
      </w:r>
      <w:bookmarkEnd w:id="91"/>
    </w:p>
    <w:p w14:paraId="58175B04" w14:textId="07C622B9" w:rsidR="00570AFA" w:rsidRPr="00EF37CB" w:rsidRDefault="00570AFA" w:rsidP="00AC3BA5">
      <w:pPr>
        <w:pStyle w:val="SubmissionNormal"/>
        <w:tabs>
          <w:tab w:val="clear" w:pos="720"/>
          <w:tab w:val="num" w:pos="567"/>
        </w:tabs>
        <w:ind w:left="567" w:hanging="567"/>
        <w:rPr>
          <w:rFonts w:cs="Arial"/>
        </w:rPr>
      </w:pPr>
      <w:r>
        <w:rPr>
          <w:rFonts w:cs="Arial"/>
        </w:rPr>
        <w:t xml:space="preserve">People with cognitive and/or psychiatric impairment who are charged with a crime may be found unfit to stand trial (and put through a special hearing procedure), or be </w:t>
      </w:r>
      <w:r w:rsidR="000A650F">
        <w:rPr>
          <w:rFonts w:cs="Arial"/>
        </w:rPr>
        <w:t xml:space="preserve">tried and </w:t>
      </w:r>
      <w:r>
        <w:rPr>
          <w:rFonts w:cs="Arial"/>
        </w:rPr>
        <w:t xml:space="preserve">found not guilty by reason of mental impairment. In both situations, </w:t>
      </w:r>
      <w:r w:rsidR="001613CC">
        <w:rPr>
          <w:rFonts w:cs="Arial"/>
        </w:rPr>
        <w:t xml:space="preserve">despite the fact they have not been convicted of any offence, </w:t>
      </w:r>
      <w:r>
        <w:rPr>
          <w:rFonts w:cs="Arial"/>
        </w:rPr>
        <w:t xml:space="preserve">these people are at risk of orders </w:t>
      </w:r>
      <w:r w:rsidR="00D02C97">
        <w:rPr>
          <w:rFonts w:cs="Arial"/>
        </w:rPr>
        <w:t xml:space="preserve">for </w:t>
      </w:r>
      <w:r>
        <w:rPr>
          <w:rFonts w:cs="Arial"/>
        </w:rPr>
        <w:t>their indefinite detention, or detention for longer than if they had been found guilty and sentenced</w:t>
      </w:r>
      <w:r w:rsidR="00143E6A">
        <w:rPr>
          <w:rFonts w:cs="Arial"/>
        </w:rPr>
        <w:t xml:space="preserve"> to imprisonment</w:t>
      </w:r>
      <w:r>
        <w:rPr>
          <w:rFonts w:cs="Arial"/>
        </w:rPr>
        <w:t xml:space="preserve">. In 2000 the Chief Justice of the High Court recognised that in Australia </w:t>
      </w:r>
      <w:r w:rsidRPr="00EF37CB">
        <w:rPr>
          <w:rFonts w:cs="Arial"/>
        </w:rPr>
        <w:t>‘</w:t>
      </w:r>
      <w:r w:rsidRPr="00EF37CB">
        <w:t xml:space="preserve">the </w:t>
      </w:r>
      <w:r w:rsidRPr="00D5202B">
        <w:rPr>
          <w:i/>
        </w:rPr>
        <w:t>usual</w:t>
      </w:r>
      <w:r w:rsidRPr="00EF37CB">
        <w:t xml:space="preserve"> consequence of a finding that a person is unfit to plead is indefinite incarceration without trial’.</w:t>
      </w:r>
      <w:r w:rsidRPr="00EF37CB">
        <w:rPr>
          <w:rStyle w:val="EndnoteReference"/>
        </w:rPr>
        <w:endnoteReference w:id="122"/>
      </w:r>
    </w:p>
    <w:p w14:paraId="1270790B" w14:textId="6CC1D015" w:rsidR="00883B58" w:rsidRPr="00170460" w:rsidRDefault="00883B58" w:rsidP="00717C4C">
      <w:pPr>
        <w:pStyle w:val="SubmissionNormal"/>
        <w:tabs>
          <w:tab w:val="clear" w:pos="720"/>
          <w:tab w:val="num" w:pos="567"/>
        </w:tabs>
        <w:ind w:left="567" w:hanging="567"/>
        <w:rPr>
          <w:rFonts w:cs="Arial"/>
        </w:rPr>
      </w:pPr>
      <w:r>
        <w:rPr>
          <w:rFonts w:cs="Arial"/>
        </w:rPr>
        <w:t xml:space="preserve">The ADJC </w:t>
      </w:r>
      <w:r w:rsidRPr="00170460">
        <w:rPr>
          <w:rFonts w:cs="Arial"/>
        </w:rPr>
        <w:t xml:space="preserve">concluded </w:t>
      </w:r>
      <w:r>
        <w:rPr>
          <w:rFonts w:cs="Arial"/>
        </w:rPr>
        <w:t xml:space="preserve">in 2012 </w:t>
      </w:r>
      <w:r w:rsidRPr="00170460">
        <w:rPr>
          <w:rFonts w:cs="Arial"/>
        </w:rPr>
        <w:t xml:space="preserve">that indefinite detention </w:t>
      </w:r>
      <w:r>
        <w:rPr>
          <w:rFonts w:cs="Arial"/>
        </w:rPr>
        <w:t xml:space="preserve">of people with cognitive impairment </w:t>
      </w:r>
      <w:r w:rsidRPr="00170460">
        <w:rPr>
          <w:rFonts w:cs="Arial"/>
        </w:rPr>
        <w:t xml:space="preserve">was possible in </w:t>
      </w:r>
      <w:r>
        <w:rPr>
          <w:rFonts w:cs="Arial"/>
        </w:rPr>
        <w:t xml:space="preserve">all but two </w:t>
      </w:r>
      <w:r w:rsidRPr="00170460">
        <w:rPr>
          <w:rFonts w:cs="Arial"/>
        </w:rPr>
        <w:t>jurisdictions.</w:t>
      </w:r>
      <w:r w:rsidRPr="00883B58">
        <w:rPr>
          <w:rStyle w:val="EndnoteReference"/>
        </w:rPr>
        <w:endnoteReference w:id="123"/>
      </w:r>
      <w:r w:rsidRPr="00170460">
        <w:rPr>
          <w:rFonts w:cs="Arial"/>
        </w:rPr>
        <w:t xml:space="preserve"> </w:t>
      </w:r>
    </w:p>
    <w:p w14:paraId="27494429" w14:textId="710274C9" w:rsidR="00570AFA" w:rsidRPr="00F00555" w:rsidRDefault="00717C4C" w:rsidP="00F00555">
      <w:pPr>
        <w:pStyle w:val="SubmissionNormal"/>
        <w:tabs>
          <w:tab w:val="clear" w:pos="720"/>
          <w:tab w:val="num" w:pos="567"/>
        </w:tabs>
        <w:ind w:left="567" w:hanging="567"/>
        <w:rPr>
          <w:rFonts w:cs="Arial"/>
          <w:sz w:val="22"/>
          <w:szCs w:val="22"/>
        </w:rPr>
      </w:pPr>
      <w:r>
        <w:rPr>
          <w:rFonts w:cs="Arial"/>
        </w:rPr>
        <w:t xml:space="preserve">The ALRC in 2014 </w:t>
      </w:r>
      <w:r w:rsidR="00570AFA">
        <w:rPr>
          <w:rFonts w:cs="Arial"/>
        </w:rPr>
        <w:t xml:space="preserve">examined the legislation across Australia providing for detention of people </w:t>
      </w:r>
      <w:r w:rsidR="00570AFA" w:rsidRPr="00C347A4">
        <w:rPr>
          <w:rFonts w:cs="Arial"/>
        </w:rPr>
        <w:t xml:space="preserve">found unfit to stand trial. </w:t>
      </w:r>
      <w:r w:rsidR="00F2348B">
        <w:rPr>
          <w:rFonts w:cs="Arial"/>
        </w:rPr>
        <w:t xml:space="preserve">It concluded that there </w:t>
      </w:r>
      <w:r>
        <w:rPr>
          <w:rFonts w:cs="Arial"/>
        </w:rPr>
        <w:t>were in</w:t>
      </w:r>
      <w:r w:rsidR="00F2348B">
        <w:rPr>
          <w:rFonts w:cs="Arial"/>
        </w:rPr>
        <w:t>adequate safeguards against indefinite detention in some jurisdictions</w:t>
      </w:r>
      <w:r>
        <w:rPr>
          <w:rFonts w:cs="Arial"/>
        </w:rPr>
        <w:t xml:space="preserve">, </w:t>
      </w:r>
      <w:r>
        <w:rPr>
          <w:rFonts w:cs="Arial"/>
        </w:rPr>
        <w:lastRenderedPageBreak/>
        <w:t xml:space="preserve">including </w:t>
      </w:r>
      <w:r w:rsidR="00D8736B">
        <w:rPr>
          <w:rFonts w:cs="Arial"/>
        </w:rPr>
        <w:t>Western Australia</w:t>
      </w:r>
      <w:r w:rsidR="00B44FBE">
        <w:rPr>
          <w:rFonts w:cs="Arial"/>
        </w:rPr>
        <w:t>, Victoria and the NT</w:t>
      </w:r>
      <w:r w:rsidR="00D8736B">
        <w:rPr>
          <w:rFonts w:cs="Arial"/>
        </w:rPr>
        <w:t>,</w:t>
      </w:r>
      <w:r w:rsidR="00883B58">
        <w:rPr>
          <w:rFonts w:cs="Arial"/>
        </w:rPr>
        <w:t xml:space="preserve"> because they </w:t>
      </w:r>
      <w:r w:rsidR="007E1701">
        <w:rPr>
          <w:rFonts w:cs="Arial"/>
        </w:rPr>
        <w:t>‘</w:t>
      </w:r>
      <w:r w:rsidR="007E1701" w:rsidRPr="0051238C">
        <w:rPr>
          <w:rFonts w:cs="Arial"/>
        </w:rPr>
        <w:t>do not provide statutory limits on the period of detention for those found unfit to stand trial’</w:t>
      </w:r>
      <w:r w:rsidR="00570AFA" w:rsidRPr="00D8736B">
        <w:rPr>
          <w:rFonts w:cs="Arial"/>
          <w:sz w:val="22"/>
          <w:szCs w:val="22"/>
        </w:rPr>
        <w:t>.</w:t>
      </w:r>
      <w:r w:rsidR="00570AFA">
        <w:rPr>
          <w:rStyle w:val="EndnoteReference"/>
          <w:rFonts w:cs="Arial"/>
          <w:szCs w:val="22"/>
        </w:rPr>
        <w:endnoteReference w:id="124"/>
      </w:r>
      <w:r w:rsidR="00F00555">
        <w:rPr>
          <w:rFonts w:cs="Arial"/>
          <w:sz w:val="22"/>
          <w:szCs w:val="22"/>
        </w:rPr>
        <w:t xml:space="preserve"> </w:t>
      </w:r>
      <w:r w:rsidR="00570AFA" w:rsidRPr="00F00555">
        <w:rPr>
          <w:rFonts w:cs="Arial"/>
        </w:rPr>
        <w:t xml:space="preserve">The ALRC further noted that </w:t>
      </w:r>
      <w:r w:rsidR="00983575">
        <w:rPr>
          <w:rFonts w:cs="Arial"/>
        </w:rPr>
        <w:t xml:space="preserve">some of the review mechanisms </w:t>
      </w:r>
      <w:r w:rsidR="00570AFA" w:rsidRPr="00F00555">
        <w:rPr>
          <w:rFonts w:cs="Arial"/>
        </w:rPr>
        <w:t xml:space="preserve">for people </w:t>
      </w:r>
      <w:r w:rsidR="00EF7342">
        <w:rPr>
          <w:rFonts w:cs="Arial"/>
        </w:rPr>
        <w:t>detained</w:t>
      </w:r>
      <w:r w:rsidR="00570AFA" w:rsidRPr="00F00555">
        <w:rPr>
          <w:rFonts w:cs="Arial"/>
        </w:rPr>
        <w:t xml:space="preserve"> because</w:t>
      </w:r>
      <w:r w:rsidR="009A1B25">
        <w:rPr>
          <w:rFonts w:cs="Arial"/>
        </w:rPr>
        <w:t xml:space="preserve"> they are unfit to stand trial </w:t>
      </w:r>
      <w:r w:rsidR="005F6691" w:rsidRPr="00F00555">
        <w:rPr>
          <w:rFonts w:cs="Arial"/>
        </w:rPr>
        <w:t>may be inadequate</w:t>
      </w:r>
      <w:r w:rsidR="00570AFA" w:rsidRPr="00F00555">
        <w:rPr>
          <w:rFonts w:cs="Arial"/>
        </w:rPr>
        <w:t>.</w:t>
      </w:r>
      <w:r w:rsidR="00570AFA" w:rsidRPr="00827629">
        <w:rPr>
          <w:rStyle w:val="EndnoteReference"/>
          <w:rFonts w:cs="Arial"/>
          <w:sz w:val="24"/>
        </w:rPr>
        <w:endnoteReference w:id="125"/>
      </w:r>
      <w:r w:rsidR="00570AFA" w:rsidRPr="00F00555">
        <w:rPr>
          <w:rFonts w:ascii="Times New Roman" w:hAnsi="Times New Roman"/>
          <w:sz w:val="14"/>
          <w:szCs w:val="14"/>
        </w:rPr>
        <w:t xml:space="preserve"> </w:t>
      </w:r>
    </w:p>
    <w:p w14:paraId="04151EC3" w14:textId="5C7D017E" w:rsidR="006549E1" w:rsidRPr="00F13D50" w:rsidRDefault="00ED707B" w:rsidP="00604C23">
      <w:pPr>
        <w:pStyle w:val="SubmissionNormal"/>
        <w:tabs>
          <w:tab w:val="clear" w:pos="720"/>
          <w:tab w:val="num" w:pos="567"/>
        </w:tabs>
        <w:ind w:left="567" w:hanging="567"/>
        <w:rPr>
          <w:rFonts w:cs="Arial"/>
        </w:rPr>
      </w:pPr>
      <w:r>
        <w:rPr>
          <w:rFonts w:cs="Arial"/>
        </w:rPr>
        <w:t>In some jurisdictions such as</w:t>
      </w:r>
      <w:r w:rsidR="00053A64">
        <w:rPr>
          <w:rFonts w:cs="Arial"/>
        </w:rPr>
        <w:t xml:space="preserve"> </w:t>
      </w:r>
      <w:r w:rsidR="00C24195">
        <w:rPr>
          <w:rFonts w:cs="Arial"/>
        </w:rPr>
        <w:t xml:space="preserve">NSW, the NT and </w:t>
      </w:r>
      <w:r w:rsidR="00883B58">
        <w:rPr>
          <w:rFonts w:cs="Arial"/>
        </w:rPr>
        <w:t xml:space="preserve">Victoria, </w:t>
      </w:r>
      <w:r w:rsidR="00C24195">
        <w:rPr>
          <w:rFonts w:cs="Arial"/>
        </w:rPr>
        <w:t>if</w:t>
      </w:r>
      <w:r w:rsidR="00D11893">
        <w:rPr>
          <w:rFonts w:cs="Arial"/>
        </w:rPr>
        <w:t xml:space="preserve"> a person has been found to have </w:t>
      </w:r>
      <w:r w:rsidR="00942845">
        <w:rPr>
          <w:rFonts w:cs="Arial"/>
        </w:rPr>
        <w:t>‘</w:t>
      </w:r>
      <w:r w:rsidR="00D11893" w:rsidRPr="00573571">
        <w:rPr>
          <w:rFonts w:cs="Arial"/>
        </w:rPr>
        <w:t>committed</w:t>
      </w:r>
      <w:r w:rsidR="00D11893">
        <w:rPr>
          <w:rFonts w:cs="Arial"/>
        </w:rPr>
        <w:t xml:space="preserve"> the offence</w:t>
      </w:r>
      <w:r w:rsidR="00942845">
        <w:rPr>
          <w:rFonts w:cs="Arial"/>
        </w:rPr>
        <w:t>’</w:t>
      </w:r>
      <w:r w:rsidR="00C24195">
        <w:rPr>
          <w:rFonts w:cs="Arial"/>
        </w:rPr>
        <w:t xml:space="preserve"> (at</w:t>
      </w:r>
      <w:r w:rsidR="00D11893">
        <w:rPr>
          <w:rFonts w:cs="Arial"/>
        </w:rPr>
        <w:t xml:space="preserve"> a special hearing) or </w:t>
      </w:r>
      <w:r w:rsidR="00AD1387">
        <w:rPr>
          <w:rFonts w:cs="Arial"/>
        </w:rPr>
        <w:t xml:space="preserve">to be </w:t>
      </w:r>
      <w:r w:rsidR="00D11893">
        <w:rPr>
          <w:rFonts w:cs="Arial"/>
        </w:rPr>
        <w:t>not guilty by re</w:t>
      </w:r>
      <w:r w:rsidR="00AD1387">
        <w:rPr>
          <w:rFonts w:cs="Arial"/>
        </w:rPr>
        <w:t>ason of mental impairment</w:t>
      </w:r>
      <w:r w:rsidR="00D11893">
        <w:rPr>
          <w:rFonts w:cs="Arial"/>
        </w:rPr>
        <w:t>, the court is required to set a ‘limiting’ or ‘nominal’ term for the person’s detention.</w:t>
      </w:r>
      <w:r w:rsidR="006549E1">
        <w:rPr>
          <w:rStyle w:val="EndnoteReference"/>
          <w:rFonts w:cs="Arial"/>
        </w:rPr>
        <w:endnoteReference w:id="126"/>
      </w:r>
      <w:r w:rsidR="006549E1">
        <w:rPr>
          <w:rFonts w:cs="Arial"/>
        </w:rPr>
        <w:t xml:space="preserve"> This term is determined by reference to sentencing principles. In Victoria, the term is generally the maximum penalty </w:t>
      </w:r>
      <w:r w:rsidR="00604C23">
        <w:rPr>
          <w:rFonts w:cs="Arial"/>
        </w:rPr>
        <w:t>available for the crime</w:t>
      </w:r>
      <w:r w:rsidR="006549E1">
        <w:rPr>
          <w:rFonts w:cs="Arial"/>
        </w:rPr>
        <w:t xml:space="preserve"> </w:t>
      </w:r>
      <w:r w:rsidR="00C24195">
        <w:rPr>
          <w:rFonts w:cs="Arial"/>
        </w:rPr>
        <w:t>charged</w:t>
      </w:r>
      <w:r w:rsidR="006549E1">
        <w:rPr>
          <w:rFonts w:cs="Arial"/>
        </w:rPr>
        <w:t>.</w:t>
      </w:r>
      <w:r w:rsidR="006549E1">
        <w:rPr>
          <w:rStyle w:val="EndnoteReference"/>
          <w:rFonts w:cs="Arial"/>
        </w:rPr>
        <w:endnoteReference w:id="127"/>
      </w:r>
      <w:r w:rsidR="00C24195">
        <w:rPr>
          <w:rFonts w:cs="Arial"/>
        </w:rPr>
        <w:t xml:space="preserve"> In </w:t>
      </w:r>
      <w:r w:rsidR="00DE7322">
        <w:rPr>
          <w:rFonts w:cs="Arial"/>
        </w:rPr>
        <w:t xml:space="preserve">NSW and the </w:t>
      </w:r>
      <w:r w:rsidR="006549E1">
        <w:rPr>
          <w:rFonts w:cs="Arial"/>
        </w:rPr>
        <w:t xml:space="preserve">NT, </w:t>
      </w:r>
      <w:r w:rsidR="006549E1">
        <w:t>the nominal term is equal to the length of the sentence of imprisonment that the court would have imposed if the person had been found guilty.</w:t>
      </w:r>
      <w:r w:rsidR="006549E1">
        <w:rPr>
          <w:rStyle w:val="EndnoteReference"/>
        </w:rPr>
        <w:endnoteReference w:id="128"/>
      </w:r>
    </w:p>
    <w:p w14:paraId="681D3D5E" w14:textId="5E1DE4DA" w:rsidR="00C118A0" w:rsidRPr="006D679A" w:rsidRDefault="00C118A0" w:rsidP="00BE7FB9">
      <w:pPr>
        <w:pStyle w:val="SubmissionNormal"/>
        <w:tabs>
          <w:tab w:val="clear" w:pos="720"/>
          <w:tab w:val="num" w:pos="567"/>
        </w:tabs>
        <w:ind w:left="567" w:hanging="567"/>
        <w:rPr>
          <w:rFonts w:cs="Arial"/>
        </w:rPr>
      </w:pPr>
      <w:r w:rsidRPr="006D679A">
        <w:t>The aim of introducing ‘limiting’ or nominal term</w:t>
      </w:r>
      <w:r w:rsidR="0001066B" w:rsidRPr="006D679A">
        <w:t>s</w:t>
      </w:r>
      <w:r w:rsidRPr="006D679A">
        <w:t xml:space="preserve"> was to avoid a person getting ‘lost in the system’ (and arbitrarily detained) as happened under ‘Governor’s pleasure’ regimes.</w:t>
      </w:r>
      <w:r w:rsidRPr="006D679A">
        <w:rPr>
          <w:rStyle w:val="EndnoteReference"/>
        </w:rPr>
        <w:endnoteReference w:id="129"/>
      </w:r>
      <w:r w:rsidRPr="006D679A">
        <w:t xml:space="preserve"> </w:t>
      </w:r>
    </w:p>
    <w:p w14:paraId="32868D60" w14:textId="44C81F82" w:rsidR="006549E1" w:rsidRPr="00BE7FB9" w:rsidRDefault="00C118A0" w:rsidP="00BE7FB9">
      <w:pPr>
        <w:pStyle w:val="SubmissionNormal"/>
        <w:tabs>
          <w:tab w:val="clear" w:pos="720"/>
          <w:tab w:val="num" w:pos="567"/>
        </w:tabs>
        <w:ind w:left="567" w:hanging="567"/>
        <w:rPr>
          <w:rFonts w:cs="Arial"/>
        </w:rPr>
      </w:pPr>
      <w:r>
        <w:t>In</w:t>
      </w:r>
      <w:r w:rsidR="006549E1">
        <w:t xml:space="preserve"> Vic</w:t>
      </w:r>
      <w:r w:rsidR="0092087B">
        <w:t>toria and the NT</w:t>
      </w:r>
      <w:r w:rsidR="006549E1">
        <w:t xml:space="preserve">, the ‘limiting’ or nominal term does not actually limit </w:t>
      </w:r>
      <w:r w:rsidR="006549E1" w:rsidRPr="00F01202">
        <w:rPr>
          <w:rFonts w:cs="Arial"/>
        </w:rPr>
        <w:t>the</w:t>
      </w:r>
      <w:r w:rsidR="006549E1">
        <w:t xml:space="preserve"> amount of time the person will spend in detention – it only marks the point at which there must be a </w:t>
      </w:r>
      <w:r w:rsidR="006549E1" w:rsidRPr="00D32167">
        <w:rPr>
          <w:rFonts w:cs="Arial"/>
        </w:rPr>
        <w:t>major</w:t>
      </w:r>
      <w:r w:rsidR="006549E1">
        <w:t xml:space="preserve"> review of the detention order.</w:t>
      </w:r>
      <w:r w:rsidR="006549E1">
        <w:rPr>
          <w:rStyle w:val="EndnoteReference"/>
          <w:rFonts w:cs="Arial"/>
        </w:rPr>
        <w:endnoteReference w:id="130"/>
      </w:r>
      <w:r w:rsidR="00BE7FB9">
        <w:rPr>
          <w:rFonts w:cs="Arial"/>
        </w:rPr>
        <w:t xml:space="preserve"> </w:t>
      </w:r>
      <w:r w:rsidR="00B27A8E">
        <w:t>In NSW, a person</w:t>
      </w:r>
      <w:r w:rsidR="006549E1">
        <w:t xml:space="preserve"> </w:t>
      </w:r>
      <w:r w:rsidR="00B27A8E">
        <w:t>who is</w:t>
      </w:r>
      <w:r w:rsidR="002C7A2F">
        <w:t xml:space="preserve"> </w:t>
      </w:r>
      <w:r w:rsidR="006549E1">
        <w:t>found to have committed the offence</w:t>
      </w:r>
      <w:r w:rsidR="00B27A8E">
        <w:t xml:space="preserve"> at a special hearing must be released from detention</w:t>
      </w:r>
      <w:r w:rsidR="006549E1">
        <w:t xml:space="preserve"> </w:t>
      </w:r>
      <w:r w:rsidR="006549E1" w:rsidRPr="00BE7FB9">
        <w:rPr>
          <w:rFonts w:cs="Arial"/>
        </w:rPr>
        <w:t xml:space="preserve">at the </w:t>
      </w:r>
      <w:r w:rsidR="006549E1" w:rsidRPr="00F01202">
        <w:t>expiry</w:t>
      </w:r>
      <w:r w:rsidR="006549E1" w:rsidRPr="00BE7FB9">
        <w:rPr>
          <w:rFonts w:cs="Arial"/>
        </w:rPr>
        <w:t xml:space="preserve"> of the limiting term.</w:t>
      </w:r>
      <w:r w:rsidR="006549E1">
        <w:rPr>
          <w:rStyle w:val="EndnoteReference"/>
          <w:rFonts w:cs="Arial"/>
        </w:rPr>
        <w:endnoteReference w:id="131"/>
      </w:r>
      <w:r w:rsidR="006A284A" w:rsidRPr="00BE7FB9">
        <w:rPr>
          <w:rFonts w:cs="Arial"/>
        </w:rPr>
        <w:t xml:space="preserve"> However, the court cannot set a limit on the detention of a </w:t>
      </w:r>
      <w:r w:rsidR="006549E1" w:rsidRPr="00BE7FB9">
        <w:rPr>
          <w:rFonts w:cs="Arial"/>
        </w:rPr>
        <w:t>person</w:t>
      </w:r>
      <w:r w:rsidR="006A284A" w:rsidRPr="00BE7FB9">
        <w:rPr>
          <w:rFonts w:cs="Arial"/>
        </w:rPr>
        <w:t xml:space="preserve"> who</w:t>
      </w:r>
      <w:r w:rsidR="006549E1" w:rsidRPr="00BE7FB9">
        <w:rPr>
          <w:rFonts w:cs="Arial"/>
        </w:rPr>
        <w:t xml:space="preserve"> is found not guilty</w:t>
      </w:r>
      <w:r w:rsidR="007E5B17" w:rsidRPr="00BE7FB9">
        <w:rPr>
          <w:rFonts w:cs="Arial"/>
        </w:rPr>
        <w:t xml:space="preserve"> by reason of mental impairment</w:t>
      </w:r>
      <w:r w:rsidR="006549E1" w:rsidRPr="00BE7FB9">
        <w:rPr>
          <w:rFonts w:cs="Arial"/>
        </w:rPr>
        <w:t>.</w:t>
      </w:r>
      <w:r w:rsidR="006549E1">
        <w:rPr>
          <w:rStyle w:val="EndnoteReference"/>
          <w:rFonts w:cs="Arial"/>
        </w:rPr>
        <w:endnoteReference w:id="132"/>
      </w:r>
    </w:p>
    <w:p w14:paraId="0FC8862D" w14:textId="14B8D600" w:rsidR="00570AFA" w:rsidRDefault="007963AE" w:rsidP="00696FAF">
      <w:pPr>
        <w:pStyle w:val="SubmissionNormal"/>
        <w:tabs>
          <w:tab w:val="clear" w:pos="720"/>
          <w:tab w:val="num" w:pos="567"/>
        </w:tabs>
        <w:ind w:left="567" w:hanging="567"/>
        <w:rPr>
          <w:rFonts w:cs="Arial"/>
        </w:rPr>
      </w:pPr>
      <w:r>
        <w:rPr>
          <w:rFonts w:cs="Arial"/>
        </w:rPr>
        <w:t>The</w:t>
      </w:r>
      <w:r w:rsidR="00570AFA">
        <w:rPr>
          <w:rFonts w:cs="Arial"/>
        </w:rPr>
        <w:t xml:space="preserve"> </w:t>
      </w:r>
      <w:r w:rsidR="00BC2C07">
        <w:rPr>
          <w:rFonts w:cs="Arial"/>
        </w:rPr>
        <w:t>practice of courts setting</w:t>
      </w:r>
      <w:r w:rsidR="00570AFA">
        <w:rPr>
          <w:rFonts w:cs="Arial"/>
        </w:rPr>
        <w:t xml:space="preserve"> ‘nominal’ </w:t>
      </w:r>
      <w:r w:rsidR="00221B38">
        <w:rPr>
          <w:rFonts w:cs="Arial"/>
        </w:rPr>
        <w:t>or ‘limiting’ terms of</w:t>
      </w:r>
      <w:r w:rsidR="00570AFA">
        <w:rPr>
          <w:rFonts w:cs="Arial"/>
        </w:rPr>
        <w:t xml:space="preserve"> detention </w:t>
      </w:r>
      <w:r w:rsidR="00BC2C07">
        <w:rPr>
          <w:rFonts w:cs="Arial"/>
        </w:rPr>
        <w:t xml:space="preserve">for unconvicted people </w:t>
      </w:r>
      <w:r w:rsidR="00570AFA">
        <w:rPr>
          <w:rFonts w:cs="Arial"/>
        </w:rPr>
        <w:t>has been criticised for a number of reasons, including:</w:t>
      </w:r>
    </w:p>
    <w:p w14:paraId="731D65D1" w14:textId="779FF476" w:rsidR="00570AFA" w:rsidRPr="00D84071" w:rsidRDefault="00570AFA" w:rsidP="00A27E5F">
      <w:pPr>
        <w:pStyle w:val="ListParagraph"/>
        <w:numPr>
          <w:ilvl w:val="0"/>
          <w:numId w:val="17"/>
        </w:numPr>
        <w:spacing w:before="0" w:after="120"/>
        <w:ind w:left="851" w:hanging="284"/>
        <w:contextualSpacing w:val="0"/>
        <w:rPr>
          <w:rFonts w:cs="Arial"/>
        </w:rPr>
      </w:pPr>
      <w:r>
        <w:rPr>
          <w:rFonts w:cs="Arial"/>
        </w:rPr>
        <w:t>they result in people being detained longer than if they had been convicted of the offence and sentenced to imprisonment, in part because the entire term is seen as a non-parole period</w:t>
      </w:r>
      <w:r>
        <w:rPr>
          <w:rStyle w:val="EndnoteReference"/>
          <w:rFonts w:cs="Arial"/>
        </w:rPr>
        <w:endnoteReference w:id="133"/>
      </w:r>
      <w:r>
        <w:rPr>
          <w:rFonts w:cs="Arial"/>
        </w:rPr>
        <w:t xml:space="preserve"> </w:t>
      </w:r>
    </w:p>
    <w:p w14:paraId="59ADD567" w14:textId="3DE4EBD3" w:rsidR="00570AFA" w:rsidRDefault="007963AE" w:rsidP="00A27E5F">
      <w:pPr>
        <w:pStyle w:val="ListParagraph"/>
        <w:numPr>
          <w:ilvl w:val="0"/>
          <w:numId w:val="17"/>
        </w:numPr>
        <w:spacing w:before="0" w:after="120"/>
        <w:ind w:left="851" w:hanging="284"/>
        <w:contextualSpacing w:val="0"/>
        <w:rPr>
          <w:rFonts w:cs="Arial"/>
        </w:rPr>
      </w:pPr>
      <w:r>
        <w:rPr>
          <w:rFonts w:cs="Arial"/>
        </w:rPr>
        <w:t xml:space="preserve">in some jurisdictions, </w:t>
      </w:r>
      <w:r w:rsidR="00237E00">
        <w:rPr>
          <w:rFonts w:cs="Arial"/>
        </w:rPr>
        <w:t>they do not</w:t>
      </w:r>
      <w:r w:rsidR="00570AFA">
        <w:rPr>
          <w:rFonts w:cs="Arial"/>
        </w:rPr>
        <w:t xml:space="preserve"> actually limit the length of detention</w:t>
      </w:r>
      <w:r w:rsidR="00570AFA">
        <w:rPr>
          <w:rStyle w:val="EndnoteReference"/>
          <w:rFonts w:cs="Arial"/>
        </w:rPr>
        <w:endnoteReference w:id="134"/>
      </w:r>
      <w:r w:rsidR="00570AFA">
        <w:rPr>
          <w:rFonts w:cs="Arial"/>
        </w:rPr>
        <w:t xml:space="preserve"> </w:t>
      </w:r>
    </w:p>
    <w:p w14:paraId="2AF89C8D" w14:textId="2BC5BFD0" w:rsidR="00705BDE" w:rsidRPr="00705BDE" w:rsidRDefault="00570AFA" w:rsidP="00705BDE">
      <w:pPr>
        <w:pStyle w:val="ListParagraph"/>
        <w:numPr>
          <w:ilvl w:val="0"/>
          <w:numId w:val="17"/>
        </w:numPr>
        <w:spacing w:before="0" w:after="120"/>
        <w:ind w:left="851" w:hanging="284"/>
        <w:contextualSpacing w:val="0"/>
        <w:rPr>
          <w:rFonts w:cs="Arial"/>
        </w:rPr>
      </w:pPr>
      <w:r>
        <w:rPr>
          <w:rFonts w:cs="Arial"/>
        </w:rPr>
        <w:t>they are viewed as a ‘sentence’, and therefore suggest the person has been found to be criminally responsible for a crime and is being punished.</w:t>
      </w:r>
      <w:r>
        <w:rPr>
          <w:rStyle w:val="EndnoteReference"/>
          <w:rFonts w:cs="Arial"/>
        </w:rPr>
        <w:endnoteReference w:id="135"/>
      </w:r>
      <w:bookmarkStart w:id="92" w:name="d5e41836"/>
      <w:bookmarkEnd w:id="92"/>
    </w:p>
    <w:p w14:paraId="5E93846F" w14:textId="67A3DD40" w:rsidR="009B4268" w:rsidRPr="007523BA" w:rsidRDefault="00705BDE" w:rsidP="009B4268">
      <w:pPr>
        <w:pStyle w:val="SubmissionNormal"/>
        <w:tabs>
          <w:tab w:val="clear" w:pos="720"/>
          <w:tab w:val="num" w:pos="567"/>
        </w:tabs>
        <w:ind w:left="567" w:hanging="567"/>
      </w:pPr>
      <w:r>
        <w:t xml:space="preserve">The </w:t>
      </w:r>
      <w:r w:rsidRPr="009B4268">
        <w:rPr>
          <w:rFonts w:cs="Arial"/>
        </w:rPr>
        <w:t>Commission</w:t>
      </w:r>
      <w:r w:rsidR="009B4268">
        <w:t xml:space="preserve"> emphasises that people who are</w:t>
      </w:r>
      <w:r>
        <w:t xml:space="preserve"> found to </w:t>
      </w:r>
      <w:r w:rsidR="009B4268">
        <w:t xml:space="preserve">be </w:t>
      </w:r>
      <w:r>
        <w:t>unfit to be tried or not guilty because of mental impairment have not been found to be criminally responsible for any crime. It is therefore not appropriate for them to be punished</w:t>
      </w:r>
      <w:r w:rsidR="00595F8E">
        <w:t xml:space="preserve"> by the criminal justice system</w:t>
      </w:r>
      <w:r>
        <w:t>.</w:t>
      </w:r>
      <w:r w:rsidR="00595F8E">
        <w:rPr>
          <w:rStyle w:val="EndnoteReference"/>
        </w:rPr>
        <w:endnoteReference w:id="136"/>
      </w:r>
      <w:r>
        <w:t xml:space="preserve"> </w:t>
      </w:r>
      <w:r w:rsidR="00882C68">
        <w:t>They have a right not to be subjected to arbitrary detention.</w:t>
      </w:r>
      <w:r w:rsidR="00191F46">
        <w:rPr>
          <w:rStyle w:val="EndnoteReference"/>
        </w:rPr>
        <w:endnoteReference w:id="137"/>
      </w:r>
      <w:r w:rsidR="00191F46">
        <w:t xml:space="preserve"> </w:t>
      </w:r>
      <w:r w:rsidR="009B4268">
        <w:t xml:space="preserve">If they are to be detained, the only permissible purposes of their detention </w:t>
      </w:r>
      <w:r w:rsidR="00176FA6">
        <w:t xml:space="preserve">are </w:t>
      </w:r>
      <w:r w:rsidR="00FF14B9">
        <w:t>treatment and rehabilitation</w:t>
      </w:r>
      <w:r w:rsidRPr="00F73FF0">
        <w:t xml:space="preserve"> and protection of the individual </w:t>
      </w:r>
      <w:r w:rsidRPr="007523BA">
        <w:t>and the community.</w:t>
      </w:r>
      <w:r w:rsidRPr="007523BA">
        <w:rPr>
          <w:rStyle w:val="EndnoteReference"/>
        </w:rPr>
        <w:endnoteReference w:id="138"/>
      </w:r>
    </w:p>
    <w:p w14:paraId="7666E9BD" w14:textId="77777777" w:rsidR="00ED5884" w:rsidRPr="00ED5884" w:rsidRDefault="009B4268" w:rsidP="00ED5884">
      <w:pPr>
        <w:pStyle w:val="SubmissionNormal"/>
        <w:tabs>
          <w:tab w:val="clear" w:pos="720"/>
          <w:tab w:val="num" w:pos="567"/>
        </w:tabs>
        <w:ind w:left="567" w:hanging="567"/>
        <w:rPr>
          <w:rFonts w:cs="Arial"/>
        </w:rPr>
      </w:pPr>
      <w:r w:rsidRPr="007523BA">
        <w:rPr>
          <w:rFonts w:cs="Arial"/>
        </w:rPr>
        <w:t xml:space="preserve">It </w:t>
      </w:r>
      <w:r w:rsidR="009D7B6D" w:rsidRPr="007523BA">
        <w:rPr>
          <w:rFonts w:cs="Arial"/>
        </w:rPr>
        <w:t xml:space="preserve">accordingly </w:t>
      </w:r>
      <w:r w:rsidR="00345016" w:rsidRPr="007523BA">
        <w:rPr>
          <w:rFonts w:cs="Arial"/>
        </w:rPr>
        <w:t xml:space="preserve">is </w:t>
      </w:r>
      <w:r w:rsidR="004C03EB" w:rsidRPr="007523BA">
        <w:t>in</w:t>
      </w:r>
      <w:r w:rsidRPr="007523BA">
        <w:t>appropriate</w:t>
      </w:r>
      <w:r w:rsidRPr="007523BA">
        <w:rPr>
          <w:rFonts w:cs="Arial"/>
        </w:rPr>
        <w:t xml:space="preserve"> for the length of the person’s detention </w:t>
      </w:r>
      <w:r w:rsidR="00345016" w:rsidRPr="007523BA">
        <w:rPr>
          <w:rFonts w:cs="Arial"/>
        </w:rPr>
        <w:t>to be set</w:t>
      </w:r>
      <w:r w:rsidRPr="007523BA">
        <w:rPr>
          <w:rFonts w:cs="Arial"/>
        </w:rPr>
        <w:t xml:space="preserve"> by reference to sentencing principles, which factor in punishment and deterrence.</w:t>
      </w:r>
      <w:r w:rsidR="00047741" w:rsidRPr="007523BA">
        <w:rPr>
          <w:rStyle w:val="EndnoteReference"/>
        </w:rPr>
        <w:endnoteReference w:id="139"/>
      </w:r>
      <w:r w:rsidRPr="007523BA">
        <w:rPr>
          <w:rFonts w:cs="Arial"/>
        </w:rPr>
        <w:t xml:space="preserve"> </w:t>
      </w:r>
      <w:r w:rsidR="003F2BC5" w:rsidRPr="007523BA">
        <w:rPr>
          <w:rFonts w:cs="Arial"/>
        </w:rPr>
        <w:t>The decision to detain the person should be based on the same criteria as for civil confinement as an involuntary patient under mental health laws, namely if it is necessary for the treatment of the person of the person for their own health or safety, or for the protection of the public.</w:t>
      </w:r>
      <w:r w:rsidR="003F2BC5" w:rsidRPr="007523BA">
        <w:rPr>
          <w:rStyle w:val="EndnoteReference"/>
        </w:rPr>
        <w:endnoteReference w:id="140"/>
      </w:r>
      <w:r w:rsidR="00882C68" w:rsidRPr="007523BA">
        <w:t xml:space="preserve"> </w:t>
      </w:r>
    </w:p>
    <w:p w14:paraId="3FCB448C" w14:textId="501693A2" w:rsidR="008F06B6" w:rsidRPr="00ED5884" w:rsidRDefault="004E5B05" w:rsidP="00ED5884">
      <w:pPr>
        <w:pStyle w:val="SubmissionNormal"/>
        <w:tabs>
          <w:tab w:val="clear" w:pos="720"/>
          <w:tab w:val="num" w:pos="567"/>
        </w:tabs>
        <w:ind w:left="567" w:hanging="567"/>
        <w:rPr>
          <w:rFonts w:cs="Arial"/>
        </w:rPr>
      </w:pPr>
      <w:r w:rsidRPr="00ED5884">
        <w:rPr>
          <w:rFonts w:cs="Arial"/>
        </w:rPr>
        <w:lastRenderedPageBreak/>
        <w:t>T</w:t>
      </w:r>
      <w:r w:rsidR="00FF14B9" w:rsidRPr="00ED5884">
        <w:rPr>
          <w:rFonts w:cs="Arial"/>
        </w:rPr>
        <w:t>he UN Human Rights Committee has emphasised</w:t>
      </w:r>
      <w:r w:rsidR="008F06B6" w:rsidRPr="00ED5884">
        <w:rPr>
          <w:rFonts w:cs="Arial"/>
        </w:rPr>
        <w:t xml:space="preserve"> that </w:t>
      </w:r>
      <w:r w:rsidR="00FF14B9" w:rsidRPr="00ED5884">
        <w:rPr>
          <w:rFonts w:cs="Arial"/>
        </w:rPr>
        <w:t xml:space="preserve">any detention </w:t>
      </w:r>
      <w:r w:rsidR="009A453F" w:rsidRPr="00ED5884">
        <w:rPr>
          <w:rFonts w:cs="Arial"/>
        </w:rPr>
        <w:t>of</w:t>
      </w:r>
      <w:r w:rsidR="00FF14B9" w:rsidRPr="00ED5884">
        <w:rPr>
          <w:rFonts w:cs="Arial"/>
        </w:rPr>
        <w:t xml:space="preserve"> individuals under mental </w:t>
      </w:r>
      <w:r w:rsidR="008F06B6" w:rsidRPr="00ED5884">
        <w:rPr>
          <w:rFonts w:cs="Arial"/>
        </w:rPr>
        <w:t>health laws:</w:t>
      </w:r>
    </w:p>
    <w:p w14:paraId="5E584D47" w14:textId="74119150" w:rsidR="004E5B05" w:rsidRPr="008F06B6" w:rsidRDefault="004E5B05" w:rsidP="008F06B6">
      <w:pPr>
        <w:pStyle w:val="SubmissionNormal"/>
        <w:numPr>
          <w:ilvl w:val="0"/>
          <w:numId w:val="0"/>
        </w:numPr>
        <w:spacing w:before="0" w:after="120"/>
        <w:ind w:left="1134"/>
        <w:rPr>
          <w:rFonts w:cs="Arial"/>
          <w:sz w:val="22"/>
          <w:szCs w:val="22"/>
        </w:rPr>
      </w:pPr>
      <w:r w:rsidRPr="008F06B6">
        <w:rPr>
          <w:rFonts w:cs="Arial"/>
          <w:sz w:val="22"/>
          <w:szCs w:val="22"/>
        </w:rPr>
        <w:t>must be necessary and proportionate, for the purpose of protecting the individual in question from serious harm o</w:t>
      </w:r>
      <w:r w:rsidR="008F06B6" w:rsidRPr="008F06B6">
        <w:rPr>
          <w:rFonts w:cs="Arial"/>
          <w:sz w:val="22"/>
          <w:szCs w:val="22"/>
        </w:rPr>
        <w:t xml:space="preserve">r preventing injury to others. </w:t>
      </w:r>
      <w:r w:rsidRPr="008F06B6">
        <w:rPr>
          <w:rFonts w:cs="Arial"/>
          <w:sz w:val="22"/>
          <w:szCs w:val="22"/>
        </w:rPr>
        <w:t>It must be applied only as a measure of last resort and for the shortest appropriate period of time, and must be accompanied by adequate procedural and substantive safeguards established by law.</w:t>
      </w:r>
      <w:r w:rsidRPr="008F06B6">
        <w:rPr>
          <w:rStyle w:val="EndnoteReference"/>
        </w:rPr>
        <w:endnoteReference w:id="141"/>
      </w:r>
      <w:r w:rsidRPr="008F06B6">
        <w:rPr>
          <w:rStyle w:val="EndnoteReference"/>
        </w:rPr>
        <w:t xml:space="preserve">  </w:t>
      </w:r>
    </w:p>
    <w:p w14:paraId="265C1766" w14:textId="146BCF26" w:rsidR="0058102E" w:rsidRPr="00796A18" w:rsidRDefault="00093660" w:rsidP="00796A18">
      <w:pPr>
        <w:pStyle w:val="SubmissionNormal"/>
        <w:tabs>
          <w:tab w:val="clear" w:pos="720"/>
          <w:tab w:val="num" w:pos="567"/>
        </w:tabs>
        <w:ind w:left="567" w:hanging="567"/>
        <w:rPr>
          <w:rFonts w:cs="Arial"/>
        </w:rPr>
      </w:pPr>
      <w:r>
        <w:t>As d</w:t>
      </w:r>
      <w:r w:rsidR="00ED5884" w:rsidRPr="007523BA">
        <w:t xml:space="preserve">etention should only occur for so long as </w:t>
      </w:r>
      <w:r>
        <w:t>is necessary to address the risk posed by the person</w:t>
      </w:r>
      <w:r w:rsidR="00796A18">
        <w:t>, the</w:t>
      </w:r>
      <w:r w:rsidR="004C003C">
        <w:t>ir level of</w:t>
      </w:r>
      <w:r w:rsidR="00796A18">
        <w:t xml:space="preserve"> </w:t>
      </w:r>
      <w:r w:rsidR="004C003C">
        <w:t xml:space="preserve">risk (and hence </w:t>
      </w:r>
      <w:r w:rsidR="006146A5">
        <w:t xml:space="preserve">the </w:t>
      </w:r>
      <w:r w:rsidR="00796A18">
        <w:t xml:space="preserve">need for </w:t>
      </w:r>
      <w:r w:rsidR="004C003C">
        <w:t xml:space="preserve">them </w:t>
      </w:r>
      <w:r w:rsidR="00796A18">
        <w:t>to remain in confinement</w:t>
      </w:r>
      <w:r w:rsidR="004C003C">
        <w:t>)</w:t>
      </w:r>
      <w:r w:rsidR="00530B87">
        <w:t xml:space="preserve"> must be regularly reviewed</w:t>
      </w:r>
      <w:r w:rsidR="00ED5884">
        <w:t>.</w:t>
      </w:r>
      <w:r w:rsidR="00ED5884" w:rsidRPr="00395718">
        <w:rPr>
          <w:rStyle w:val="EndnoteReference"/>
        </w:rPr>
        <w:endnoteReference w:id="142"/>
      </w:r>
      <w:r w:rsidR="00ED5884" w:rsidRPr="00395718">
        <w:rPr>
          <w:rStyle w:val="EndnoteReference"/>
        </w:rPr>
        <w:t xml:space="preserve">  </w:t>
      </w:r>
      <w:r w:rsidR="00796A18">
        <w:t xml:space="preserve">It is also </w:t>
      </w:r>
      <w:r w:rsidR="009A453F" w:rsidRPr="00796A18">
        <w:rPr>
          <w:rFonts w:cs="Arial"/>
        </w:rPr>
        <w:t xml:space="preserve">crucial that </w:t>
      </w:r>
      <w:r w:rsidR="000B5CC3" w:rsidRPr="00796A18">
        <w:rPr>
          <w:rFonts w:cs="Arial"/>
        </w:rPr>
        <w:t xml:space="preserve">while they are detained </w:t>
      </w:r>
      <w:r w:rsidR="009A453F" w:rsidRPr="00796A18">
        <w:rPr>
          <w:rFonts w:cs="Arial"/>
        </w:rPr>
        <w:t>appropriate treatment, support and rehabilitation services are provided</w:t>
      </w:r>
      <w:r w:rsidR="000B5CC3" w:rsidRPr="00796A18">
        <w:rPr>
          <w:rFonts w:cs="Arial"/>
        </w:rPr>
        <w:t xml:space="preserve"> to address the causes of the person’s behaviour</w:t>
      </w:r>
      <w:r w:rsidR="0058102E" w:rsidRPr="00796A18">
        <w:rPr>
          <w:rFonts w:cs="Arial"/>
        </w:rPr>
        <w:t>. This include</w:t>
      </w:r>
      <w:r w:rsidR="00796A18">
        <w:rPr>
          <w:rFonts w:cs="Arial"/>
        </w:rPr>
        <w:t>s</w:t>
      </w:r>
      <w:r w:rsidR="0058102E" w:rsidRPr="00796A18">
        <w:rPr>
          <w:rFonts w:cs="Arial"/>
        </w:rPr>
        <w:t xml:space="preserve"> culturally specific </w:t>
      </w:r>
      <w:r w:rsidR="00954FCC" w:rsidRPr="00796A18">
        <w:rPr>
          <w:rFonts w:cs="Arial"/>
        </w:rPr>
        <w:t>services for Abor</w:t>
      </w:r>
      <w:r w:rsidR="0058102E" w:rsidRPr="00796A18">
        <w:rPr>
          <w:rFonts w:cs="Arial"/>
        </w:rPr>
        <w:t>ig</w:t>
      </w:r>
      <w:r w:rsidR="00954FCC" w:rsidRPr="00796A18">
        <w:rPr>
          <w:rFonts w:cs="Arial"/>
        </w:rPr>
        <w:t>i</w:t>
      </w:r>
      <w:r w:rsidR="0058102E" w:rsidRPr="00796A18">
        <w:rPr>
          <w:rFonts w:cs="Arial"/>
        </w:rPr>
        <w:t xml:space="preserve">nal and Torres Strait Islander people with disability. </w:t>
      </w:r>
    </w:p>
    <w:p w14:paraId="030BD479" w14:textId="798CE762" w:rsidR="006552F7" w:rsidRPr="006552F7" w:rsidRDefault="00B807F8" w:rsidP="00F02857">
      <w:pPr>
        <w:pStyle w:val="SubmissionNormal"/>
        <w:tabs>
          <w:tab w:val="clear" w:pos="720"/>
          <w:tab w:val="num" w:pos="567"/>
        </w:tabs>
        <w:ind w:left="567" w:hanging="567"/>
      </w:pPr>
      <w:r>
        <w:t>The needs of p</w:t>
      </w:r>
      <w:r w:rsidR="00570AFA" w:rsidRPr="00234A27">
        <w:t>e</w:t>
      </w:r>
      <w:r w:rsidR="00570AFA">
        <w:t>ople with cognitive impairment</w:t>
      </w:r>
      <w:r>
        <w:t xml:space="preserve"> who are </w:t>
      </w:r>
      <w:r w:rsidR="008D1EEC">
        <w:t xml:space="preserve">placed in detention after </w:t>
      </w:r>
      <w:r w:rsidR="006179BC">
        <w:t xml:space="preserve">being </w:t>
      </w:r>
      <w:r>
        <w:t xml:space="preserve">found unfit to stand trial or not guilty by reason of mental impairment require special attention. They </w:t>
      </w:r>
      <w:r w:rsidRPr="00D413EE">
        <w:t xml:space="preserve">are at greater risk of being detained indefinitely, as </w:t>
      </w:r>
      <w:r w:rsidR="00E73FBA" w:rsidRPr="00D413EE">
        <w:rPr>
          <w:rFonts w:cs="Arial"/>
        </w:rPr>
        <w:t>unlike most types of psychiatric impairment,</w:t>
      </w:r>
      <w:r w:rsidRPr="00D413EE">
        <w:rPr>
          <w:rFonts w:cs="Arial"/>
        </w:rPr>
        <w:t xml:space="preserve"> </w:t>
      </w:r>
      <w:r w:rsidR="008D1EEC">
        <w:rPr>
          <w:rFonts w:cs="Arial"/>
        </w:rPr>
        <w:t xml:space="preserve">cognitive impairment </w:t>
      </w:r>
      <w:r w:rsidRPr="00D413EE">
        <w:rPr>
          <w:rFonts w:cs="Arial"/>
        </w:rPr>
        <w:t>is not ‘treatable’ and does not ‘</w:t>
      </w:r>
      <w:r w:rsidR="006552F7" w:rsidRPr="00D413EE">
        <w:rPr>
          <w:rFonts w:cs="Arial"/>
        </w:rPr>
        <w:t>“</w:t>
      </w:r>
      <w:r w:rsidRPr="00D413EE">
        <w:rPr>
          <w:rFonts w:cs="Arial"/>
        </w:rPr>
        <w:t>improve</w:t>
      </w:r>
      <w:r w:rsidR="006552F7" w:rsidRPr="00D413EE">
        <w:rPr>
          <w:rFonts w:cs="Arial"/>
        </w:rPr>
        <w:t>”</w:t>
      </w:r>
      <w:r w:rsidRPr="00D413EE">
        <w:rPr>
          <w:rFonts w:cs="Arial"/>
        </w:rPr>
        <w:t xml:space="preserve"> over time’.</w:t>
      </w:r>
      <w:r w:rsidRPr="00D413EE">
        <w:rPr>
          <w:rStyle w:val="EndnoteReference"/>
          <w:rFonts w:cs="Arial"/>
          <w:sz w:val="24"/>
        </w:rPr>
        <w:endnoteReference w:id="143"/>
      </w:r>
      <w:r w:rsidRPr="00D413EE">
        <w:rPr>
          <w:rFonts w:cs="Arial"/>
        </w:rPr>
        <w:t xml:space="preserve"> </w:t>
      </w:r>
      <w:r w:rsidR="00F02857" w:rsidRPr="00D413EE">
        <w:rPr>
          <w:rFonts w:cs="Arial"/>
        </w:rPr>
        <w:t>This is problematic as under mental health laws ‘a</w:t>
      </w:r>
      <w:r w:rsidR="006D69A0" w:rsidRPr="00D413EE">
        <w:rPr>
          <w:rFonts w:cs="Arial"/>
        </w:rPr>
        <w:t>ssessments, reviews, and in some cases the possibility of release are all dependent on the potential for an improvement in the condition</w:t>
      </w:r>
      <w:r w:rsidR="00F02857" w:rsidRPr="00D413EE">
        <w:rPr>
          <w:rFonts w:cs="Arial"/>
        </w:rPr>
        <w:t>’.</w:t>
      </w:r>
      <w:r w:rsidR="00F02857" w:rsidRPr="00D413EE">
        <w:rPr>
          <w:rStyle w:val="EndnoteReference"/>
          <w:rFonts w:cs="Arial"/>
          <w:sz w:val="24"/>
        </w:rPr>
        <w:endnoteReference w:id="144"/>
      </w:r>
      <w:r w:rsidR="006D69A0" w:rsidRPr="00F02857">
        <w:rPr>
          <w:rFonts w:cs="Arial"/>
          <w:sz w:val="22"/>
          <w:szCs w:val="22"/>
        </w:rPr>
        <w:t xml:space="preserve"> </w:t>
      </w:r>
    </w:p>
    <w:p w14:paraId="70157114" w14:textId="72D990FB" w:rsidR="001424E5" w:rsidRDefault="00570AFA" w:rsidP="005C7AE6">
      <w:pPr>
        <w:pStyle w:val="SubmissionNormal"/>
        <w:tabs>
          <w:tab w:val="clear" w:pos="720"/>
          <w:tab w:val="num" w:pos="567"/>
        </w:tabs>
        <w:ind w:left="567" w:hanging="567"/>
      </w:pPr>
      <w:r>
        <w:t>People with cognitive impairment who have been found unfit to stand trial or not guilty by reason of mental impair</w:t>
      </w:r>
      <w:r w:rsidR="00F13827">
        <w:t xml:space="preserve">ment may therefore get stuck in </w:t>
      </w:r>
      <w:r w:rsidR="00316CCF">
        <w:t xml:space="preserve">detention. </w:t>
      </w:r>
      <w:r w:rsidR="00D413EE">
        <w:t>W</w:t>
      </w:r>
      <w:r w:rsidRPr="00F05C0A">
        <w:t xml:space="preserve">hen </w:t>
      </w:r>
      <w:r w:rsidR="00316CCF">
        <w:t xml:space="preserve">they are </w:t>
      </w:r>
      <w:r w:rsidRPr="00F05C0A">
        <w:t xml:space="preserve">reviewed by the various decision-making tribunals, ‘there is usually very </w:t>
      </w:r>
      <w:r>
        <w:t>little shift in terms of their “risk”</w:t>
      </w:r>
      <w:r w:rsidRPr="00F05C0A">
        <w:t xml:space="preserve"> to themselves or to the community</w:t>
      </w:r>
      <w:r w:rsidR="00357E8D">
        <w:t>’.</w:t>
      </w:r>
      <w:r>
        <w:rPr>
          <w:rStyle w:val="EndnoteReference"/>
        </w:rPr>
        <w:endnoteReference w:id="145"/>
      </w:r>
      <w:r w:rsidRPr="00F05C0A">
        <w:t xml:space="preserve"> </w:t>
      </w:r>
      <w:r w:rsidR="00316CCF">
        <w:t>The VLRC noted that ‘</w:t>
      </w:r>
      <w:r w:rsidR="00316CCF" w:rsidRPr="00A74ABE">
        <w:t>it is rare for a person with an intell</w:t>
      </w:r>
      <w:r w:rsidR="00316CCF">
        <w:t>ectual disability to have their supervision order revoked</w:t>
      </w:r>
      <w:r w:rsidR="00750B88">
        <w:t>’.</w:t>
      </w:r>
      <w:r w:rsidR="00316CCF">
        <w:rPr>
          <w:rStyle w:val="EndnoteReference"/>
        </w:rPr>
        <w:endnoteReference w:id="146"/>
      </w:r>
    </w:p>
    <w:p w14:paraId="4F8C589B" w14:textId="4AA271B2" w:rsidR="00D413EE" w:rsidRPr="001A6CD2" w:rsidRDefault="00027CEB" w:rsidP="001A6CD2">
      <w:pPr>
        <w:pStyle w:val="SubmissionNormal"/>
        <w:tabs>
          <w:tab w:val="clear" w:pos="720"/>
          <w:tab w:val="num" w:pos="567"/>
        </w:tabs>
        <w:ind w:left="567" w:hanging="567"/>
        <w:rPr>
          <w:rFonts w:cs="Arial"/>
        </w:rPr>
      </w:pPr>
      <w:r w:rsidRPr="00027CEB">
        <w:rPr>
          <w:rFonts w:cs="Arial"/>
        </w:rPr>
        <w:t>The unique needs of people with cognitive impairment</w:t>
      </w:r>
      <w:r>
        <w:rPr>
          <w:rFonts w:cs="Arial"/>
        </w:rPr>
        <w:t xml:space="preserve"> in detention</w:t>
      </w:r>
      <w:r w:rsidRPr="00027CEB">
        <w:rPr>
          <w:rFonts w:cs="Arial"/>
        </w:rPr>
        <w:t xml:space="preserve"> </w:t>
      </w:r>
      <w:r>
        <w:rPr>
          <w:rFonts w:cs="Arial"/>
        </w:rPr>
        <w:t xml:space="preserve">need to be addressed in order to ensure that they can be supported to transition into lower security settings, and ultimately back into the community, whenever possible. </w:t>
      </w:r>
    </w:p>
    <w:p w14:paraId="272F9239" w14:textId="07BB3C6D" w:rsidR="00436022" w:rsidRDefault="00436022" w:rsidP="00436022">
      <w:pPr>
        <w:pStyle w:val="SubmissionNormal"/>
        <w:tabs>
          <w:tab w:val="clear" w:pos="720"/>
          <w:tab w:val="num" w:pos="567"/>
        </w:tabs>
        <w:ind w:left="567" w:hanging="567"/>
      </w:pPr>
      <w:r>
        <w:t xml:space="preserve">The Commission echoes the recommendation of the ALRC that there need to be effective limits </w:t>
      </w:r>
      <w:r w:rsidR="009152B5">
        <w:t xml:space="preserve">in the relevant legislation </w:t>
      </w:r>
      <w:r>
        <w:t xml:space="preserve">on the period of detention that can be imposed on people found unfit to stand trial, and </w:t>
      </w:r>
      <w:r w:rsidR="009152B5">
        <w:t xml:space="preserve">requirements for </w:t>
      </w:r>
      <w:r>
        <w:t>regular periodic reviews of detention orders.</w:t>
      </w:r>
      <w:r>
        <w:rPr>
          <w:rStyle w:val="EndnoteReference"/>
        </w:rPr>
        <w:endnoteReference w:id="147"/>
      </w:r>
      <w:r>
        <w:t xml:space="preserve"> </w:t>
      </w:r>
      <w:r w:rsidR="00216AD7">
        <w:t>The Commission suggests the six</w:t>
      </w:r>
      <w:r w:rsidR="00BC66F8">
        <w:t xml:space="preserve"> month timeframe for reviews used under Commonwealth and Queensland law</w:t>
      </w:r>
      <w:r w:rsidR="006A0B88">
        <w:t>s</w:t>
      </w:r>
      <w:r w:rsidR="00BC66F8">
        <w:t xml:space="preserve"> be considered.</w:t>
      </w:r>
      <w:r w:rsidR="00BC66F8">
        <w:rPr>
          <w:rStyle w:val="EndnoteReference"/>
        </w:rPr>
        <w:endnoteReference w:id="148"/>
      </w:r>
      <w:r w:rsidR="00BC66F8">
        <w:t xml:space="preserve"> </w:t>
      </w:r>
      <w:r>
        <w:t xml:space="preserve">These safeguards should also apply to the detention of people found not guilty by reason of mental impairment after a full trial. </w:t>
      </w:r>
    </w:p>
    <w:p w14:paraId="2FC80333" w14:textId="5D25F1D0" w:rsidR="00436022" w:rsidRPr="005C7AE6" w:rsidRDefault="009152B5" w:rsidP="005C7AE6">
      <w:pPr>
        <w:pStyle w:val="SubmissionNormal"/>
        <w:tabs>
          <w:tab w:val="clear" w:pos="720"/>
          <w:tab w:val="num" w:pos="567"/>
        </w:tabs>
        <w:ind w:left="567" w:hanging="567"/>
      </w:pPr>
      <w:r>
        <w:t xml:space="preserve">There also should be a requirement in all jurisdictions that at the time a detention order is made, a plan is put in place, with timeframes, to ensure support, treatment and rehabilitation services are provided to the person so that they can transition into progressively less restrictive environments, and eventually be reintegrated back into the community.   </w:t>
      </w:r>
    </w:p>
    <w:p w14:paraId="36589CB3" w14:textId="32F92D4B" w:rsidR="00E7665B" w:rsidRDefault="000326BE" w:rsidP="00016C2A">
      <w:pPr>
        <w:autoSpaceDE w:val="0"/>
        <w:autoSpaceDN w:val="0"/>
        <w:adjustRightInd w:val="0"/>
        <w:spacing w:before="0" w:after="120"/>
        <w:ind w:left="567"/>
        <w:rPr>
          <w:rFonts w:ascii="Frutiger-Bold" w:eastAsia="Times New Roman" w:hAnsi="Frutiger-Bold" w:cs="Frutiger-Bold"/>
          <w:b/>
          <w:bCs/>
        </w:rPr>
      </w:pPr>
      <w:r w:rsidRPr="000326BE">
        <w:rPr>
          <w:rFonts w:ascii="Frutiger-Bold" w:eastAsia="Times New Roman" w:hAnsi="Frutiger-Bold" w:cs="Frutiger-Bold"/>
          <w:b/>
          <w:bCs/>
        </w:rPr>
        <w:t xml:space="preserve">Recommendation 7: </w:t>
      </w:r>
      <w:r>
        <w:rPr>
          <w:rFonts w:ascii="Frutiger-Bold" w:eastAsia="Times New Roman" w:hAnsi="Frutiger-Bold" w:cs="Frutiger-Bold"/>
          <w:b/>
          <w:bCs/>
        </w:rPr>
        <w:t>The Commission recommends that a</w:t>
      </w:r>
      <w:r w:rsidRPr="000326BE">
        <w:rPr>
          <w:rFonts w:ascii="Frutiger-Bold" w:eastAsia="Times New Roman" w:hAnsi="Frutiger-Bold" w:cs="Frutiger-Bold"/>
          <w:b/>
          <w:bCs/>
        </w:rPr>
        <w:t>ll state and</w:t>
      </w:r>
      <w:r w:rsidR="004E6FB2">
        <w:rPr>
          <w:rFonts w:ascii="Frutiger-Bold" w:eastAsia="Times New Roman" w:hAnsi="Frutiger-Bold" w:cs="Frutiger-Bold"/>
          <w:b/>
          <w:bCs/>
        </w:rPr>
        <w:t xml:space="preserve"> territory laws which allow </w:t>
      </w:r>
      <w:r w:rsidR="00AB22F4">
        <w:rPr>
          <w:rFonts w:ascii="Frutiger-Bold" w:eastAsia="Times New Roman" w:hAnsi="Frutiger-Bold" w:cs="Frutiger-Bold"/>
          <w:b/>
          <w:bCs/>
        </w:rPr>
        <w:t xml:space="preserve">for </w:t>
      </w:r>
      <w:r w:rsidRPr="000326BE">
        <w:rPr>
          <w:rFonts w:ascii="Frutiger-Bold" w:eastAsia="Times New Roman" w:hAnsi="Frutiger-Bold" w:cs="Frutiger-Bold"/>
          <w:b/>
          <w:bCs/>
        </w:rPr>
        <w:t xml:space="preserve">people to be detained following a finding of </w:t>
      </w:r>
      <w:r w:rsidRPr="000326BE">
        <w:rPr>
          <w:rFonts w:ascii="Frutiger-Bold" w:eastAsia="Times New Roman" w:hAnsi="Frutiger-Bold" w:cs="Frutiger-Bold"/>
          <w:b/>
          <w:bCs/>
        </w:rPr>
        <w:lastRenderedPageBreak/>
        <w:t>unfitness to stand trial, or a verdict of not guilty</w:t>
      </w:r>
      <w:r w:rsidR="00E7665B">
        <w:rPr>
          <w:rFonts w:ascii="Frutiger-Bold" w:eastAsia="Times New Roman" w:hAnsi="Frutiger-Bold" w:cs="Frutiger-Bold"/>
          <w:b/>
          <w:bCs/>
        </w:rPr>
        <w:t xml:space="preserve"> by reason of mental impairment:</w:t>
      </w:r>
      <w:r w:rsidRPr="000326BE">
        <w:rPr>
          <w:rFonts w:ascii="Frutiger-Bold" w:eastAsia="Times New Roman" w:hAnsi="Frutiger-Bold" w:cs="Frutiger-Bold"/>
          <w:b/>
          <w:bCs/>
        </w:rPr>
        <w:t xml:space="preserve"> </w:t>
      </w:r>
    </w:p>
    <w:p w14:paraId="5EB60331" w14:textId="77777777" w:rsidR="00E7665B" w:rsidRPr="00016C2A" w:rsidRDefault="000326BE" w:rsidP="00016C2A">
      <w:pPr>
        <w:pStyle w:val="SubmissionNormal"/>
        <w:numPr>
          <w:ilvl w:val="0"/>
          <w:numId w:val="45"/>
        </w:numPr>
        <w:spacing w:before="0" w:after="120"/>
        <w:ind w:left="993" w:hanging="426"/>
        <w:rPr>
          <w:rFonts w:cs="Arial"/>
          <w:b/>
        </w:rPr>
      </w:pPr>
      <w:r w:rsidRPr="00016C2A">
        <w:rPr>
          <w:rFonts w:cs="Arial"/>
          <w:b/>
        </w:rPr>
        <w:t>impose effective limits on</w:t>
      </w:r>
      <w:r w:rsidR="00E7665B" w:rsidRPr="00016C2A">
        <w:rPr>
          <w:rFonts w:cs="Arial"/>
          <w:b/>
        </w:rPr>
        <w:t xml:space="preserve"> the total period of detention</w:t>
      </w:r>
    </w:p>
    <w:p w14:paraId="549725F3" w14:textId="5B442627" w:rsidR="000326BE" w:rsidRPr="00016C2A" w:rsidRDefault="000326BE" w:rsidP="00016C2A">
      <w:pPr>
        <w:pStyle w:val="SubmissionNormal"/>
        <w:numPr>
          <w:ilvl w:val="0"/>
          <w:numId w:val="45"/>
        </w:numPr>
        <w:spacing w:before="0" w:after="120"/>
        <w:ind w:left="993" w:hanging="426"/>
        <w:rPr>
          <w:rFonts w:cs="Arial"/>
          <w:b/>
        </w:rPr>
      </w:pPr>
      <w:r w:rsidRPr="00016C2A">
        <w:rPr>
          <w:rFonts w:cs="Arial"/>
          <w:b/>
        </w:rPr>
        <w:t>require regular re</w:t>
      </w:r>
      <w:r w:rsidR="00E7665B" w:rsidRPr="00016C2A">
        <w:rPr>
          <w:rFonts w:cs="Arial"/>
          <w:b/>
        </w:rPr>
        <w:t>views of the need for detention</w:t>
      </w:r>
    </w:p>
    <w:p w14:paraId="7AAEA86D" w14:textId="6535A674" w:rsidR="0042209B" w:rsidRPr="00016C2A" w:rsidRDefault="00E7665B" w:rsidP="00016C2A">
      <w:pPr>
        <w:pStyle w:val="SubmissionNormal"/>
        <w:numPr>
          <w:ilvl w:val="0"/>
          <w:numId w:val="45"/>
        </w:numPr>
        <w:spacing w:before="0" w:after="120"/>
        <w:ind w:left="993" w:hanging="426"/>
        <w:rPr>
          <w:rFonts w:cs="Arial"/>
          <w:b/>
        </w:rPr>
      </w:pPr>
      <w:r w:rsidRPr="00016C2A">
        <w:rPr>
          <w:rFonts w:cs="Arial"/>
          <w:b/>
        </w:rPr>
        <w:t>require a plan to be put in place including actions to be taken for the person’s rehabilitation</w:t>
      </w:r>
      <w:r w:rsidR="00922A3B">
        <w:rPr>
          <w:rFonts w:cs="Arial"/>
          <w:b/>
        </w:rPr>
        <w:t xml:space="preserve"> to facilitate </w:t>
      </w:r>
      <w:r w:rsidR="00E81894" w:rsidRPr="00016C2A">
        <w:rPr>
          <w:rFonts w:cs="Arial"/>
          <w:b/>
        </w:rPr>
        <w:t xml:space="preserve">their transition into </w:t>
      </w:r>
      <w:r w:rsidRPr="00016C2A">
        <w:rPr>
          <w:rFonts w:cs="Arial"/>
          <w:b/>
        </w:rPr>
        <w:t>progressively less restrictive environments, and eventually out of detention.</w:t>
      </w:r>
    </w:p>
    <w:p w14:paraId="195F028F" w14:textId="31CA3FE3" w:rsidR="00570AFA" w:rsidRDefault="00570AFA" w:rsidP="00F624B5">
      <w:pPr>
        <w:pStyle w:val="Heading2"/>
      </w:pPr>
      <w:bookmarkStart w:id="93" w:name="_Toc447200194"/>
      <w:r>
        <w:t>Detention in prisons</w:t>
      </w:r>
      <w:bookmarkEnd w:id="93"/>
    </w:p>
    <w:p w14:paraId="3EB01FB4" w14:textId="777E34E7" w:rsidR="00570AFA" w:rsidRPr="00DA25CB" w:rsidRDefault="00570AFA" w:rsidP="004E024A">
      <w:pPr>
        <w:pStyle w:val="SubmissionNormal"/>
        <w:tabs>
          <w:tab w:val="clear" w:pos="720"/>
          <w:tab w:val="num" w:pos="567"/>
        </w:tabs>
        <w:ind w:left="567" w:hanging="567"/>
      </w:pPr>
      <w:r>
        <w:t xml:space="preserve">Under the Disability </w:t>
      </w:r>
      <w:r w:rsidR="003A62E7">
        <w:t xml:space="preserve">Convention, </w:t>
      </w:r>
      <w:r w:rsidRPr="00F624B5">
        <w:t xml:space="preserve">people with disability </w:t>
      </w:r>
      <w:r w:rsidR="003A62E7">
        <w:rPr>
          <w:rFonts w:cs="Arial"/>
          <w:color w:val="000000"/>
        </w:rPr>
        <w:t>deprived of their liberty</w:t>
      </w:r>
      <w:r w:rsidRPr="00F624B5">
        <w:rPr>
          <w:rFonts w:cs="Arial"/>
          <w:color w:val="000000"/>
        </w:rPr>
        <w:t xml:space="preserve"> are entitled to guarantees in accordance with international human rights law </w:t>
      </w:r>
      <w:r w:rsidR="00953EBC">
        <w:rPr>
          <w:rFonts w:cs="Arial"/>
          <w:color w:val="000000"/>
        </w:rPr>
        <w:t xml:space="preserve">and </w:t>
      </w:r>
      <w:r>
        <w:rPr>
          <w:rFonts w:cs="Arial"/>
          <w:color w:val="000000"/>
        </w:rPr>
        <w:t xml:space="preserve">to </w:t>
      </w:r>
      <w:r w:rsidRPr="00F624B5">
        <w:rPr>
          <w:rFonts w:cs="Arial"/>
          <w:color w:val="000000"/>
        </w:rPr>
        <w:t xml:space="preserve">be treated in compliance with the </w:t>
      </w:r>
      <w:r w:rsidRPr="004E024A">
        <w:t>Convention</w:t>
      </w:r>
      <w:r w:rsidRPr="00F624B5">
        <w:rPr>
          <w:rFonts w:cs="Arial"/>
          <w:color w:val="000000"/>
        </w:rPr>
        <w:t>.</w:t>
      </w:r>
      <w:r>
        <w:rPr>
          <w:rStyle w:val="EndnoteReference"/>
          <w:rFonts w:eastAsia="MS Mincho" w:cs="Arial"/>
          <w:color w:val="000000"/>
        </w:rPr>
        <w:endnoteReference w:id="149"/>
      </w:r>
      <w:r>
        <w:rPr>
          <w:rFonts w:cs="Arial"/>
          <w:color w:val="000000"/>
        </w:rPr>
        <w:t xml:space="preserve"> </w:t>
      </w:r>
      <w:r w:rsidR="00FC4275">
        <w:rPr>
          <w:rFonts w:cs="Arial"/>
          <w:color w:val="000000"/>
        </w:rPr>
        <w:t>This includes the right to be treated with humanity and respect for their inherent dignity.</w:t>
      </w:r>
      <w:r w:rsidR="00FC4275">
        <w:rPr>
          <w:rStyle w:val="EndnoteReference"/>
          <w:rFonts w:cs="Arial"/>
          <w:color w:val="000000"/>
        </w:rPr>
        <w:endnoteReference w:id="150"/>
      </w:r>
      <w:r w:rsidR="00FC4275">
        <w:rPr>
          <w:rFonts w:cs="Arial"/>
          <w:color w:val="000000"/>
        </w:rPr>
        <w:t xml:space="preserve"> </w:t>
      </w:r>
      <w:r>
        <w:rPr>
          <w:rFonts w:cs="Arial"/>
          <w:color w:val="000000"/>
        </w:rPr>
        <w:t>People with disability also have a right to health, habilitation and rehabilitation services</w:t>
      </w:r>
      <w:r w:rsidRPr="00F624B5">
        <w:rPr>
          <w:rFonts w:cs="Arial"/>
          <w:color w:val="000000"/>
          <w:shd w:val="clear" w:color="auto" w:fill="FFFFFF"/>
        </w:rPr>
        <w:t>.</w:t>
      </w:r>
      <w:r w:rsidRPr="00743FF3">
        <w:rPr>
          <w:rStyle w:val="EndnoteReference"/>
          <w:rFonts w:eastAsia="MS Mincho" w:cs="Arial"/>
          <w:color w:val="000000"/>
          <w:lang w:val="en"/>
        </w:rPr>
        <w:endnoteReference w:id="151"/>
      </w:r>
    </w:p>
    <w:p w14:paraId="0F956BE6" w14:textId="1971D4DD" w:rsidR="00570AFA" w:rsidRPr="00DA25CB" w:rsidRDefault="00570AFA" w:rsidP="004E024A">
      <w:pPr>
        <w:pStyle w:val="SubmissionNormal"/>
        <w:tabs>
          <w:tab w:val="clear" w:pos="720"/>
          <w:tab w:val="num" w:pos="567"/>
        </w:tabs>
        <w:ind w:left="567" w:hanging="567"/>
      </w:pPr>
      <w:r w:rsidRPr="00DA25CB">
        <w:t xml:space="preserve">The relevant legislation in </w:t>
      </w:r>
      <w:r>
        <w:t>most</w:t>
      </w:r>
      <w:r w:rsidRPr="00DA25CB">
        <w:t xml:space="preserve"> </w:t>
      </w:r>
      <w:r w:rsidR="00A65494">
        <w:t xml:space="preserve">Australian </w:t>
      </w:r>
      <w:r w:rsidRPr="00DA25CB">
        <w:t xml:space="preserve">jurisdictions allows for people found unfit to stand trial or not guilty by reason of mental impairment </w:t>
      </w:r>
      <w:r w:rsidR="008D2CE0">
        <w:t xml:space="preserve">to be detained </w:t>
      </w:r>
      <w:r w:rsidRPr="00DA25CB">
        <w:t>in prisons.</w:t>
      </w:r>
      <w:r>
        <w:rPr>
          <w:rStyle w:val="EndnoteReference"/>
        </w:rPr>
        <w:endnoteReference w:id="152"/>
      </w:r>
      <w:r w:rsidRPr="00DA25CB">
        <w:t xml:space="preserve"> </w:t>
      </w:r>
      <w:r w:rsidRPr="00DA25CB">
        <w:rPr>
          <w:rFonts w:cs="Arial"/>
        </w:rPr>
        <w:t>In Victoria, South Australia</w:t>
      </w:r>
      <w:r w:rsidR="009B352E">
        <w:rPr>
          <w:rFonts w:cs="Arial"/>
        </w:rPr>
        <w:t>, the ACT and the NT</w:t>
      </w:r>
      <w:r w:rsidR="009A18EC">
        <w:rPr>
          <w:rFonts w:cs="Arial"/>
        </w:rPr>
        <w:t>,</w:t>
      </w:r>
      <w:r w:rsidR="009B352E">
        <w:rPr>
          <w:rFonts w:cs="Arial"/>
        </w:rPr>
        <w:t xml:space="preserve"> the legislation only allows this </w:t>
      </w:r>
      <w:r w:rsidRPr="00DA25CB">
        <w:rPr>
          <w:rFonts w:cs="Arial"/>
        </w:rPr>
        <w:t>when there is no practicable alternative available.</w:t>
      </w:r>
      <w:r w:rsidRPr="00DA25CB">
        <w:rPr>
          <w:rStyle w:val="EndnoteReference"/>
          <w:rFonts w:cs="Arial"/>
          <w:sz w:val="24"/>
        </w:rPr>
        <w:endnoteReference w:id="153"/>
      </w:r>
    </w:p>
    <w:p w14:paraId="7FE2BC14" w14:textId="261114E5" w:rsidR="00570AFA" w:rsidRDefault="00570AFA" w:rsidP="00E41CB3">
      <w:pPr>
        <w:pStyle w:val="SubmissionNormal"/>
        <w:tabs>
          <w:tab w:val="clear" w:pos="720"/>
          <w:tab w:val="num" w:pos="567"/>
        </w:tabs>
        <w:ind w:left="567" w:hanging="567"/>
      </w:pPr>
      <w:r w:rsidRPr="0030023A">
        <w:t>In many juri</w:t>
      </w:r>
      <w:r>
        <w:t>sdictions there have been reported to be</w:t>
      </w:r>
      <w:r w:rsidRPr="0030023A">
        <w:t xml:space="preserve"> ‘insufficient facilities to </w:t>
      </w:r>
      <w:r w:rsidRPr="0030023A">
        <w:rPr>
          <w:rFonts w:cs="Arial"/>
        </w:rPr>
        <w:t>provide both the required level of security and also the treatment and servic</w:t>
      </w:r>
      <w:r w:rsidR="00C05D54">
        <w:rPr>
          <w:rFonts w:cs="Arial"/>
        </w:rPr>
        <w:t>es needed’ for</w:t>
      </w:r>
      <w:r w:rsidRPr="0030023A">
        <w:rPr>
          <w:rFonts w:cs="Arial"/>
        </w:rPr>
        <w:t xml:space="preserve"> some people </w:t>
      </w:r>
      <w:r w:rsidR="00C05D54">
        <w:rPr>
          <w:rFonts w:cs="Arial"/>
        </w:rPr>
        <w:t>found unfit</w:t>
      </w:r>
      <w:r w:rsidRPr="0030023A">
        <w:rPr>
          <w:rFonts w:cs="Arial"/>
        </w:rPr>
        <w:t xml:space="preserve"> or not guilty by reason of mental impairment, with the consequence that </w:t>
      </w:r>
      <w:r>
        <w:rPr>
          <w:rFonts w:cs="Arial"/>
        </w:rPr>
        <w:t xml:space="preserve">they </w:t>
      </w:r>
      <w:r w:rsidRPr="0030023A">
        <w:rPr>
          <w:rFonts w:cs="Arial"/>
        </w:rPr>
        <w:t>are held in correctional centres.</w:t>
      </w:r>
      <w:r w:rsidRPr="0030023A">
        <w:rPr>
          <w:rStyle w:val="EndnoteReference"/>
          <w:rFonts w:cs="Arial"/>
          <w:sz w:val="24"/>
        </w:rPr>
        <w:endnoteReference w:id="154"/>
      </w:r>
      <w:r w:rsidR="00E41CB3">
        <w:t xml:space="preserve"> </w:t>
      </w:r>
      <w:r w:rsidRPr="00E41CB3">
        <w:rPr>
          <w:rFonts w:cs="Arial"/>
        </w:rPr>
        <w:t xml:space="preserve">This is particularly true </w:t>
      </w:r>
      <w:r w:rsidRPr="006B090B">
        <w:t>for</w:t>
      </w:r>
      <w:r w:rsidRPr="00E41CB3">
        <w:rPr>
          <w:rFonts w:cs="Arial"/>
        </w:rPr>
        <w:t xml:space="preserve"> people with cognitive impairm</w:t>
      </w:r>
      <w:r w:rsidR="00D244F8" w:rsidRPr="00E41CB3">
        <w:rPr>
          <w:rFonts w:cs="Arial"/>
        </w:rPr>
        <w:t>ent. T</w:t>
      </w:r>
      <w:r w:rsidRPr="00E41CB3">
        <w:rPr>
          <w:rFonts w:cs="Arial"/>
        </w:rPr>
        <w:t>he NSW</w:t>
      </w:r>
      <w:r w:rsidR="00D244F8" w:rsidRPr="00E41CB3">
        <w:rPr>
          <w:rFonts w:cs="Arial"/>
        </w:rPr>
        <w:t xml:space="preserve">LRC </w:t>
      </w:r>
      <w:r w:rsidRPr="00E41CB3">
        <w:rPr>
          <w:rFonts w:cs="Arial"/>
        </w:rPr>
        <w:t>noted ‘</w:t>
      </w:r>
      <w:r>
        <w:t>while the mental health system has gaps, services for people with cognitive impairment in the community are even more limited’.</w:t>
      </w:r>
      <w:r>
        <w:rPr>
          <w:rStyle w:val="EndnoteReference"/>
        </w:rPr>
        <w:endnoteReference w:id="155"/>
      </w:r>
      <w:r w:rsidR="00DA6951">
        <w:t xml:space="preserve"> That Commission identified that prisons may be ‘filling the gap’</w:t>
      </w:r>
      <w:r w:rsidR="009D488B">
        <w:t xml:space="preserve"> left by the</w:t>
      </w:r>
    </w:p>
    <w:p w14:paraId="0142AECC" w14:textId="66854140" w:rsidR="00570AFA" w:rsidRPr="008C5E7A" w:rsidRDefault="00570AFA" w:rsidP="008C5E7A">
      <w:pPr>
        <w:pStyle w:val="SubmissionNormal"/>
        <w:numPr>
          <w:ilvl w:val="0"/>
          <w:numId w:val="0"/>
        </w:numPr>
        <w:spacing w:before="0" w:after="120"/>
        <w:ind w:left="1134"/>
        <w:rPr>
          <w:rFonts w:cs="Arial"/>
          <w:sz w:val="22"/>
          <w:szCs w:val="22"/>
        </w:rPr>
      </w:pPr>
      <w:r>
        <w:rPr>
          <w:rFonts w:cs="Arial"/>
          <w:sz w:val="22"/>
          <w:szCs w:val="22"/>
        </w:rPr>
        <w:t>absence of secure facilities in the community where forensic patients with cognitive impairments can be detained and appropriately treated or managed, and of infrastructure to assist them in the community in supported accommodation or otherwise.</w:t>
      </w:r>
      <w:r w:rsidRPr="008C5E7A">
        <w:rPr>
          <w:rStyle w:val="EndnoteReference"/>
          <w:rFonts w:cs="Arial"/>
          <w:sz w:val="24"/>
        </w:rPr>
        <w:endnoteReference w:id="156"/>
      </w:r>
    </w:p>
    <w:p w14:paraId="51857A94" w14:textId="33AA4F4A" w:rsidR="00570AFA" w:rsidRPr="00B8685D" w:rsidRDefault="00F66FAB" w:rsidP="004E024A">
      <w:pPr>
        <w:pStyle w:val="SubmissionNormal"/>
        <w:tabs>
          <w:tab w:val="clear" w:pos="720"/>
          <w:tab w:val="num" w:pos="567"/>
        </w:tabs>
        <w:ind w:left="567" w:hanging="567"/>
      </w:pPr>
      <w:r>
        <w:t>M</w:t>
      </w:r>
      <w:r w:rsidR="00570AFA">
        <w:t xml:space="preserve">ental health facilities may not be appropriate places for people with cognitive impairment. Detention in </w:t>
      </w:r>
      <w:r w:rsidR="00953DBF">
        <w:t xml:space="preserve">such </w:t>
      </w:r>
      <w:r w:rsidR="00570AFA">
        <w:t>facilities may even be harmful to</w:t>
      </w:r>
      <w:r w:rsidR="00445686">
        <w:t xml:space="preserve"> them</w:t>
      </w:r>
      <w:r w:rsidR="00570AFA">
        <w:t xml:space="preserve">, such that </w:t>
      </w:r>
      <w:r w:rsidR="00953DBF">
        <w:t xml:space="preserve">they </w:t>
      </w:r>
      <w:r w:rsidR="00570AFA">
        <w:t>may choose to be detained in prison, if that is the only other option.</w:t>
      </w:r>
      <w:r w:rsidR="00570AFA" w:rsidRPr="00B8685D">
        <w:rPr>
          <w:rStyle w:val="EndnoteReference"/>
        </w:rPr>
        <w:endnoteReference w:id="157"/>
      </w:r>
      <w:r w:rsidR="00570AFA" w:rsidRPr="00B8685D">
        <w:rPr>
          <w:rStyle w:val="EndnoteReference"/>
        </w:rPr>
        <w:t xml:space="preserve">  </w:t>
      </w:r>
      <w:r w:rsidR="00570AFA" w:rsidRPr="00B8685D">
        <w:t>Legal Ai</w:t>
      </w:r>
      <w:r w:rsidR="00B650B3">
        <w:t>d N</w:t>
      </w:r>
      <w:r w:rsidR="00261084">
        <w:t xml:space="preserve">ew </w:t>
      </w:r>
      <w:r w:rsidR="00B650B3">
        <w:t>S</w:t>
      </w:r>
      <w:r w:rsidR="00261084">
        <w:t xml:space="preserve">outh </w:t>
      </w:r>
      <w:r w:rsidR="00B650B3">
        <w:t>W</w:t>
      </w:r>
      <w:r w:rsidR="00261084">
        <w:t>ales</w:t>
      </w:r>
      <w:r w:rsidR="00B650B3">
        <w:t xml:space="preserve"> has explained </w:t>
      </w:r>
      <w:r w:rsidR="00570AFA" w:rsidRPr="00B8685D">
        <w:t>that:</w:t>
      </w:r>
    </w:p>
    <w:p w14:paraId="72C43545" w14:textId="161C6982" w:rsidR="00570AFA" w:rsidRPr="001A7BB4" w:rsidRDefault="00570AFA" w:rsidP="001A7BB4">
      <w:pPr>
        <w:pStyle w:val="SubmissionNormal"/>
        <w:numPr>
          <w:ilvl w:val="0"/>
          <w:numId w:val="0"/>
        </w:numPr>
        <w:spacing w:before="0" w:after="120"/>
        <w:ind w:left="1134"/>
        <w:rPr>
          <w:rFonts w:cs="Arial"/>
          <w:sz w:val="22"/>
          <w:szCs w:val="22"/>
        </w:rPr>
      </w:pPr>
      <w:r w:rsidRPr="00B8685D">
        <w:rPr>
          <w:rFonts w:cs="Arial"/>
          <w:sz w:val="22"/>
          <w:szCs w:val="22"/>
        </w:rPr>
        <w:t>In a mental health facility, which is geared towards mental health treatment in a medical framework, the forensic patient is subject to compulsory treatment, and might receive inappropriate or ineffective treatment with side effects that decrease his or her quality of life, as well as have certain freedoms curtailed.</w:t>
      </w:r>
      <w:r>
        <w:rPr>
          <w:rStyle w:val="EndnoteReference"/>
          <w:rFonts w:cs="Arial"/>
          <w:szCs w:val="22"/>
        </w:rPr>
        <w:endnoteReference w:id="158"/>
      </w:r>
    </w:p>
    <w:p w14:paraId="0667E60B" w14:textId="492983D2" w:rsidR="00570AFA" w:rsidRPr="00B44FE6" w:rsidRDefault="00AA5EEB" w:rsidP="004E024A">
      <w:pPr>
        <w:pStyle w:val="SubmissionNormal"/>
        <w:tabs>
          <w:tab w:val="clear" w:pos="720"/>
          <w:tab w:val="num" w:pos="567"/>
        </w:tabs>
        <w:ind w:left="567" w:hanging="567"/>
      </w:pPr>
      <w:r>
        <w:t>The detention of</w:t>
      </w:r>
      <w:r w:rsidR="00570AFA">
        <w:t xml:space="preserve"> people with cognitive and/or psychiatric impairment in prisons raises concerns about the</w:t>
      </w:r>
      <w:r w:rsidR="006503CA">
        <w:t>ir</w:t>
      </w:r>
      <w:r w:rsidR="00570AFA">
        <w:t xml:space="preserve"> rights to health and rehabilitation. The prison environment may have a negative impact on the</w:t>
      </w:r>
      <w:r w:rsidR="0012487A">
        <w:t>ir</w:t>
      </w:r>
      <w:r w:rsidR="008A7431">
        <w:t xml:space="preserve"> health, </w:t>
      </w:r>
      <w:r w:rsidR="00570AFA">
        <w:t>make it difficult to monitor and identify deterioration i</w:t>
      </w:r>
      <w:r w:rsidR="008A7431">
        <w:t xml:space="preserve">n a person’s condition, and </w:t>
      </w:r>
      <w:r w:rsidR="00570AFA">
        <w:t>restrict the extent to which their therapeutic needs can be addressed.</w:t>
      </w:r>
      <w:r w:rsidR="00570AFA">
        <w:rPr>
          <w:rStyle w:val="EndnoteReference"/>
        </w:rPr>
        <w:endnoteReference w:id="159"/>
      </w:r>
      <w:r w:rsidR="006503CA">
        <w:t xml:space="preserve"> The NSWLRC</w:t>
      </w:r>
      <w:r w:rsidR="00570AFA">
        <w:t xml:space="preserve"> highlighted the example of </w:t>
      </w:r>
      <w:r w:rsidR="00570AFA" w:rsidRPr="00B44FE6">
        <w:t>a 2006 coronial inquest into t</w:t>
      </w:r>
      <w:r w:rsidR="001F164C">
        <w:t>he suicide of a person in prison</w:t>
      </w:r>
      <w:r w:rsidR="00570AFA" w:rsidRPr="00B44FE6">
        <w:t>:</w:t>
      </w:r>
    </w:p>
    <w:p w14:paraId="4F0B9C01" w14:textId="2E64E640" w:rsidR="00570AFA" w:rsidRDefault="00570AFA" w:rsidP="00C22AC4">
      <w:pPr>
        <w:pStyle w:val="SubmissionNormal"/>
        <w:numPr>
          <w:ilvl w:val="0"/>
          <w:numId w:val="0"/>
        </w:numPr>
        <w:spacing w:before="0" w:after="120"/>
        <w:ind w:left="1134"/>
        <w:rPr>
          <w:rFonts w:cs="Arial"/>
          <w:sz w:val="22"/>
          <w:szCs w:val="22"/>
        </w:rPr>
      </w:pPr>
      <w:r w:rsidRPr="00B44FE6">
        <w:rPr>
          <w:rFonts w:cs="Arial"/>
          <w:sz w:val="22"/>
          <w:szCs w:val="22"/>
        </w:rPr>
        <w:lastRenderedPageBreak/>
        <w:t>While on remand for another offence, this inmate, who had paranoid schizophrenia and a long history of violence and mental illness, killed a cellmate during a psychotic episode. He was found not guilty due to mental illness and became a forensic patient. He returned to prison where, because of his previous conduct, he was segregated and reportedly spent 22 hours per day in a cell. Within a short time the forensic patient committed suicide.</w:t>
      </w:r>
      <w:r w:rsidRPr="00B44FE6">
        <w:rPr>
          <w:rStyle w:val="EndnoteReference"/>
        </w:rPr>
        <w:endnoteReference w:id="160"/>
      </w:r>
      <w:r w:rsidRPr="00B44FE6">
        <w:rPr>
          <w:rStyle w:val="EndnoteReference"/>
        </w:rPr>
        <w:t xml:space="preserve"> </w:t>
      </w:r>
    </w:p>
    <w:p w14:paraId="191D51E2" w14:textId="0E5EA429" w:rsidR="00570AFA" w:rsidRPr="006503CA" w:rsidRDefault="00570AFA" w:rsidP="006503CA">
      <w:pPr>
        <w:pStyle w:val="SubmissionNormal"/>
        <w:tabs>
          <w:tab w:val="clear" w:pos="720"/>
          <w:tab w:val="num" w:pos="567"/>
        </w:tabs>
        <w:ind w:left="567" w:hanging="567"/>
      </w:pPr>
      <w:r>
        <w:t xml:space="preserve">The indefinite and/or prolonged nature of detention for people in this situation increases the negative impact of their time in corrective facilities on their health, which in turn can make it less likely they will be </w:t>
      </w:r>
      <w:r w:rsidR="006503CA">
        <w:t>released</w:t>
      </w:r>
      <w:r w:rsidRPr="006503CA">
        <w:rPr>
          <w:rFonts w:cs="Arial"/>
          <w:sz w:val="22"/>
          <w:szCs w:val="22"/>
        </w:rPr>
        <w:t>.</w:t>
      </w:r>
      <w:r>
        <w:rPr>
          <w:rStyle w:val="EndnoteReference"/>
          <w:rFonts w:cs="Arial"/>
          <w:szCs w:val="22"/>
        </w:rPr>
        <w:endnoteReference w:id="161"/>
      </w:r>
      <w:r w:rsidRPr="006503CA">
        <w:rPr>
          <w:rFonts w:cs="Arial"/>
          <w:sz w:val="22"/>
          <w:szCs w:val="22"/>
        </w:rPr>
        <w:t xml:space="preserve"> </w:t>
      </w:r>
    </w:p>
    <w:p w14:paraId="471BDD19" w14:textId="3CC0F4FB" w:rsidR="008D764C" w:rsidRDefault="00570AFA" w:rsidP="004E024A">
      <w:pPr>
        <w:pStyle w:val="SubmissionNormal"/>
        <w:tabs>
          <w:tab w:val="clear" w:pos="720"/>
          <w:tab w:val="num" w:pos="567"/>
        </w:tabs>
        <w:ind w:left="567" w:hanging="567"/>
      </w:pPr>
      <w:r>
        <w:t xml:space="preserve">The negative health impact of indefinite detention </w:t>
      </w:r>
      <w:r w:rsidR="00CC6FF7">
        <w:t xml:space="preserve">in prison </w:t>
      </w:r>
      <w:r>
        <w:t>on people with cognitive and/or psychiatric impairment is particularly concern</w:t>
      </w:r>
      <w:r w:rsidR="00E03C82">
        <w:t>ing given the number</w:t>
      </w:r>
      <w:r>
        <w:t xml:space="preserve"> of Aboriginal and Torres</w:t>
      </w:r>
      <w:r w:rsidR="00750170">
        <w:t xml:space="preserve"> Strait Islander people </w:t>
      </w:r>
      <w:r>
        <w:t>in this situation. One of the primary recommendation</w:t>
      </w:r>
      <w:r w:rsidR="00E94DFF">
        <w:t>s</w:t>
      </w:r>
      <w:r>
        <w:t xml:space="preserve"> of the Royal Commission into Aboriginal Deaths in Custody was that incarceration must be used as a last resort.</w:t>
      </w:r>
      <w:r>
        <w:rPr>
          <w:rStyle w:val="EndnoteReference"/>
        </w:rPr>
        <w:endnoteReference w:id="162"/>
      </w:r>
    </w:p>
    <w:p w14:paraId="0654D9E2" w14:textId="42BE6E92" w:rsidR="008717E7" w:rsidRPr="007B373B" w:rsidRDefault="008D764C" w:rsidP="004E024A">
      <w:pPr>
        <w:pStyle w:val="SubmissionNormal"/>
        <w:tabs>
          <w:tab w:val="clear" w:pos="720"/>
          <w:tab w:val="num" w:pos="567"/>
        </w:tabs>
        <w:ind w:left="567" w:hanging="567"/>
      </w:pPr>
      <w:r>
        <w:t>The Commission is also very concerned that people with cognitive and</w:t>
      </w:r>
      <w:r w:rsidR="00D1224A">
        <w:t>/or psychiatric impairment</w:t>
      </w:r>
      <w:r>
        <w:t xml:space="preserve"> detained in prisons may be subjected to harmful practices to ‘manage’ their behaviour.</w:t>
      </w:r>
      <w:r w:rsidR="008717E7">
        <w:rPr>
          <w:rStyle w:val="EndnoteReference"/>
        </w:rPr>
        <w:endnoteReference w:id="163"/>
      </w:r>
      <w:r w:rsidR="008717E7">
        <w:t xml:space="preserve"> The case studies of KA and KD </w:t>
      </w:r>
      <w:r w:rsidR="008717E7" w:rsidRPr="00254AC1">
        <w:t xml:space="preserve">in </w:t>
      </w:r>
      <w:r w:rsidR="008564E5" w:rsidRPr="00254AC1">
        <w:t>the Appendix</w:t>
      </w:r>
      <w:r w:rsidR="008717E7">
        <w:t xml:space="preserve"> reveal people with cognitive impairment being subjected </w:t>
      </w:r>
      <w:r w:rsidR="00D1224A">
        <w:t xml:space="preserve">in prison </w:t>
      </w:r>
      <w:r w:rsidR="008717E7">
        <w:t>to frequent physical, mechanical and chemical restraints, and pro</w:t>
      </w:r>
      <w:r w:rsidR="00D1224A">
        <w:t xml:space="preserve">longed solitary confinement. </w:t>
      </w:r>
      <w:r w:rsidR="008717E7">
        <w:t>In those cases the Commission found that this treatment constituted cruel, inhuman or degrading treatment contrary to Australia’s obligations under the Disability Convention and other treaties.</w:t>
      </w:r>
      <w:r w:rsidR="008717E7">
        <w:rPr>
          <w:rStyle w:val="EndnoteReference"/>
        </w:rPr>
        <w:endnoteReference w:id="164"/>
      </w:r>
    </w:p>
    <w:p w14:paraId="5CB0029E" w14:textId="3D63FB77" w:rsidR="006117FF" w:rsidRPr="00B21EBD" w:rsidRDefault="00570AFA" w:rsidP="00B21EBD">
      <w:pPr>
        <w:pStyle w:val="SubmissionNormal"/>
        <w:tabs>
          <w:tab w:val="clear" w:pos="720"/>
          <w:tab w:val="num" w:pos="567"/>
        </w:tabs>
        <w:ind w:left="567" w:hanging="567"/>
      </w:pPr>
      <w:r>
        <w:t xml:space="preserve">The UN </w:t>
      </w:r>
      <w:r w:rsidR="004E024A" w:rsidRPr="0080672F">
        <w:t xml:space="preserve">Disability </w:t>
      </w:r>
      <w:r w:rsidRPr="0080672F">
        <w:t>Committee</w:t>
      </w:r>
      <w:r w:rsidRPr="0080672F">
        <w:rPr>
          <w:rFonts w:cs="Arial"/>
          <w:lang w:val="en"/>
        </w:rPr>
        <w:t xml:space="preserve"> </w:t>
      </w:r>
      <w:r w:rsidR="00625D5D" w:rsidRPr="0080672F">
        <w:rPr>
          <w:rFonts w:cs="Arial"/>
          <w:lang w:val="en"/>
        </w:rPr>
        <w:t>in 2013 recommen</w:t>
      </w:r>
      <w:r w:rsidR="003609F4">
        <w:rPr>
          <w:rFonts w:cs="Arial"/>
          <w:lang w:val="en"/>
        </w:rPr>
        <w:t>ded as a matter of urgency that</w:t>
      </w:r>
      <w:r w:rsidRPr="0080672F">
        <w:rPr>
          <w:rFonts w:cs="Arial"/>
          <w:lang w:val="en"/>
        </w:rPr>
        <w:t xml:space="preserve"> Australia</w:t>
      </w:r>
      <w:r w:rsidR="0080672F" w:rsidRPr="0080672F">
        <w:rPr>
          <w:rFonts w:cs="Arial"/>
          <w:lang w:val="en"/>
        </w:rPr>
        <w:t xml:space="preserve"> ‘</w:t>
      </w:r>
      <w:r w:rsidR="0080672F">
        <w:rPr>
          <w:rFonts w:cs="Arial"/>
        </w:rPr>
        <w:t>[e]</w:t>
      </w:r>
      <w:r w:rsidR="0080672F" w:rsidRPr="0080672F">
        <w:rPr>
          <w:rFonts w:cs="Arial"/>
        </w:rPr>
        <w:t>nd the unwarranted use of prisons for the management of unconvicted persons with disabilities, focusing on Aboriginal and Torres Strait Islander persons with disabilities, by establishing legislative, administrative and support frameworks that comply with the Convention’</w:t>
      </w:r>
      <w:r w:rsidRPr="0080672F">
        <w:rPr>
          <w:rStyle w:val="EndnoteReference"/>
          <w:sz w:val="24"/>
          <w:vertAlign w:val="baseline"/>
        </w:rPr>
        <w:t>.</w:t>
      </w:r>
      <w:r w:rsidRPr="0080672F">
        <w:rPr>
          <w:rStyle w:val="EndnoteReference"/>
          <w:sz w:val="24"/>
        </w:rPr>
        <w:endnoteReference w:id="165"/>
      </w:r>
      <w:r w:rsidR="00B21EBD">
        <w:rPr>
          <w:rStyle w:val="EndnoteReference"/>
          <w:sz w:val="24"/>
          <w:vertAlign w:val="baseline"/>
        </w:rPr>
        <w:t xml:space="preserve"> </w:t>
      </w:r>
      <w:r w:rsidR="006117FF">
        <w:t>Th</w:t>
      </w:r>
      <w:r w:rsidR="00B21EBD">
        <w:t xml:space="preserve">e UN Human Rights Committee has </w:t>
      </w:r>
      <w:r w:rsidR="006117FF">
        <w:t>stated that to avoid arbitrary detention of people with disability ‘</w:t>
      </w:r>
      <w:r w:rsidR="006117FF" w:rsidRPr="006117FF">
        <w:t>States parties should make available adequate community-based or alternative social-care services for persons with psychosocial disabilities, in order to provide less restrictive alternatives to confinement</w:t>
      </w:r>
      <w:r w:rsidR="008172FC">
        <w:t>’</w:t>
      </w:r>
      <w:r w:rsidR="006117FF" w:rsidRPr="006117FF">
        <w:t>.</w:t>
      </w:r>
      <w:r w:rsidR="006117FF" w:rsidRPr="006117FF">
        <w:rPr>
          <w:rStyle w:val="EndnoteReference"/>
        </w:rPr>
        <w:endnoteReference w:id="166"/>
      </w:r>
      <w:r w:rsidR="006117FF" w:rsidRPr="00395718">
        <w:rPr>
          <w:rStyle w:val="EndnoteReference"/>
        </w:rPr>
        <w:t xml:space="preserve"> </w:t>
      </w:r>
      <w:r w:rsidR="006117FF" w:rsidRPr="00B21EBD">
        <w:rPr>
          <w:rFonts w:cs="Arial"/>
          <w:sz w:val="22"/>
          <w:szCs w:val="22"/>
        </w:rPr>
        <w:t xml:space="preserve">  </w:t>
      </w:r>
    </w:p>
    <w:p w14:paraId="11CF311D" w14:textId="1C86B792" w:rsidR="00CB70E3" w:rsidRPr="0093671F" w:rsidRDefault="00570AFA" w:rsidP="0093671F">
      <w:pPr>
        <w:pStyle w:val="SubmissionNormal"/>
        <w:tabs>
          <w:tab w:val="clear" w:pos="720"/>
          <w:tab w:val="num" w:pos="567"/>
        </w:tabs>
        <w:ind w:left="567" w:hanging="567"/>
      </w:pPr>
      <w:r w:rsidRPr="006D25CD">
        <w:t xml:space="preserve">The Commission recommends that appropriate and adequate facilities must </w:t>
      </w:r>
      <w:r w:rsidR="009156B6">
        <w:t xml:space="preserve">urgently </w:t>
      </w:r>
      <w:r w:rsidRPr="006D25CD">
        <w:t xml:space="preserve">be developed for </w:t>
      </w:r>
      <w:r w:rsidR="00EF76E0">
        <w:t xml:space="preserve">unconvicted </w:t>
      </w:r>
      <w:r w:rsidRPr="006D25CD">
        <w:t>people with cognitive and/or psychiatric impairment</w:t>
      </w:r>
      <w:r w:rsidR="00712A12" w:rsidRPr="005461A2">
        <w:t>,</w:t>
      </w:r>
      <w:r w:rsidRPr="005461A2">
        <w:t xml:space="preserve"> so that they </w:t>
      </w:r>
      <w:r w:rsidR="008167E4" w:rsidRPr="005461A2">
        <w:t xml:space="preserve">are not </w:t>
      </w:r>
      <w:r w:rsidRPr="005461A2">
        <w:t>detained in pris</w:t>
      </w:r>
      <w:r w:rsidR="00CF545C" w:rsidRPr="005461A2">
        <w:t>on</w:t>
      </w:r>
      <w:r w:rsidR="007E3242" w:rsidRPr="005461A2">
        <w:t>s</w:t>
      </w:r>
      <w:r w:rsidR="00CF545C" w:rsidRPr="005461A2">
        <w:t xml:space="preserve">. </w:t>
      </w:r>
      <w:r w:rsidR="00EF76E0">
        <w:t xml:space="preserve">Sufficient options should exist so that placement decisions </w:t>
      </w:r>
      <w:r w:rsidR="00473194">
        <w:t>are</w:t>
      </w:r>
      <w:r w:rsidR="00EF76E0">
        <w:t xml:space="preserve"> </w:t>
      </w:r>
      <w:r w:rsidR="0093671F" w:rsidRPr="005461A2">
        <w:t xml:space="preserve">made on the basis of ‘what is the least restrictive alternative and what is the best therapeutic context’ for the person, rather than </w:t>
      </w:r>
      <w:r w:rsidR="000A7F0B">
        <w:t xml:space="preserve">the use of prison </w:t>
      </w:r>
      <w:r w:rsidR="0093671F" w:rsidRPr="005461A2">
        <w:t>by default.</w:t>
      </w:r>
      <w:r w:rsidR="0093671F" w:rsidRPr="005461A2">
        <w:rPr>
          <w:rStyle w:val="EndnoteReference"/>
        </w:rPr>
        <w:endnoteReference w:id="167"/>
      </w:r>
    </w:p>
    <w:p w14:paraId="218627AB" w14:textId="0174C7C9" w:rsidR="00642E3C" w:rsidRPr="00862246" w:rsidRDefault="00712A12" w:rsidP="00700FFD">
      <w:pPr>
        <w:pStyle w:val="SubmissionNormal"/>
        <w:numPr>
          <w:ilvl w:val="0"/>
          <w:numId w:val="0"/>
        </w:numPr>
        <w:ind w:left="567"/>
        <w:rPr>
          <w:b/>
        </w:rPr>
      </w:pPr>
      <w:r w:rsidRPr="00862246">
        <w:rPr>
          <w:b/>
        </w:rPr>
        <w:t>Recommendation</w:t>
      </w:r>
      <w:r w:rsidR="00606111">
        <w:rPr>
          <w:b/>
        </w:rPr>
        <w:t xml:space="preserve"> 8</w:t>
      </w:r>
      <w:r w:rsidRPr="00862246">
        <w:rPr>
          <w:b/>
        </w:rPr>
        <w:t xml:space="preserve">: </w:t>
      </w:r>
      <w:r w:rsidR="00873A41" w:rsidRPr="00862246">
        <w:rPr>
          <w:b/>
        </w:rPr>
        <w:t xml:space="preserve">The Commission recommends that </w:t>
      </w:r>
      <w:r w:rsidR="0077067C" w:rsidRPr="00862246">
        <w:rPr>
          <w:b/>
        </w:rPr>
        <w:t>all state and territory governments establish as a matter of urgency an appropriate range of facilities to accommodate people who are found unfit to stand trial and/or not guilty by reason of</w:t>
      </w:r>
      <w:r w:rsidR="003B100B">
        <w:rPr>
          <w:b/>
        </w:rPr>
        <w:t xml:space="preserve"> mental impairment. Particular</w:t>
      </w:r>
      <w:r w:rsidR="0077067C" w:rsidRPr="00862246">
        <w:rPr>
          <w:b/>
        </w:rPr>
        <w:t xml:space="preserve"> priority should be given to establishing appropriate facilities for people with cognitive impairment.</w:t>
      </w:r>
    </w:p>
    <w:p w14:paraId="6713B6FF" w14:textId="2E1CC789" w:rsidR="003A2DC6" w:rsidRPr="00B71E8C" w:rsidRDefault="00712A12" w:rsidP="00B20944">
      <w:pPr>
        <w:pStyle w:val="SubmissionNormal"/>
        <w:tabs>
          <w:tab w:val="clear" w:pos="720"/>
          <w:tab w:val="num" w:pos="567"/>
        </w:tabs>
        <w:ind w:left="567" w:hanging="567"/>
      </w:pPr>
      <w:r>
        <w:t xml:space="preserve">It is also important that there be </w:t>
      </w:r>
      <w:r w:rsidR="00090705">
        <w:t xml:space="preserve">effective </w:t>
      </w:r>
      <w:r>
        <w:t xml:space="preserve">monitoring </w:t>
      </w:r>
      <w:r w:rsidR="00090705">
        <w:t>of</w:t>
      </w:r>
      <w:r>
        <w:t xml:space="preserve"> all places where people with cognitive and/or psychiatric impairment are detained</w:t>
      </w:r>
      <w:r w:rsidR="004854C1">
        <w:t xml:space="preserve">, to ensure that they are not subjected to harmful practices. </w:t>
      </w:r>
      <w:r w:rsidR="00284007">
        <w:t>In 2013 t</w:t>
      </w:r>
      <w:r w:rsidR="004854C1">
        <w:t xml:space="preserve">he UN </w:t>
      </w:r>
      <w:r w:rsidR="00795A55">
        <w:t xml:space="preserve">Disability Committee </w:t>
      </w:r>
      <w:bookmarkStart w:id="94" w:name="_Toc443048175"/>
      <w:r w:rsidR="00284007">
        <w:lastRenderedPageBreak/>
        <w:t>expressed concern</w:t>
      </w:r>
      <w:r w:rsidR="00795A55">
        <w:t xml:space="preserve"> </w:t>
      </w:r>
      <w:r w:rsidR="003F05E4">
        <w:t xml:space="preserve">that </w:t>
      </w:r>
      <w:r w:rsidR="00284007">
        <w:t xml:space="preserve">in Australia </w:t>
      </w:r>
      <w:r w:rsidR="003F05E4">
        <w:t>people with disability were subjected to ‘</w:t>
      </w:r>
      <w:r w:rsidR="003F05E4" w:rsidRPr="00B71E8C">
        <w:t>unregulated behaviour modification or restrictive practices such as chemical, mechanical and physical restraint</w:t>
      </w:r>
      <w:r w:rsidR="003F05E4">
        <w:t>s</w:t>
      </w:r>
      <w:r w:rsidR="003F05E4" w:rsidRPr="00B71E8C">
        <w:t xml:space="preserve"> and seclusion</w:t>
      </w:r>
      <w:r w:rsidR="004461DA">
        <w:t>’</w:t>
      </w:r>
      <w:r w:rsidR="003F05E4">
        <w:t>.</w:t>
      </w:r>
      <w:r w:rsidR="003A2DC6">
        <w:rPr>
          <w:rStyle w:val="EndnoteReference"/>
        </w:rPr>
        <w:endnoteReference w:id="168"/>
      </w:r>
      <w:r w:rsidR="003A2DC6">
        <w:t xml:space="preserve"> The Committee recommended that Australia</w:t>
      </w:r>
      <w:r w:rsidR="008E4CDB">
        <w:t>:</w:t>
      </w:r>
    </w:p>
    <w:p w14:paraId="7A604A32" w14:textId="4E1F4613" w:rsidR="003A2DC6" w:rsidRPr="001416BE" w:rsidRDefault="003A2DC6" w:rsidP="001416BE">
      <w:pPr>
        <w:pStyle w:val="SubmissionNormal"/>
        <w:numPr>
          <w:ilvl w:val="0"/>
          <w:numId w:val="0"/>
        </w:numPr>
        <w:spacing w:before="0" w:after="120"/>
        <w:ind w:left="1134"/>
        <w:rPr>
          <w:rFonts w:cs="Arial"/>
          <w:sz w:val="22"/>
          <w:szCs w:val="22"/>
        </w:rPr>
      </w:pPr>
      <w:r w:rsidRPr="001416BE">
        <w:rPr>
          <w:rFonts w:cs="Arial"/>
          <w:sz w:val="22"/>
          <w:szCs w:val="22"/>
        </w:rPr>
        <w:t xml:space="preserve">take immediate steps to end such practices, including by establishing an independent national preventive mechanism </w:t>
      </w:r>
      <w:r w:rsidR="0044671D">
        <w:rPr>
          <w:rFonts w:cs="Arial"/>
          <w:sz w:val="22"/>
          <w:szCs w:val="22"/>
        </w:rPr>
        <w:t>to monitor places of detention -</w:t>
      </w:r>
      <w:r w:rsidRPr="001416BE">
        <w:rPr>
          <w:rFonts w:cs="Arial"/>
          <w:sz w:val="22"/>
          <w:szCs w:val="22"/>
        </w:rPr>
        <w:t xml:space="preserve"> such as mental health facilities, special schools, hospitals, disabilit</w:t>
      </w:r>
      <w:r w:rsidR="0044671D">
        <w:rPr>
          <w:rFonts w:cs="Arial"/>
          <w:sz w:val="22"/>
          <w:szCs w:val="22"/>
        </w:rPr>
        <w:t>y justice centres and prisons -</w:t>
      </w:r>
      <w:r w:rsidRPr="001416BE">
        <w:rPr>
          <w:rFonts w:cs="Arial"/>
          <w:sz w:val="22"/>
          <w:szCs w:val="22"/>
        </w:rPr>
        <w:t xml:space="preserve"> in order to ensure that persons with disabilities, including psychosocial disabilities, are not subjected to i</w:t>
      </w:r>
      <w:r w:rsidR="0044671D">
        <w:rPr>
          <w:rFonts w:cs="Arial"/>
          <w:sz w:val="22"/>
          <w:szCs w:val="22"/>
        </w:rPr>
        <w:t>ntrusive medical interventions.</w:t>
      </w:r>
      <w:r w:rsidRPr="001416BE">
        <w:rPr>
          <w:rStyle w:val="EndnoteReference"/>
        </w:rPr>
        <w:endnoteReference w:id="169"/>
      </w:r>
    </w:p>
    <w:bookmarkEnd w:id="94"/>
    <w:p w14:paraId="33F262A0" w14:textId="2ACE06BC" w:rsidR="00563992" w:rsidRPr="0052709F" w:rsidRDefault="00696289" w:rsidP="005E7AD4">
      <w:pPr>
        <w:pStyle w:val="SubmissionNormal"/>
        <w:tabs>
          <w:tab w:val="clear" w:pos="720"/>
          <w:tab w:val="num" w:pos="567"/>
        </w:tabs>
        <w:ind w:left="567" w:hanging="567"/>
      </w:pPr>
      <w:r w:rsidRPr="00C53EEF">
        <w:rPr>
          <w:lang w:val="en"/>
        </w:rPr>
        <w:t>The</w:t>
      </w:r>
      <w:r w:rsidR="00931896">
        <w:rPr>
          <w:lang w:val="en"/>
        </w:rPr>
        <w:t xml:space="preserve"> </w:t>
      </w:r>
      <w:r w:rsidR="009D0A6B">
        <w:rPr>
          <w:lang w:val="en"/>
        </w:rPr>
        <w:t xml:space="preserve">establishment of an </w:t>
      </w:r>
      <w:r w:rsidR="00931896">
        <w:rPr>
          <w:lang w:val="en"/>
        </w:rPr>
        <w:t xml:space="preserve">independent national preventative </w:t>
      </w:r>
      <w:r w:rsidR="00E4718B">
        <w:rPr>
          <w:lang w:val="en"/>
        </w:rPr>
        <w:t>mechanism</w:t>
      </w:r>
      <w:r w:rsidR="009E483C">
        <w:rPr>
          <w:lang w:val="en"/>
        </w:rPr>
        <w:t xml:space="preserve"> </w:t>
      </w:r>
      <w:r w:rsidR="009D0A6B">
        <w:rPr>
          <w:lang w:val="en"/>
        </w:rPr>
        <w:t xml:space="preserve">to monitor places of detention </w:t>
      </w:r>
      <w:r w:rsidR="00931896">
        <w:rPr>
          <w:lang w:val="en"/>
        </w:rPr>
        <w:t xml:space="preserve">is </w:t>
      </w:r>
      <w:r w:rsidR="00635FD6">
        <w:rPr>
          <w:lang w:val="en"/>
        </w:rPr>
        <w:t>part of</w:t>
      </w:r>
      <w:r w:rsidR="00CD55C0">
        <w:rPr>
          <w:lang w:val="en"/>
        </w:rPr>
        <w:t xml:space="preserve"> the</w:t>
      </w:r>
      <w:r w:rsidRPr="00C53EEF">
        <w:rPr>
          <w:lang w:val="en"/>
        </w:rPr>
        <w:t xml:space="preserve"> </w:t>
      </w:r>
      <w:r w:rsidRPr="00EB50CC">
        <w:rPr>
          <w:rFonts w:eastAsia="MS Mincho"/>
          <w:i/>
          <w:lang w:val="en"/>
        </w:rPr>
        <w:t>Optional Protocol to the Convention against Torture and Other Cruel, Inhuman or Degrading Treatment or Punishment</w:t>
      </w:r>
      <w:r w:rsidR="0070750A" w:rsidRPr="00EB50CC">
        <w:rPr>
          <w:i/>
          <w:lang w:val="en"/>
        </w:rPr>
        <w:t xml:space="preserve"> </w:t>
      </w:r>
      <w:r w:rsidR="0070750A">
        <w:rPr>
          <w:lang w:val="en"/>
        </w:rPr>
        <w:t>(OPCAT).</w:t>
      </w:r>
      <w:r w:rsidR="00563992">
        <w:rPr>
          <w:rStyle w:val="EndnoteReference"/>
          <w:lang w:val="en"/>
        </w:rPr>
        <w:endnoteReference w:id="170"/>
      </w:r>
      <w:r w:rsidR="00563992" w:rsidRPr="00C53EEF">
        <w:rPr>
          <w:lang w:val="en"/>
        </w:rPr>
        <w:t xml:space="preserve"> </w:t>
      </w:r>
      <w:r w:rsidR="00563992">
        <w:rPr>
          <w:lang w:val="en"/>
        </w:rPr>
        <w:t>OPCAT</w:t>
      </w:r>
      <w:r w:rsidR="00563992" w:rsidRPr="00C53EEF">
        <w:rPr>
          <w:lang w:val="en"/>
        </w:rPr>
        <w:t xml:space="preserve"> is aimed at preventing torture and cruel, inhuman or </w:t>
      </w:r>
      <w:r w:rsidR="00563992" w:rsidRPr="00DB68FB">
        <w:t>degrading</w:t>
      </w:r>
      <w:r w:rsidR="00563992" w:rsidRPr="00C53EEF">
        <w:rPr>
          <w:lang w:val="en"/>
        </w:rPr>
        <w:t xml:space="preserve"> treatment or </w:t>
      </w:r>
      <w:r w:rsidR="00563992" w:rsidRPr="0070750A">
        <w:t>punishment</w:t>
      </w:r>
      <w:r w:rsidR="00563992" w:rsidRPr="00C53EEF">
        <w:rPr>
          <w:lang w:val="en"/>
        </w:rPr>
        <w:t xml:space="preserve">. </w:t>
      </w:r>
      <w:r w:rsidR="00563992">
        <w:rPr>
          <w:lang w:val="en"/>
        </w:rPr>
        <w:t>The Australian Government signed OPCAT on 19 May 2009, but has not yet ratified the agreement.</w:t>
      </w:r>
    </w:p>
    <w:p w14:paraId="3A5AF1F2" w14:textId="2834203F" w:rsidR="00563992" w:rsidRPr="009E2227" w:rsidRDefault="00563992" w:rsidP="009325D3">
      <w:pPr>
        <w:pStyle w:val="SubmissionNormal"/>
        <w:numPr>
          <w:ilvl w:val="0"/>
          <w:numId w:val="0"/>
        </w:numPr>
        <w:ind w:left="567"/>
      </w:pPr>
      <w:r w:rsidRPr="00A71E79">
        <w:rPr>
          <w:b/>
        </w:rPr>
        <w:t xml:space="preserve">Recommendation </w:t>
      </w:r>
      <w:r w:rsidR="00606111">
        <w:rPr>
          <w:b/>
        </w:rPr>
        <w:t>9</w:t>
      </w:r>
      <w:r w:rsidRPr="006036EC">
        <w:t>:</w:t>
      </w:r>
      <w:r w:rsidRPr="006036EC">
        <w:rPr>
          <w:rFonts w:cs="Arial"/>
        </w:rPr>
        <w:t xml:space="preserve"> </w:t>
      </w:r>
      <w:r w:rsidRPr="006036EC">
        <w:rPr>
          <w:rFonts w:cs="Arial"/>
          <w:b/>
        </w:rPr>
        <w:t>The Commission</w:t>
      </w:r>
      <w:r w:rsidRPr="00A71E79">
        <w:rPr>
          <w:rFonts w:cs="Arial"/>
          <w:b/>
        </w:rPr>
        <w:t xml:space="preserve"> recommends that the Australian Government ratify the </w:t>
      </w:r>
      <w:r w:rsidRPr="00A71E79">
        <w:rPr>
          <w:rFonts w:cs="Arial"/>
          <w:b/>
          <w:i/>
        </w:rPr>
        <w:t>Optio</w:t>
      </w:r>
      <w:r w:rsidR="006036EC">
        <w:rPr>
          <w:rFonts w:cs="Arial"/>
          <w:b/>
          <w:i/>
        </w:rPr>
        <w:t>nal Protocol to the Convention a</w:t>
      </w:r>
      <w:r w:rsidRPr="00A71E79">
        <w:rPr>
          <w:rFonts w:cs="Arial"/>
          <w:b/>
          <w:i/>
        </w:rPr>
        <w:t>gainst Torture and Other Cruel, Inhuman or Degrading Treatment or Punishment</w:t>
      </w:r>
      <w:r w:rsidRPr="00A71E79">
        <w:rPr>
          <w:rFonts w:cs="Arial"/>
          <w:b/>
        </w:rPr>
        <w:t xml:space="preserve"> and establish an independent national preventative mechanism to monitor places of detention, including all those where people with</w:t>
      </w:r>
      <w:r w:rsidRPr="00A71E79">
        <w:rPr>
          <w:rFonts w:cs="Arial"/>
        </w:rPr>
        <w:t xml:space="preserve"> </w:t>
      </w:r>
      <w:r w:rsidRPr="00A71E79">
        <w:rPr>
          <w:rFonts w:cs="Arial"/>
          <w:b/>
        </w:rPr>
        <w:t>disability are detained.</w:t>
      </w:r>
      <w:r w:rsidRPr="00A71E79">
        <w:rPr>
          <w:rFonts w:cs="Arial"/>
        </w:rPr>
        <w:t xml:space="preserve"> </w:t>
      </w:r>
    </w:p>
    <w:p w14:paraId="7F8086E7" w14:textId="192B3072" w:rsidR="00563992" w:rsidRPr="001232CA" w:rsidRDefault="00563992" w:rsidP="00280A08">
      <w:pPr>
        <w:pStyle w:val="Heading1"/>
        <w:numPr>
          <w:ilvl w:val="0"/>
          <w:numId w:val="16"/>
        </w:numPr>
      </w:pPr>
      <w:bookmarkStart w:id="95" w:name="_Toc447200195"/>
      <w:r w:rsidRPr="001232CA">
        <w:t>Case studies</w:t>
      </w:r>
      <w:r w:rsidR="00805DFB">
        <w:t xml:space="preserve"> of people in indefinite detention</w:t>
      </w:r>
      <w:bookmarkEnd w:id="95"/>
    </w:p>
    <w:p w14:paraId="0F8DEB96" w14:textId="4FC31D50" w:rsidR="00E97FE7" w:rsidRDefault="00563992" w:rsidP="005E7AD4">
      <w:pPr>
        <w:pStyle w:val="SubmissionNormal"/>
        <w:tabs>
          <w:tab w:val="clear" w:pos="720"/>
          <w:tab w:val="num" w:pos="567"/>
        </w:tabs>
        <w:ind w:left="567" w:hanging="567"/>
      </w:pPr>
      <w:r>
        <w:t xml:space="preserve">Through the Commission’s complaints and policy work it has investigated and raised concerns about a number of cases of </w:t>
      </w:r>
      <w:r w:rsidR="00B9471A">
        <w:t xml:space="preserve">unconvicted </w:t>
      </w:r>
      <w:r>
        <w:t xml:space="preserve">Aboriginal people with cognitive and/or </w:t>
      </w:r>
      <w:r w:rsidR="00B9471A">
        <w:t xml:space="preserve">psychiatric impairment </w:t>
      </w:r>
      <w:r w:rsidRPr="00910C42">
        <w:t>being indefinite</w:t>
      </w:r>
      <w:r w:rsidR="00B9471A">
        <w:t>ly</w:t>
      </w:r>
      <w:r w:rsidR="00FB1B17">
        <w:t xml:space="preserve"> detained</w:t>
      </w:r>
      <w:r w:rsidR="00B9471A">
        <w:t xml:space="preserve"> in prisons</w:t>
      </w:r>
      <w:r w:rsidR="00536DAC">
        <w:t xml:space="preserve">. </w:t>
      </w:r>
    </w:p>
    <w:p w14:paraId="43E1BE71" w14:textId="541E4933" w:rsidR="00B64330" w:rsidRDefault="00FF092B" w:rsidP="005E7AD4">
      <w:pPr>
        <w:pStyle w:val="SubmissionNormal"/>
        <w:tabs>
          <w:tab w:val="clear" w:pos="720"/>
          <w:tab w:val="num" w:pos="567"/>
        </w:tabs>
        <w:ind w:left="567" w:hanging="567"/>
      </w:pPr>
      <w:r>
        <w:t xml:space="preserve">The </w:t>
      </w:r>
      <w:r w:rsidR="00E97FE7">
        <w:t xml:space="preserve">Commission’s </w:t>
      </w:r>
      <w:r>
        <w:t xml:space="preserve">report </w:t>
      </w:r>
      <w:r w:rsidRPr="00805DFB">
        <w:rPr>
          <w:i/>
        </w:rPr>
        <w:t>KA, KB, KC and KD v Commonwealth of Australia</w:t>
      </w:r>
      <w:r w:rsidR="00FF58B8" w:rsidRPr="003D0725">
        <w:rPr>
          <w:rStyle w:val="EndnoteReference"/>
        </w:rPr>
        <w:endnoteReference w:id="171"/>
      </w:r>
      <w:r w:rsidR="00FF58B8" w:rsidRPr="00805DFB">
        <w:t xml:space="preserve"> </w:t>
      </w:r>
      <w:r w:rsidR="00E97FE7">
        <w:t>contains</w:t>
      </w:r>
      <w:r>
        <w:t xml:space="preserve"> </w:t>
      </w:r>
      <w:r w:rsidR="00E97FE7">
        <w:t xml:space="preserve">the stories of </w:t>
      </w:r>
      <w:r>
        <w:t xml:space="preserve">four Aboriginal people with cognitive and/or psychiatric impairment </w:t>
      </w:r>
      <w:r w:rsidR="00E97FE7">
        <w:t xml:space="preserve">each of </w:t>
      </w:r>
      <w:r>
        <w:t>who</w:t>
      </w:r>
      <w:r w:rsidR="00E97FE7">
        <w:t>m</w:t>
      </w:r>
      <w:r w:rsidR="00044575">
        <w:t xml:space="preserve"> has</w:t>
      </w:r>
      <w:r w:rsidR="00247001">
        <w:t xml:space="preserve"> been</w:t>
      </w:r>
      <w:r>
        <w:t xml:space="preserve"> </w:t>
      </w:r>
      <w:r w:rsidR="00044575">
        <w:t>subject</w:t>
      </w:r>
      <w:r w:rsidR="006209E2">
        <w:t>ed</w:t>
      </w:r>
      <w:r w:rsidR="00044575">
        <w:t xml:space="preserve"> to </w:t>
      </w:r>
      <w:r>
        <w:t>indef</w:t>
      </w:r>
      <w:r w:rsidR="00044575">
        <w:t xml:space="preserve">inite detention </w:t>
      </w:r>
      <w:r w:rsidR="00A2056A">
        <w:t>in the NT</w:t>
      </w:r>
      <w:r>
        <w:t xml:space="preserve">. </w:t>
      </w:r>
      <w:r w:rsidR="00376382">
        <w:t xml:space="preserve">Each spent a number of years </w:t>
      </w:r>
      <w:r w:rsidR="008511C1">
        <w:t>incarcerated</w:t>
      </w:r>
      <w:r w:rsidR="00376382">
        <w:t xml:space="preserve"> in</w:t>
      </w:r>
      <w:r w:rsidR="008511C1">
        <w:t xml:space="preserve"> the</w:t>
      </w:r>
      <w:r w:rsidR="00376382">
        <w:t xml:space="preserve"> Alice Springs Correctional Centre, the main maximum</w:t>
      </w:r>
      <w:r w:rsidR="003F2138">
        <w:t xml:space="preserve"> security prison in the NT</w:t>
      </w:r>
      <w:r w:rsidR="008511C1">
        <w:t>, despite never having been convicted of a crime</w:t>
      </w:r>
      <w:r w:rsidR="00376382">
        <w:t xml:space="preserve">. </w:t>
      </w:r>
      <w:r>
        <w:t>A summary of this report</w:t>
      </w:r>
      <w:r w:rsidR="0033024B">
        <w:t xml:space="preserve"> (and each of the four cases)</w:t>
      </w:r>
      <w:r>
        <w:t xml:space="preserve"> is contained in the Appendix</w:t>
      </w:r>
      <w:r w:rsidR="00E808D4">
        <w:t xml:space="preserve"> to this submission</w:t>
      </w:r>
      <w:r>
        <w:t>.</w:t>
      </w:r>
    </w:p>
    <w:p w14:paraId="10DD9C9A" w14:textId="28C6E3E3" w:rsidR="00563992" w:rsidRDefault="00B64330" w:rsidP="00B64330">
      <w:pPr>
        <w:pStyle w:val="SubmissionNormal"/>
        <w:tabs>
          <w:tab w:val="clear" w:pos="720"/>
          <w:tab w:val="num" w:pos="567"/>
        </w:tabs>
        <w:ind w:left="567" w:hanging="567"/>
      </w:pPr>
      <w:r>
        <w:t xml:space="preserve">The Commission has also </w:t>
      </w:r>
      <w:r w:rsidRPr="000802DC">
        <w:t xml:space="preserve">produced a video about </w:t>
      </w:r>
      <w:r w:rsidR="00D33CD5">
        <w:t xml:space="preserve">the case of Marlon Noble. The video is </w:t>
      </w:r>
      <w:r>
        <w:t>e</w:t>
      </w:r>
      <w:r w:rsidR="00D33CD5">
        <w:t xml:space="preserve">ntitled ‘Presumed Guilty’, and </w:t>
      </w:r>
      <w:r w:rsidRPr="000802DC">
        <w:t>can be viewed at https://www.humanrights.gov.au/twentystories/videos.html</w:t>
      </w:r>
      <w:r>
        <w:t>.</w:t>
      </w:r>
      <w:r w:rsidRPr="000802DC">
        <w:t xml:space="preserve"> </w:t>
      </w:r>
    </w:p>
    <w:p w14:paraId="552BDBEC" w14:textId="77777777" w:rsidR="00563992" w:rsidRPr="00EF6128" w:rsidRDefault="00563992" w:rsidP="00EF6128">
      <w:pPr>
        <w:pStyle w:val="ListParagraph"/>
        <w:keepNext/>
        <w:keepLines/>
        <w:numPr>
          <w:ilvl w:val="0"/>
          <w:numId w:val="1"/>
        </w:numPr>
        <w:spacing w:before="360"/>
        <w:contextualSpacing w:val="0"/>
        <w:outlineLvl w:val="0"/>
        <w:rPr>
          <w:b/>
          <w:bCs/>
          <w:vanish/>
          <w:sz w:val="28"/>
          <w:szCs w:val="28"/>
        </w:rPr>
      </w:pPr>
      <w:bookmarkStart w:id="96" w:name="_Toc443498131"/>
      <w:bookmarkStart w:id="97" w:name="_Toc443824174"/>
      <w:bookmarkStart w:id="98" w:name="_Toc444083567"/>
      <w:bookmarkStart w:id="99" w:name="_Toc444774952"/>
      <w:bookmarkStart w:id="100" w:name="_Toc445823258"/>
      <w:bookmarkStart w:id="101" w:name="_Toc447200196"/>
      <w:bookmarkEnd w:id="96"/>
      <w:bookmarkEnd w:id="97"/>
      <w:bookmarkEnd w:id="98"/>
      <w:bookmarkEnd w:id="99"/>
      <w:bookmarkEnd w:id="100"/>
      <w:bookmarkEnd w:id="101"/>
    </w:p>
    <w:p w14:paraId="04E8C6E0" w14:textId="6D72FCB2" w:rsidR="00EF6128" w:rsidRDefault="00D33CD5" w:rsidP="00E93262">
      <w:pPr>
        <w:pStyle w:val="SubmissionNormal"/>
        <w:tabs>
          <w:tab w:val="clear" w:pos="720"/>
          <w:tab w:val="num" w:pos="567"/>
        </w:tabs>
        <w:ind w:left="567" w:hanging="567"/>
      </w:pPr>
      <w:r>
        <w:t>Marlon Noble is an Aboriginal man who w</w:t>
      </w:r>
      <w:r w:rsidR="00563992">
        <w:t xml:space="preserve">as charged with </w:t>
      </w:r>
      <w:r w:rsidR="00563992" w:rsidRPr="00E95CC6">
        <w:t>sexual assault</w:t>
      </w:r>
      <w:r w:rsidR="00563992">
        <w:t xml:space="preserve"> against two girls </w:t>
      </w:r>
      <w:r w:rsidR="00563992" w:rsidRPr="00E95CC6">
        <w:t xml:space="preserve">in 2001. </w:t>
      </w:r>
      <w:r w:rsidR="00563992">
        <w:t xml:space="preserve">In 2002 Mr Noble first appeared in court, and was held in custody while awaiting assessment. In 2003 he was declared </w:t>
      </w:r>
      <w:r w:rsidR="00563992" w:rsidRPr="00E95CC6">
        <w:t xml:space="preserve">unfit to stand trial, due to cognitive impairment. </w:t>
      </w:r>
      <w:r w:rsidR="00563992">
        <w:t xml:space="preserve">A custody order was made under the </w:t>
      </w:r>
      <w:r w:rsidR="00563992" w:rsidRPr="00E95CC6">
        <w:rPr>
          <w:i/>
        </w:rPr>
        <w:t>Criminal Law (Mentally Impaired Accused) Act 1996</w:t>
      </w:r>
      <w:r w:rsidR="00563992" w:rsidRPr="00E95CC6">
        <w:t xml:space="preserve"> (WA)</w:t>
      </w:r>
      <w:r w:rsidR="00563992">
        <w:t xml:space="preserve">. </w:t>
      </w:r>
      <w:r w:rsidR="00563992" w:rsidRPr="00E95CC6">
        <w:t>The Act provides for the declaration of places, such as a secure care facility, to accommodate people who have been deemed unfit to plead.</w:t>
      </w:r>
      <w:r w:rsidR="00563992" w:rsidRPr="00A7584D">
        <w:rPr>
          <w:rStyle w:val="EndnoteReference"/>
          <w:rFonts w:eastAsia="MS Mincho"/>
          <w:sz w:val="22"/>
          <w:szCs w:val="22"/>
        </w:rPr>
        <w:endnoteReference w:id="172"/>
      </w:r>
      <w:r w:rsidR="00563992" w:rsidRPr="00E95CC6">
        <w:t xml:space="preserve"> </w:t>
      </w:r>
      <w:r w:rsidR="00EF6128" w:rsidRPr="00E95CC6">
        <w:t xml:space="preserve">However, as no such places had been ‘declared’, Mr Noble was incarcerated in the same facilities as the general prison population. </w:t>
      </w:r>
    </w:p>
    <w:p w14:paraId="6E420C0E" w14:textId="0F01DE49" w:rsidR="00E93207" w:rsidRPr="004D5A66" w:rsidRDefault="00EF6128" w:rsidP="004D5A66">
      <w:pPr>
        <w:pStyle w:val="SubmissionNormal"/>
        <w:tabs>
          <w:tab w:val="clear" w:pos="720"/>
          <w:tab w:val="num" w:pos="567"/>
        </w:tabs>
        <w:ind w:left="567" w:hanging="567"/>
      </w:pPr>
      <w:r>
        <w:lastRenderedPageBreak/>
        <w:t>Mr Noble was detained in prison for 10 years. In 2010 the Director of Public Prosecution</w:t>
      </w:r>
      <w:r w:rsidR="00EB32F1">
        <w:t>s</w:t>
      </w:r>
      <w:r>
        <w:t xml:space="preserve"> withdrew the case against Mr Noble, noting that he had been imprisoned for a much longer time that he was likely to have been sentenced if he had been found guilty of all charges.</w:t>
      </w:r>
      <w:r w:rsidR="000A612A">
        <w:t xml:space="preserve"> </w:t>
      </w:r>
      <w:r>
        <w:t xml:space="preserve">He was released in January 2012, </w:t>
      </w:r>
      <w:r w:rsidR="00E535B6">
        <w:t>subject to</w:t>
      </w:r>
      <w:r w:rsidRPr="008069B6">
        <w:t xml:space="preserve"> strict conditions. </w:t>
      </w:r>
      <w:bookmarkStart w:id="102" w:name="_Toc379195337"/>
      <w:bookmarkStart w:id="103" w:name="Heading184"/>
      <w:bookmarkEnd w:id="102"/>
      <w:bookmarkEnd w:id="103"/>
      <w:r w:rsidR="00E93207" w:rsidRPr="004D5A66">
        <w:rPr>
          <w:rFonts w:ascii="TimesNewRomanPSMT" w:hAnsi="TimesNewRomanPSMT" w:cs="TimesNewRomanPSMT"/>
        </w:rPr>
        <w:br w:type="page"/>
      </w:r>
    </w:p>
    <w:p w14:paraId="3D3BD16A" w14:textId="7078854A" w:rsidR="00E93207" w:rsidRPr="00805DFB" w:rsidRDefault="00E93207" w:rsidP="00805DFB">
      <w:pPr>
        <w:pStyle w:val="Heading1"/>
        <w:numPr>
          <w:ilvl w:val="0"/>
          <w:numId w:val="0"/>
        </w:numPr>
        <w:ind w:left="1418" w:hanging="1418"/>
      </w:pPr>
      <w:bookmarkStart w:id="104" w:name="_Toc447200197"/>
      <w:r w:rsidRPr="00805DFB">
        <w:lastRenderedPageBreak/>
        <w:t xml:space="preserve">Appendix: Summary of </w:t>
      </w:r>
      <w:r w:rsidRPr="00805DFB">
        <w:rPr>
          <w:i/>
        </w:rPr>
        <w:t>KA, KB, KC and KD v Commonwealth of Australia</w:t>
      </w:r>
      <w:r w:rsidRPr="00805DFB">
        <w:t xml:space="preserve"> [2014] AusHRC 80</w:t>
      </w:r>
      <w:r w:rsidR="00A71C1E">
        <w:rPr>
          <w:rStyle w:val="EndnoteReference"/>
        </w:rPr>
        <w:endnoteReference w:id="173"/>
      </w:r>
      <w:bookmarkEnd w:id="104"/>
    </w:p>
    <w:p w14:paraId="47A830F3" w14:textId="77777777" w:rsidR="00E93207" w:rsidRPr="00C74D9C" w:rsidRDefault="00E93207" w:rsidP="00B66E96">
      <w:pPr>
        <w:pStyle w:val="Heading2"/>
        <w:numPr>
          <w:ilvl w:val="0"/>
          <w:numId w:val="0"/>
        </w:numPr>
        <w:rPr>
          <w:sz w:val="24"/>
          <w:szCs w:val="24"/>
        </w:rPr>
      </w:pPr>
      <w:bookmarkStart w:id="105" w:name="_Toc444083571"/>
      <w:bookmarkStart w:id="106" w:name="_Toc444774954"/>
      <w:bookmarkStart w:id="107" w:name="_Toc445823260"/>
      <w:bookmarkStart w:id="108" w:name="_Toc447200198"/>
      <w:r w:rsidRPr="00C5786C">
        <w:t xml:space="preserve">The </w:t>
      </w:r>
      <w:r>
        <w:t>case of KA</w:t>
      </w:r>
      <w:bookmarkEnd w:id="105"/>
      <w:bookmarkEnd w:id="106"/>
      <w:bookmarkEnd w:id="107"/>
      <w:bookmarkEnd w:id="108"/>
      <w:r>
        <w:t xml:space="preserve"> </w:t>
      </w:r>
    </w:p>
    <w:p w14:paraId="1A6AA608" w14:textId="77777777" w:rsidR="00E93207" w:rsidRDefault="00E93207" w:rsidP="00B66E96">
      <w:pPr>
        <w:pStyle w:val="SubmissionNormal"/>
        <w:numPr>
          <w:ilvl w:val="0"/>
          <w:numId w:val="0"/>
        </w:numPr>
      </w:pPr>
      <w:r>
        <w:t xml:space="preserve">Mr KA, an Aboriginal man, was diagnosed with epilepsy and brain injury when he was 13 months old. At six he was assessed as having intellectual impairment and as exhibiting significant behaviours of concern. </w:t>
      </w:r>
    </w:p>
    <w:p w14:paraId="08704CE3" w14:textId="64F457DB" w:rsidR="00E93207" w:rsidRDefault="00E93207" w:rsidP="00B66E96">
      <w:pPr>
        <w:pStyle w:val="SubmissionNormal"/>
        <w:numPr>
          <w:ilvl w:val="0"/>
          <w:numId w:val="0"/>
        </w:numPr>
      </w:pPr>
      <w:r>
        <w:t>When Mr KA was 6 years old he went to live with his uncle.  His guardian said</w:t>
      </w:r>
      <w:r w:rsidRPr="00BE176A">
        <w:t xml:space="preserve"> that Mr KA’s uncle lived with an unmanaged addi</w:t>
      </w:r>
      <w:r w:rsidR="00BF7DDA">
        <w:t>c</w:t>
      </w:r>
      <w:r w:rsidRPr="00BE176A">
        <w:t>tion to alcohol and was not capable of providing Mr KA with a stable home and family environment.</w:t>
      </w:r>
      <w:r w:rsidRPr="00BE176A">
        <w:rPr>
          <w:rFonts w:ascii="FZPTZL+HelveticaNeue" w:hAnsi="FZPTZL+HelveticaNeue" w:cs="FZPTZL+HelveticaNeue"/>
          <w:color w:val="000000"/>
          <w:sz w:val="17"/>
          <w:szCs w:val="17"/>
        </w:rPr>
        <w:t xml:space="preserve"> </w:t>
      </w:r>
    </w:p>
    <w:p w14:paraId="57425AFC" w14:textId="77777777" w:rsidR="00E93207" w:rsidRPr="007A65CF" w:rsidRDefault="00E93207" w:rsidP="00B66E96">
      <w:pPr>
        <w:pStyle w:val="SubmissionNormal"/>
        <w:numPr>
          <w:ilvl w:val="0"/>
          <w:numId w:val="0"/>
        </w:numPr>
      </w:pPr>
      <w:r>
        <w:t xml:space="preserve">On or about 17 July 2007, when Mr KA was 16 years old, his uncle came home from work drunk. Mr KA became angry because he had been expecting his uncle to take him on a trip. He picked up a knife and stabbed his uncle. </w:t>
      </w:r>
    </w:p>
    <w:p w14:paraId="74BEAC82" w14:textId="77777777" w:rsidR="000558DB" w:rsidRDefault="00E93207" w:rsidP="00B66E96">
      <w:pPr>
        <w:pStyle w:val="SubmissionNormal"/>
        <w:numPr>
          <w:ilvl w:val="0"/>
          <w:numId w:val="0"/>
        </w:numPr>
      </w:pPr>
      <w:r>
        <w:t xml:space="preserve">On 17 November 2009 </w:t>
      </w:r>
      <w:r w:rsidRPr="007A65CF">
        <w:t xml:space="preserve">Mr KA was charged with murder but was found unfit to stand trial </w:t>
      </w:r>
      <w:r>
        <w:t>(</w:t>
      </w:r>
      <w:r w:rsidR="00AC4B2A">
        <w:t>under s</w:t>
      </w:r>
      <w:r w:rsidRPr="007A65CF">
        <w:t xml:space="preserve"> 43T of the NT </w:t>
      </w:r>
      <w:r w:rsidRPr="00AC4B2A">
        <w:rPr>
          <w:i/>
        </w:rPr>
        <w:t>Criminal Code</w:t>
      </w:r>
      <w:r>
        <w:t>)</w:t>
      </w:r>
      <w:r w:rsidRPr="007A65CF">
        <w:t>. A special hearing was conducted</w:t>
      </w:r>
      <w:r w:rsidR="00C81EA4">
        <w:t xml:space="preserve">, and </w:t>
      </w:r>
      <w:r w:rsidRPr="007A65CF">
        <w:t xml:space="preserve">the jury </w:t>
      </w:r>
      <w:r w:rsidR="00C81EA4">
        <w:t xml:space="preserve">found Mr KA </w:t>
      </w:r>
      <w:r w:rsidRPr="007A65CF">
        <w:t>guilty of manslaughter by reason of diminished responsibility.</w:t>
      </w:r>
      <w:r>
        <w:t xml:space="preserve"> </w:t>
      </w:r>
      <w:r w:rsidRPr="007A65CF">
        <w:t>The Court ordered that Mr KA was liable to supervision under the Code. It was uncontested that the Court should mak</w:t>
      </w:r>
      <w:r w:rsidR="000558DB">
        <w:t>e a custodial supervision order</w:t>
      </w:r>
      <w:r w:rsidRPr="007A65CF">
        <w:t xml:space="preserve"> </w:t>
      </w:r>
      <w:r>
        <w:t>committing</w:t>
      </w:r>
      <w:r w:rsidRPr="007A65CF">
        <w:t xml:space="preserve"> </w:t>
      </w:r>
      <w:r>
        <w:t xml:space="preserve">Mr KA </w:t>
      </w:r>
      <w:r w:rsidRPr="007A65CF">
        <w:t>to custody in the A</w:t>
      </w:r>
      <w:r>
        <w:t xml:space="preserve">lice </w:t>
      </w:r>
      <w:r w:rsidRPr="007A65CF">
        <w:t>S</w:t>
      </w:r>
      <w:r>
        <w:t xml:space="preserve">prings </w:t>
      </w:r>
      <w:r w:rsidRPr="007A65CF">
        <w:t>C</w:t>
      </w:r>
      <w:r>
        <w:t xml:space="preserve">orrectional </w:t>
      </w:r>
      <w:r w:rsidRPr="007A65CF">
        <w:t>C</w:t>
      </w:r>
      <w:r>
        <w:t>entre (ASCC)</w:t>
      </w:r>
      <w:r w:rsidRPr="007A65CF">
        <w:t xml:space="preserve">, because there was no practicable alternative </w:t>
      </w:r>
      <w:r>
        <w:t>in the</w:t>
      </w:r>
      <w:r w:rsidRPr="007A65CF">
        <w:t xml:space="preserve"> circumstances. </w:t>
      </w:r>
    </w:p>
    <w:p w14:paraId="4AAAB47F" w14:textId="77777777" w:rsidR="001457B9" w:rsidRDefault="00E93207" w:rsidP="00B66E96">
      <w:pPr>
        <w:pStyle w:val="SubmissionNormal"/>
        <w:numPr>
          <w:ilvl w:val="0"/>
          <w:numId w:val="0"/>
        </w:numPr>
      </w:pPr>
      <w:r>
        <w:t xml:space="preserve">The Court determined that the nominal term of imprisonment it would have imposed if Mr KA had been </w:t>
      </w:r>
      <w:r w:rsidR="000558DB">
        <w:t xml:space="preserve">convicted </w:t>
      </w:r>
      <w:r>
        <w:t>of manslaughter was 12 years. Mr KA was placed in detention in the ASCC in May 2010. He was still detained there at the time of the Commission’s</w:t>
      </w:r>
      <w:r w:rsidR="009C40F8">
        <w:t xml:space="preserve"> report in September 2014. </w:t>
      </w:r>
    </w:p>
    <w:p w14:paraId="06203746" w14:textId="77777777" w:rsidR="00363997" w:rsidRDefault="001457B9" w:rsidP="00B66E96">
      <w:pPr>
        <w:pStyle w:val="SubmissionNormal"/>
        <w:numPr>
          <w:ilvl w:val="0"/>
          <w:numId w:val="0"/>
        </w:numPr>
      </w:pPr>
      <w:r>
        <w:t>The Commission noted</w:t>
      </w:r>
      <w:r w:rsidR="009C40F8">
        <w:t xml:space="preserve"> </w:t>
      </w:r>
      <w:r w:rsidR="002534BE">
        <w:t>that it appeared that Mr KA ‘</w:t>
      </w:r>
      <w:r w:rsidR="002534BE" w:rsidRPr="002534BE">
        <w:t>has been subject to the most severe treatment while in prison, including frequent use of physical, mechanical and chemical restraints, seclusion, and shackles when outside his cell</w:t>
      </w:r>
      <w:r w:rsidR="002534BE">
        <w:t>’.</w:t>
      </w:r>
      <w:r w:rsidR="002534BE" w:rsidRPr="002534BE">
        <w:rPr>
          <w:rStyle w:val="EndnoteReference"/>
          <w:szCs w:val="22"/>
        </w:rPr>
        <w:t xml:space="preserve"> </w:t>
      </w:r>
      <w:r w:rsidR="002534BE">
        <w:rPr>
          <w:rStyle w:val="EndnoteReference"/>
          <w:szCs w:val="22"/>
        </w:rPr>
        <w:endnoteReference w:id="174"/>
      </w:r>
      <w:r w:rsidR="007E44AC">
        <w:t xml:space="preserve"> </w:t>
      </w:r>
    </w:p>
    <w:p w14:paraId="0DB59A5F" w14:textId="002EBC28" w:rsidR="00E93207" w:rsidRDefault="00363997" w:rsidP="00B66E96">
      <w:pPr>
        <w:pStyle w:val="SubmissionNormal"/>
        <w:numPr>
          <w:ilvl w:val="0"/>
          <w:numId w:val="0"/>
        </w:numPr>
      </w:pPr>
      <w:r>
        <w:t>The Commission</w:t>
      </w:r>
      <w:r w:rsidR="007E44AC">
        <w:t xml:space="preserve"> reported that</w:t>
      </w:r>
      <w:r>
        <w:t>:</w:t>
      </w:r>
      <w:r w:rsidR="00E93207">
        <w:t xml:space="preserve">                                                                                                                                                                                                                                                                                                                                                                                                                                                                                                                                                                                                                                                                                                                           </w:t>
      </w:r>
      <w:r w:rsidR="009C40F8">
        <w:t xml:space="preserve">                           </w:t>
      </w:r>
    </w:p>
    <w:p w14:paraId="2FC33853" w14:textId="5D827775" w:rsidR="00DA4BF1" w:rsidRPr="00EB5A10" w:rsidRDefault="00F03DDC" w:rsidP="00B4735A">
      <w:pPr>
        <w:pStyle w:val="SubmissionNormal"/>
        <w:numPr>
          <w:ilvl w:val="0"/>
          <w:numId w:val="0"/>
        </w:numPr>
        <w:ind w:left="567"/>
        <w:rPr>
          <w:sz w:val="22"/>
          <w:szCs w:val="22"/>
        </w:rPr>
      </w:pPr>
      <w:r>
        <w:rPr>
          <w:sz w:val="22"/>
          <w:szCs w:val="22"/>
        </w:rPr>
        <w:t>[i]</w:t>
      </w:r>
      <w:r w:rsidR="00E93207" w:rsidRPr="00EB5A10">
        <w:rPr>
          <w:sz w:val="22"/>
          <w:szCs w:val="22"/>
        </w:rPr>
        <w:t>n November 2013, Mr KA’s guardian wrote to responsible officials at ASCC and noted that there had been three incidents in the previous week of behaviour which caused harm to Mr KA and distress to those working around him, and which resulted in him being belted into a restraint chair and chemically restrained. Mr KA’s guardian said that this was the sixteenth time that Mr KA had engaged in behaviour of a nature which injured him, caused prison officials to belt him into a restraint chair and inject him with tranquilizers, and resulted in him spending at least one hour and sometimes two h</w:t>
      </w:r>
      <w:r w:rsidR="00E93207">
        <w:rPr>
          <w:sz w:val="22"/>
          <w:szCs w:val="22"/>
        </w:rPr>
        <w:t>ours in this kind of restraint.</w:t>
      </w:r>
      <w:r w:rsidR="00DA4BF1">
        <w:rPr>
          <w:rStyle w:val="EndnoteReference"/>
          <w:szCs w:val="22"/>
        </w:rPr>
        <w:endnoteReference w:id="175"/>
      </w:r>
      <w:r w:rsidR="00DA4BF1" w:rsidRPr="00EB5A10">
        <w:rPr>
          <w:sz w:val="22"/>
          <w:szCs w:val="22"/>
        </w:rPr>
        <w:t xml:space="preserve"> </w:t>
      </w:r>
    </w:p>
    <w:p w14:paraId="6F54994C" w14:textId="5EFA0A5B" w:rsidR="00DA4BF1" w:rsidRDefault="00DA4BF1" w:rsidP="00B66E96">
      <w:pPr>
        <w:pStyle w:val="SubmissionNormal"/>
        <w:numPr>
          <w:ilvl w:val="0"/>
          <w:numId w:val="0"/>
        </w:numPr>
      </w:pPr>
      <w:r>
        <w:t>The Commission found that</w:t>
      </w:r>
      <w:r w:rsidRPr="00CA0906">
        <w:t xml:space="preserve"> the conditions of detention faced by Mr KA amounted to cruel, inhuman or degrading treatment contrary to article 7 of the</w:t>
      </w:r>
      <w:r w:rsidR="001457B9">
        <w:t xml:space="preserve"> ICCPR</w:t>
      </w:r>
      <w:r>
        <w:t>, and article 15 of the Disability Convention</w:t>
      </w:r>
      <w:r w:rsidRPr="00CA0906">
        <w:t>.</w:t>
      </w:r>
      <w:r>
        <w:rPr>
          <w:rStyle w:val="EndnoteReference"/>
        </w:rPr>
        <w:endnoteReference w:id="176"/>
      </w:r>
      <w:r w:rsidRPr="00CA0906">
        <w:t xml:space="preserve"> </w:t>
      </w:r>
    </w:p>
    <w:p w14:paraId="1B89EDF3" w14:textId="77777777" w:rsidR="00DA4BF1" w:rsidRPr="00C74D9C" w:rsidRDefault="00DA4BF1" w:rsidP="00B66E96">
      <w:pPr>
        <w:pStyle w:val="Heading2"/>
        <w:numPr>
          <w:ilvl w:val="0"/>
          <w:numId w:val="0"/>
        </w:numPr>
        <w:rPr>
          <w:sz w:val="24"/>
          <w:szCs w:val="24"/>
        </w:rPr>
      </w:pPr>
      <w:bookmarkStart w:id="109" w:name="_Toc444083572"/>
      <w:bookmarkStart w:id="110" w:name="_Toc444774955"/>
      <w:bookmarkStart w:id="111" w:name="_Toc445823261"/>
      <w:bookmarkStart w:id="112" w:name="_Toc447200199"/>
      <w:r w:rsidRPr="00C5786C">
        <w:t xml:space="preserve">The </w:t>
      </w:r>
      <w:r>
        <w:t>case of KB</w:t>
      </w:r>
      <w:bookmarkEnd w:id="109"/>
      <w:bookmarkEnd w:id="110"/>
      <w:bookmarkEnd w:id="111"/>
      <w:bookmarkEnd w:id="112"/>
      <w:r>
        <w:t xml:space="preserve"> </w:t>
      </w:r>
    </w:p>
    <w:p w14:paraId="157A4824" w14:textId="77777777" w:rsidR="00DA4BF1" w:rsidRPr="00EB0E22" w:rsidRDefault="00DA4BF1" w:rsidP="00B66E96">
      <w:pPr>
        <w:pStyle w:val="SubmissionNormal"/>
        <w:numPr>
          <w:ilvl w:val="0"/>
          <w:numId w:val="0"/>
        </w:numPr>
      </w:pPr>
      <w:r>
        <w:t xml:space="preserve">Mr KB is an Aboriginal man who has a chronic acquired brain injury and epilepsy. In 2007 a psychologist who assessed Mr KB identified </w:t>
      </w:r>
      <w:r w:rsidRPr="00A82262">
        <w:t xml:space="preserve">evidence of global cognitive impairment and was of the opinion that Mr KB was not able to live independently and </w:t>
      </w:r>
      <w:r w:rsidRPr="00A82262">
        <w:lastRenderedPageBreak/>
        <w:t>required support in all areas of daily living. The psychologist noted that Mr KB had a history of aggression, little insight into his condition and poor judgment regarding his actions.</w:t>
      </w:r>
      <w:r w:rsidRPr="00A82262">
        <w:rPr>
          <w:rFonts w:ascii="FZPTZL+HelveticaNeue" w:hAnsi="FZPTZL+HelveticaNeue" w:cs="FZPTZL+HelveticaNeue"/>
          <w:color w:val="000000"/>
          <w:sz w:val="17"/>
          <w:szCs w:val="17"/>
        </w:rPr>
        <w:t xml:space="preserve"> </w:t>
      </w:r>
      <w:r w:rsidRPr="002B2828">
        <w:t xml:space="preserve">On 30 May 2007, an adult guardian was appointed for Mr KB. </w:t>
      </w:r>
    </w:p>
    <w:p w14:paraId="7C04FE0A" w14:textId="55AFFA4C" w:rsidR="00DA4BF1" w:rsidRPr="00EB0E22" w:rsidRDefault="007F50E1" w:rsidP="00B66E96">
      <w:pPr>
        <w:pStyle w:val="SubmissionNormal"/>
        <w:numPr>
          <w:ilvl w:val="0"/>
          <w:numId w:val="0"/>
        </w:numPr>
      </w:pPr>
      <w:r>
        <w:t>On 15 August 2007</w:t>
      </w:r>
      <w:r w:rsidR="00DA4BF1" w:rsidRPr="00EB0E22">
        <w:t xml:space="preserve"> Mr KB assaulted a female employee </w:t>
      </w:r>
      <w:r>
        <w:t xml:space="preserve">of Tangentyere Council who </w:t>
      </w:r>
      <w:r w:rsidR="00DA4BF1" w:rsidRPr="00EB0E22">
        <w:t>had been working to assist him.</w:t>
      </w:r>
      <w:r w:rsidR="00DA4BF1" w:rsidRPr="00CA5758">
        <w:t xml:space="preserve"> </w:t>
      </w:r>
      <w:r w:rsidR="00DA4BF1" w:rsidRPr="00EB0E22">
        <w:t>O</w:t>
      </w:r>
      <w:r w:rsidR="003749BB">
        <w:t xml:space="preserve">n 2 November 2007 </w:t>
      </w:r>
      <w:r w:rsidR="0094231F">
        <w:t>he</w:t>
      </w:r>
      <w:r w:rsidR="00DA4BF1" w:rsidRPr="00EB0E22">
        <w:t xml:space="preserve"> appeared before the </w:t>
      </w:r>
      <w:r w:rsidR="0094231F">
        <w:t xml:space="preserve">NT </w:t>
      </w:r>
      <w:r w:rsidR="00DA4BF1" w:rsidRPr="00EB0E22">
        <w:t>Supreme Court charged with unlawful aggravated assault.</w:t>
      </w:r>
      <w:r w:rsidR="00FF2077">
        <w:t xml:space="preserve"> T</w:t>
      </w:r>
      <w:r w:rsidR="00DA4BF1" w:rsidRPr="00EB0E22">
        <w:t>he Court found that Mr KB was unfit to stand trial.</w:t>
      </w:r>
      <w:r w:rsidR="00DA4BF1" w:rsidRPr="00CA5758">
        <w:t xml:space="preserve"> </w:t>
      </w:r>
      <w:r w:rsidR="00DA4BF1">
        <w:t>On 31 March 2008</w:t>
      </w:r>
      <w:r w:rsidR="00DA4BF1" w:rsidRPr="00EB0E22">
        <w:t xml:space="preserve"> a special he</w:t>
      </w:r>
      <w:r w:rsidR="006B037C">
        <w:t>aring took place and the</w:t>
      </w:r>
      <w:r w:rsidR="00DA4BF1" w:rsidRPr="00EB0E22">
        <w:t xml:space="preserve"> jury returned a verdict that Mr KB </w:t>
      </w:r>
      <w:r w:rsidR="003749BB">
        <w:t>had ‘</w:t>
      </w:r>
      <w:r w:rsidR="00DA4BF1" w:rsidRPr="00EB0E22">
        <w:t>committed the offence charged</w:t>
      </w:r>
      <w:r w:rsidR="003749BB">
        <w:t>’</w:t>
      </w:r>
      <w:r w:rsidR="00DA4BF1" w:rsidRPr="00EB0E22">
        <w:t xml:space="preserve">. </w:t>
      </w:r>
    </w:p>
    <w:p w14:paraId="6692C469" w14:textId="04A5FCFB" w:rsidR="00DA4BF1" w:rsidRPr="00EB0E22" w:rsidRDefault="00DA4BF1" w:rsidP="00B66E96">
      <w:pPr>
        <w:pStyle w:val="SubmissionNormal"/>
        <w:numPr>
          <w:ilvl w:val="0"/>
          <w:numId w:val="0"/>
        </w:numPr>
      </w:pPr>
      <w:r w:rsidRPr="00EB0E22">
        <w:t xml:space="preserve">16 months after the incident took place, </w:t>
      </w:r>
      <w:r w:rsidR="004734FF">
        <w:t xml:space="preserve">on 22 December 2008, </w:t>
      </w:r>
      <w:r w:rsidR="00E56886">
        <w:t>Chief Justice Martin of</w:t>
      </w:r>
      <w:r w:rsidRPr="00EB0E22">
        <w:t xml:space="preserve"> the </w:t>
      </w:r>
      <w:r w:rsidR="006B3CC7">
        <w:t xml:space="preserve">NT </w:t>
      </w:r>
      <w:r w:rsidRPr="00EB0E22">
        <w:t>Supreme Court mad</w:t>
      </w:r>
      <w:r w:rsidR="00290913">
        <w:t>e a custodial supervision order for Mr KB, commenting</w:t>
      </w:r>
      <w:r>
        <w:t>:</w:t>
      </w:r>
    </w:p>
    <w:p w14:paraId="2785D6DF" w14:textId="77777777" w:rsidR="00DA4BF1" w:rsidRPr="00CF1B77" w:rsidRDefault="00DA4BF1" w:rsidP="00B4735A">
      <w:pPr>
        <w:pStyle w:val="SubmissionNormal"/>
        <w:numPr>
          <w:ilvl w:val="0"/>
          <w:numId w:val="0"/>
        </w:numPr>
        <w:ind w:left="567"/>
        <w:rPr>
          <w:sz w:val="22"/>
          <w:szCs w:val="22"/>
        </w:rPr>
      </w:pPr>
      <w:r w:rsidRPr="00CF1B77">
        <w:rPr>
          <w:sz w:val="22"/>
          <w:szCs w:val="22"/>
        </w:rPr>
        <w:t xml:space="preserve">This is yet another case in which an offender with mental disabilities has been required and will be required to be held in prison custody for longer than the offence committed would otherwise require… </w:t>
      </w:r>
      <w:r>
        <w:rPr>
          <w:sz w:val="22"/>
          <w:szCs w:val="22"/>
        </w:rPr>
        <w:t>if Mr [KB]</w:t>
      </w:r>
      <w:r w:rsidRPr="00CF1B77">
        <w:rPr>
          <w:sz w:val="22"/>
          <w:szCs w:val="22"/>
        </w:rPr>
        <w:t xml:space="preserve"> had pleaded guilty to the offence in the Court of Summary Jurisdiction, he would have received a relatively short sentence and certainly would have been released well before now.</w:t>
      </w:r>
    </w:p>
    <w:p w14:paraId="549103F9" w14:textId="77777777" w:rsidR="00DA4BF1" w:rsidRPr="00417F45" w:rsidRDefault="00DA4BF1" w:rsidP="00B4735A">
      <w:pPr>
        <w:pStyle w:val="SubmissionNormal"/>
        <w:numPr>
          <w:ilvl w:val="0"/>
          <w:numId w:val="0"/>
        </w:numPr>
        <w:ind w:left="567"/>
        <w:rPr>
          <w:sz w:val="22"/>
          <w:szCs w:val="22"/>
        </w:rPr>
      </w:pPr>
      <w:r w:rsidRPr="00CF1B77">
        <w:rPr>
          <w:sz w:val="22"/>
          <w:szCs w:val="22"/>
        </w:rPr>
        <w:t>…As I have said before, this is indeed a most unfortunate situation as…custody in a gaol is quite inap</w:t>
      </w:r>
      <w:r>
        <w:rPr>
          <w:sz w:val="22"/>
          <w:szCs w:val="22"/>
        </w:rPr>
        <w:t>propriate for people like Mr [KB]</w:t>
      </w:r>
      <w:r w:rsidRPr="00CF1B77">
        <w:rPr>
          <w:sz w:val="22"/>
          <w:szCs w:val="22"/>
        </w:rPr>
        <w:t xml:space="preserve"> and they cannot receive the necessary treatment and support that should be available to them and would be available to them if an appropriate facility to house these people existed in the Territory. The need for that facility is acute and growing rapidly.</w:t>
      </w:r>
    </w:p>
    <w:p w14:paraId="2390F066" w14:textId="121BDA56" w:rsidR="00DA4BF1" w:rsidRDefault="00DA4BF1" w:rsidP="00190A45">
      <w:pPr>
        <w:pStyle w:val="SubmissionNormal"/>
        <w:numPr>
          <w:ilvl w:val="0"/>
          <w:numId w:val="0"/>
        </w:numPr>
      </w:pPr>
      <w:r w:rsidRPr="00417F45">
        <w:t>His Honour concluded that he was ‘left with no alternative but to make a custodial supervision order</w:t>
      </w:r>
      <w:r w:rsidR="003D775D">
        <w:t>’.</w:t>
      </w:r>
      <w:r w:rsidRPr="00417F45">
        <w:t xml:space="preserve"> </w:t>
      </w:r>
      <w:r>
        <w:t>He stated that if Mr KB had been found guilty, he would have nominated a sentence of 12 months’ imprisonment. Mr KB was detained in the ASCC</w:t>
      </w:r>
      <w:r w:rsidR="00057BFD">
        <w:t xml:space="preserve"> for six</w:t>
      </w:r>
      <w:r w:rsidR="007B6E46">
        <w:t xml:space="preserve"> years, </w:t>
      </w:r>
      <w:r w:rsidR="009E0D00">
        <w:t xml:space="preserve">until June 2013, when </w:t>
      </w:r>
      <w:r w:rsidR="007B6E46">
        <w:t xml:space="preserve">he </w:t>
      </w:r>
      <w:r>
        <w:t>was moved to Kwiyernpe House, a secure care facility located ad</w:t>
      </w:r>
      <w:r w:rsidR="009E0D00">
        <w:t>jacent to the ASCC</w:t>
      </w:r>
      <w:r>
        <w:t>.</w:t>
      </w:r>
    </w:p>
    <w:p w14:paraId="0A634CE7" w14:textId="77777777" w:rsidR="00DA4BF1" w:rsidRDefault="00DA4BF1" w:rsidP="00E37D02">
      <w:pPr>
        <w:pStyle w:val="SubmissionNormal"/>
        <w:numPr>
          <w:ilvl w:val="0"/>
          <w:numId w:val="0"/>
        </w:numPr>
        <w:spacing w:before="0" w:after="120"/>
      </w:pPr>
      <w:r>
        <w:t>The Commission found that:</w:t>
      </w:r>
    </w:p>
    <w:p w14:paraId="1E89F736" w14:textId="77777777" w:rsidR="00DA4BF1" w:rsidRDefault="00DA4BF1" w:rsidP="00E37D02">
      <w:pPr>
        <w:pStyle w:val="SubmissionNormal"/>
        <w:numPr>
          <w:ilvl w:val="0"/>
          <w:numId w:val="30"/>
        </w:numPr>
        <w:spacing w:before="0" w:after="120"/>
        <w:ind w:left="426" w:hanging="426"/>
      </w:pPr>
      <w:r>
        <w:t>the detention of Mr KB at the ASCC was inappropriate and therefore arbitrary, contrary to article 9(1) of the ICCPR and 14(1) of the Disability Convention</w:t>
      </w:r>
    </w:p>
    <w:p w14:paraId="2DDD9C6C" w14:textId="77777777" w:rsidR="00DA4BF1" w:rsidRDefault="00DA4BF1" w:rsidP="00E37D02">
      <w:pPr>
        <w:pStyle w:val="SubmissionNormal"/>
        <w:numPr>
          <w:ilvl w:val="0"/>
          <w:numId w:val="30"/>
        </w:numPr>
        <w:spacing w:before="0" w:after="120"/>
        <w:ind w:left="426" w:hanging="426"/>
      </w:pPr>
      <w:r>
        <w:t>Mr KB was not treated with humanity and respect while in detention, contrary to article 10(1) of the ICCPR</w:t>
      </w:r>
    </w:p>
    <w:p w14:paraId="29C6B1DA" w14:textId="2D09DE80" w:rsidR="00DA4BF1" w:rsidRPr="00595CAD" w:rsidRDefault="00DA4BF1" w:rsidP="00E37D02">
      <w:pPr>
        <w:pStyle w:val="SubmissionNormal"/>
        <w:numPr>
          <w:ilvl w:val="0"/>
          <w:numId w:val="30"/>
        </w:numPr>
        <w:spacing w:before="0" w:after="120"/>
        <w:ind w:left="426" w:hanging="426"/>
      </w:pPr>
      <w:r>
        <w:t xml:space="preserve">As the ASCC was a maximum security prison and MR KB had not been convicted of any offence, there was a breach of article 10(2)(a) </w:t>
      </w:r>
      <w:r w:rsidR="00EC4B80">
        <w:t xml:space="preserve">of the ICCPR </w:t>
      </w:r>
      <w:r>
        <w:t>which requires that convicted offenders be separated from unconvicted detainees.</w:t>
      </w:r>
      <w:r>
        <w:rPr>
          <w:rStyle w:val="EndnoteReference"/>
        </w:rPr>
        <w:endnoteReference w:id="177"/>
      </w:r>
      <w:r>
        <w:t xml:space="preserve">  </w:t>
      </w:r>
    </w:p>
    <w:p w14:paraId="46A1D123" w14:textId="77777777" w:rsidR="00DA4BF1" w:rsidRPr="00CE0A03" w:rsidRDefault="00DA4BF1" w:rsidP="00CF495A">
      <w:pPr>
        <w:pStyle w:val="Heading2"/>
        <w:numPr>
          <w:ilvl w:val="0"/>
          <w:numId w:val="0"/>
        </w:numPr>
      </w:pPr>
      <w:bookmarkStart w:id="113" w:name="_Toc444083573"/>
      <w:bookmarkStart w:id="114" w:name="_Toc444774956"/>
      <w:bookmarkStart w:id="115" w:name="_Toc445823262"/>
      <w:bookmarkStart w:id="116" w:name="_Toc447200200"/>
      <w:r>
        <w:t>The c</w:t>
      </w:r>
      <w:r w:rsidRPr="00CE0A03">
        <w:t>ase of KC</w:t>
      </w:r>
      <w:bookmarkEnd w:id="113"/>
      <w:bookmarkEnd w:id="114"/>
      <w:bookmarkEnd w:id="115"/>
      <w:bookmarkEnd w:id="116"/>
      <w:r w:rsidRPr="00CE0A03">
        <w:t xml:space="preserve"> </w:t>
      </w:r>
    </w:p>
    <w:p w14:paraId="48E0F67E" w14:textId="77777777" w:rsidR="00DA4BF1" w:rsidRPr="006B5065" w:rsidRDefault="00DA4BF1" w:rsidP="00CF495A">
      <w:pPr>
        <w:pStyle w:val="SubmissionNormal"/>
        <w:numPr>
          <w:ilvl w:val="0"/>
          <w:numId w:val="0"/>
        </w:numPr>
      </w:pPr>
      <w:r>
        <w:t xml:space="preserve">Mr KC is an Aboriginal man with a moderate to severe cognitive impairment who requires full time care. </w:t>
      </w:r>
    </w:p>
    <w:p w14:paraId="795D2440" w14:textId="37B24B1C" w:rsidR="00DA4BF1" w:rsidRPr="006B5065" w:rsidRDefault="00DA4BF1" w:rsidP="00CF495A">
      <w:pPr>
        <w:pStyle w:val="SubmissionNormal"/>
        <w:numPr>
          <w:ilvl w:val="0"/>
          <w:numId w:val="0"/>
        </w:numPr>
      </w:pPr>
      <w:r>
        <w:t xml:space="preserve">On 14 August 2008 </w:t>
      </w:r>
      <w:r w:rsidRPr="006B5065">
        <w:t>Mr KC threatened a carer</w:t>
      </w:r>
      <w:r>
        <w:t xml:space="preserve"> with a shard of broken glass</w:t>
      </w:r>
      <w:r w:rsidR="00542445">
        <w:t>. He</w:t>
      </w:r>
      <w:r w:rsidRPr="006B5065">
        <w:t xml:space="preserve"> also caused damage to property including throwing a coffee table through lounge room windows and smashing the windscreen and windows of a car. </w:t>
      </w:r>
    </w:p>
    <w:p w14:paraId="05449B59" w14:textId="06C6BEEB" w:rsidR="00DA4BF1" w:rsidRDefault="00DA4BF1" w:rsidP="00CF495A">
      <w:pPr>
        <w:pStyle w:val="SubmissionNormal"/>
        <w:numPr>
          <w:ilvl w:val="0"/>
          <w:numId w:val="0"/>
        </w:numPr>
      </w:pPr>
      <w:r>
        <w:t>On 8 October 2008</w:t>
      </w:r>
      <w:r w:rsidRPr="006B5065">
        <w:t xml:space="preserve"> Mr KC appeared before the </w:t>
      </w:r>
      <w:r w:rsidR="004220A1">
        <w:t xml:space="preserve">NT </w:t>
      </w:r>
      <w:r w:rsidRPr="006B5065">
        <w:t>Supreme Court charged with unlawful aggravated assault and damage to property.</w:t>
      </w:r>
      <w:r w:rsidRPr="005B5CD0">
        <w:t xml:space="preserve"> </w:t>
      </w:r>
      <w:r>
        <w:t xml:space="preserve">On 21 May 2009 </w:t>
      </w:r>
      <w:r w:rsidR="004220A1">
        <w:t xml:space="preserve">he </w:t>
      </w:r>
      <w:r w:rsidRPr="006B5065">
        <w:t xml:space="preserve">was </w:t>
      </w:r>
      <w:r>
        <w:t xml:space="preserve">found </w:t>
      </w:r>
      <w:r w:rsidRPr="006B5065">
        <w:lastRenderedPageBreak/>
        <w:t xml:space="preserve">unfit to stand trial. </w:t>
      </w:r>
      <w:r>
        <w:t>The jury at a</w:t>
      </w:r>
      <w:r w:rsidRPr="006B5065">
        <w:t xml:space="preserve"> special hearing returned verdicts </w:t>
      </w:r>
      <w:r>
        <w:t xml:space="preserve">on each offence </w:t>
      </w:r>
      <w:r w:rsidRPr="006B5065">
        <w:t>of not guilty by reason of mental impairment.</w:t>
      </w:r>
    </w:p>
    <w:p w14:paraId="34084E9E" w14:textId="0490B28F" w:rsidR="00DA4BF1" w:rsidRDefault="00DA4BF1" w:rsidP="00CF495A">
      <w:pPr>
        <w:pStyle w:val="SubmissionNormal"/>
        <w:numPr>
          <w:ilvl w:val="0"/>
          <w:numId w:val="0"/>
        </w:numPr>
      </w:pPr>
      <w:r>
        <w:t>On 19 November 2009, 15 months after the incident took place, Chief Justice Martin made a custodial supervision order</w:t>
      </w:r>
      <w:r w:rsidR="00943D72">
        <w:t xml:space="preserve"> for MR KC</w:t>
      </w:r>
      <w:r>
        <w:t>, noting that:</w:t>
      </w:r>
    </w:p>
    <w:p w14:paraId="3DBCE076" w14:textId="77777777" w:rsidR="00DA4BF1" w:rsidRPr="00FF4305" w:rsidRDefault="00DA4BF1" w:rsidP="001E58C6">
      <w:pPr>
        <w:pStyle w:val="SubmissionNormal"/>
        <w:numPr>
          <w:ilvl w:val="0"/>
          <w:numId w:val="0"/>
        </w:numPr>
        <w:ind w:left="567"/>
        <w:rPr>
          <w:sz w:val="22"/>
          <w:szCs w:val="22"/>
        </w:rPr>
      </w:pPr>
      <w:r w:rsidRPr="00FF4305">
        <w:rPr>
          <w:sz w:val="22"/>
          <w:szCs w:val="22"/>
        </w:rPr>
        <w:t>residence in a correctional centre is not the ideal locali</w:t>
      </w:r>
      <w:r>
        <w:rPr>
          <w:sz w:val="22"/>
          <w:szCs w:val="22"/>
        </w:rPr>
        <w:t>ty for Mr [KC]</w:t>
      </w:r>
      <w:r w:rsidRPr="00FF4305">
        <w:rPr>
          <w:sz w:val="22"/>
          <w:szCs w:val="22"/>
        </w:rPr>
        <w:t xml:space="preserve"> and others like him. He is not on remand and he is not a convicted offender. </w:t>
      </w:r>
      <w:r>
        <w:rPr>
          <w:sz w:val="22"/>
          <w:szCs w:val="22"/>
        </w:rPr>
        <w:t>He requires special assistance.</w:t>
      </w:r>
    </w:p>
    <w:p w14:paraId="11FBD946" w14:textId="685A6EA0" w:rsidR="00DA4BF1" w:rsidRDefault="00DA4BF1" w:rsidP="00CF495A">
      <w:pPr>
        <w:pStyle w:val="SubmissionNormal"/>
        <w:numPr>
          <w:ilvl w:val="0"/>
          <w:numId w:val="0"/>
        </w:numPr>
      </w:pPr>
      <w:r>
        <w:t>The Chief Justice stated that if Mr KC had been found guilty</w:t>
      </w:r>
      <w:r w:rsidR="00230DD3">
        <w:t xml:space="preserve"> </w:t>
      </w:r>
      <w:r>
        <w:t xml:space="preserve">he would have imposed a sentence of 12 months’ imprisonment. </w:t>
      </w:r>
      <w:r w:rsidR="00C67388">
        <w:t xml:space="preserve">However, </w:t>
      </w:r>
      <w:r>
        <w:t xml:space="preserve">Mr KC was detained in the ASCC for four and a half years before being relocated </w:t>
      </w:r>
      <w:r w:rsidRPr="006B5065">
        <w:t>to Kwiyernpe House</w:t>
      </w:r>
      <w:r>
        <w:t xml:space="preserve"> in April 2013.</w:t>
      </w:r>
    </w:p>
    <w:p w14:paraId="05CB1412" w14:textId="77777777" w:rsidR="00DA4BF1" w:rsidRPr="00964BBC" w:rsidRDefault="00DA4BF1" w:rsidP="00CF495A">
      <w:pPr>
        <w:pStyle w:val="SubmissionNormal"/>
        <w:numPr>
          <w:ilvl w:val="0"/>
          <w:numId w:val="0"/>
        </w:numPr>
      </w:pPr>
      <w:r>
        <w:t>The Commission made the same findings about breaches of human rights in relation to Mr KC’s case as it did for Mr KB.</w:t>
      </w:r>
      <w:r>
        <w:rPr>
          <w:rStyle w:val="EndnoteReference"/>
        </w:rPr>
        <w:endnoteReference w:id="178"/>
      </w:r>
      <w:r w:rsidRPr="006B5065">
        <w:t xml:space="preserve"> </w:t>
      </w:r>
    </w:p>
    <w:p w14:paraId="5ACDAE82" w14:textId="77777777" w:rsidR="00DA4BF1" w:rsidRPr="00CE0A03" w:rsidRDefault="00DA4BF1" w:rsidP="001E58C6">
      <w:pPr>
        <w:pStyle w:val="Heading2"/>
        <w:numPr>
          <w:ilvl w:val="0"/>
          <w:numId w:val="0"/>
        </w:numPr>
      </w:pPr>
      <w:bookmarkStart w:id="117" w:name="_Toc444083574"/>
      <w:bookmarkStart w:id="118" w:name="_Toc444774957"/>
      <w:bookmarkStart w:id="119" w:name="_Toc445823263"/>
      <w:bookmarkStart w:id="120" w:name="_Toc447200201"/>
      <w:r w:rsidRPr="00CE0A03">
        <w:t>The case of KD</w:t>
      </w:r>
      <w:bookmarkEnd w:id="117"/>
      <w:bookmarkEnd w:id="118"/>
      <w:bookmarkEnd w:id="119"/>
      <w:bookmarkEnd w:id="120"/>
      <w:r w:rsidRPr="00CE0A03">
        <w:t xml:space="preserve"> </w:t>
      </w:r>
    </w:p>
    <w:p w14:paraId="1FACA55E" w14:textId="35EEC6E7" w:rsidR="00DA4BF1" w:rsidRPr="00E52659" w:rsidRDefault="00DA4BF1" w:rsidP="001E58C6">
      <w:pPr>
        <w:pStyle w:val="SubmissionNormal"/>
        <w:numPr>
          <w:ilvl w:val="0"/>
          <w:numId w:val="0"/>
        </w:numPr>
      </w:pPr>
      <w:r>
        <w:t>Mr KD is an Aboriginal man with severe acquired brain injury.</w:t>
      </w:r>
      <w:r w:rsidRPr="00EF6128">
        <w:t xml:space="preserve"> </w:t>
      </w:r>
      <w:r w:rsidR="00984CC3">
        <w:t xml:space="preserve">On 15 October 1996 </w:t>
      </w:r>
      <w:r w:rsidRPr="00E52659">
        <w:t xml:space="preserve">Mr KD was found not guilty by reason of insanity on charges of murder, robbery, aggravated assault and attempted sexual intercourse without consent. As </w:t>
      </w:r>
      <w:r>
        <w:t xml:space="preserve">then </w:t>
      </w:r>
      <w:r w:rsidRPr="00E52659">
        <w:t xml:space="preserve">required by </w:t>
      </w:r>
      <w:r>
        <w:t xml:space="preserve">the </w:t>
      </w:r>
      <w:r w:rsidRPr="00E52659">
        <w:t xml:space="preserve">NT </w:t>
      </w:r>
      <w:r w:rsidRPr="00984CC3">
        <w:rPr>
          <w:i/>
        </w:rPr>
        <w:t>Criminal Code</w:t>
      </w:r>
      <w:r w:rsidRPr="00E52659">
        <w:t xml:space="preserve">, the Court ordered that he be kept in strict custody at the ASCC </w:t>
      </w:r>
      <w:r>
        <w:t xml:space="preserve">at </w:t>
      </w:r>
      <w:r w:rsidRPr="00E52659">
        <w:t xml:space="preserve">the </w:t>
      </w:r>
      <w:r>
        <w:t>‘</w:t>
      </w:r>
      <w:r w:rsidRPr="00E52659">
        <w:t>Administrator’s pleasure</w:t>
      </w:r>
      <w:r>
        <w:t>’</w:t>
      </w:r>
      <w:r w:rsidRPr="00E52659">
        <w:t xml:space="preserve">. </w:t>
      </w:r>
    </w:p>
    <w:p w14:paraId="603379D8" w14:textId="42115CB1" w:rsidR="00DA4BF1" w:rsidRDefault="00984CC3" w:rsidP="001E58C6">
      <w:pPr>
        <w:pStyle w:val="SubmissionNormal"/>
        <w:numPr>
          <w:ilvl w:val="0"/>
          <w:numId w:val="0"/>
        </w:numPr>
      </w:pPr>
      <w:r>
        <w:t xml:space="preserve">On 27 September 2001 the Administrator ordered that Mr KD be detained in the ASCC and </w:t>
      </w:r>
      <w:r w:rsidR="00DA4BF1" w:rsidRPr="00E52659">
        <w:t>the Director of Correctional Ser</w:t>
      </w:r>
      <w:r>
        <w:t>vices be responsible for his safe custody.</w:t>
      </w:r>
      <w:r w:rsidR="00DA4BF1" w:rsidRPr="00E52659">
        <w:t xml:space="preserve"> </w:t>
      </w:r>
      <w:r w:rsidR="00A84AD9">
        <w:t xml:space="preserve">When </w:t>
      </w:r>
      <w:r w:rsidR="00DA4BF1" w:rsidRPr="00E52659">
        <w:t>Part IIA of the NT Crim</w:t>
      </w:r>
      <w:r w:rsidR="00A84AD9">
        <w:t xml:space="preserve">inal Code came into operation in </w:t>
      </w:r>
      <w:r w:rsidR="00DA4BF1" w:rsidRPr="00E52659">
        <w:t>J</w:t>
      </w:r>
      <w:r w:rsidR="00A84AD9">
        <w:t xml:space="preserve">une 2002, </w:t>
      </w:r>
      <w:r w:rsidR="00DA4BF1" w:rsidRPr="00E52659">
        <w:t>Mr KD was taken to be a supervised person held in custody under a custodial supervision order.</w:t>
      </w:r>
    </w:p>
    <w:p w14:paraId="31D6321B" w14:textId="43CA20FF" w:rsidR="00DA4BF1" w:rsidRDefault="00DE1429" w:rsidP="001E58C6">
      <w:pPr>
        <w:pStyle w:val="SubmissionNormal"/>
        <w:numPr>
          <w:ilvl w:val="0"/>
          <w:numId w:val="0"/>
        </w:numPr>
      </w:pPr>
      <w:r>
        <w:t>Chief Justice Martin of</w:t>
      </w:r>
      <w:r w:rsidR="00DA4BF1">
        <w:t xml:space="preserve"> the </w:t>
      </w:r>
      <w:r w:rsidR="002E4D9F">
        <w:t xml:space="preserve">NT </w:t>
      </w:r>
      <w:r w:rsidR="00DA4BF1">
        <w:t>Supreme Court</w:t>
      </w:r>
      <w:r w:rsidR="00F31333">
        <w:t xml:space="preserve"> conducted</w:t>
      </w:r>
      <w:r w:rsidR="00DA4BF1">
        <w:t xml:space="preserve"> a review of Mr KD’s detention </w:t>
      </w:r>
      <w:r w:rsidR="00AA3D78">
        <w:t>in August 2003</w:t>
      </w:r>
      <w:r w:rsidR="00F31333">
        <w:t xml:space="preserve">. Martin CJ </w:t>
      </w:r>
      <w:r w:rsidR="00AA3D78">
        <w:t>noted that he</w:t>
      </w:r>
      <w:r w:rsidR="00DA4BF1">
        <w:t xml:space="preserve"> was kept in a normal cell in the protection wing of the maximu</w:t>
      </w:r>
      <w:r w:rsidR="00AA3D78">
        <w:t>m security area of the prison.</w:t>
      </w:r>
      <w:r w:rsidR="00F31333">
        <w:t xml:space="preserve"> N</w:t>
      </w:r>
      <w:r w:rsidR="00DA4BF1">
        <w:t>otwithstanding regular review</w:t>
      </w:r>
      <w:r>
        <w:t>s</w:t>
      </w:r>
      <w:r w:rsidR="00DA4BF1">
        <w:t xml:space="preserve"> </w:t>
      </w:r>
      <w:r w:rsidR="00F31333">
        <w:t xml:space="preserve">and concerns expressed </w:t>
      </w:r>
      <w:r w:rsidR="00DA4BF1">
        <w:t xml:space="preserve">by mental health professionals </w:t>
      </w:r>
      <w:r w:rsidR="00F31333">
        <w:t xml:space="preserve">about </w:t>
      </w:r>
      <w:r>
        <w:t xml:space="preserve">his </w:t>
      </w:r>
      <w:r w:rsidR="00DA4BF1">
        <w:t xml:space="preserve">progressive mental deterioration, </w:t>
      </w:r>
      <w:r w:rsidR="00F31333">
        <w:t>there was no evidenc</w:t>
      </w:r>
      <w:r>
        <w:t>e that Mr KD</w:t>
      </w:r>
      <w:r w:rsidR="00DA4BF1">
        <w:t xml:space="preserve"> received any particular treatment, therapy or counselling, ‘beyond tranquillising when required’.</w:t>
      </w:r>
      <w:r w:rsidR="00DA4BF1">
        <w:rPr>
          <w:rStyle w:val="EndnoteReference"/>
        </w:rPr>
        <w:endnoteReference w:id="179"/>
      </w:r>
    </w:p>
    <w:p w14:paraId="014CF919" w14:textId="07BECD03" w:rsidR="00DA4BF1" w:rsidRDefault="00AA3D78" w:rsidP="001E58C6">
      <w:pPr>
        <w:pStyle w:val="SubmissionNormal"/>
        <w:numPr>
          <w:ilvl w:val="0"/>
          <w:numId w:val="0"/>
        </w:numPr>
      </w:pPr>
      <w:r>
        <w:t xml:space="preserve">The Chief Justice </w:t>
      </w:r>
      <w:r w:rsidR="00DA4BF1">
        <w:t>order</w:t>
      </w:r>
      <w:r>
        <w:t>ed</w:t>
      </w:r>
      <w:r w:rsidR="00DA4BF1">
        <w:t xml:space="preserve"> that Mr KD </w:t>
      </w:r>
      <w:r w:rsidR="00DA4BF1" w:rsidRPr="00271DB5">
        <w:t xml:space="preserve">continue to be </w:t>
      </w:r>
      <w:r>
        <w:t>detained in a prison under a custodial supervision order</w:t>
      </w:r>
      <w:r w:rsidR="001723C4">
        <w:t>, because there we</w:t>
      </w:r>
      <w:r w:rsidR="00DA4BF1" w:rsidRPr="00271DB5">
        <w:t xml:space="preserve">re </w:t>
      </w:r>
      <w:r w:rsidR="001723C4">
        <w:t>‘</w:t>
      </w:r>
      <w:r w:rsidR="00DA4BF1" w:rsidRPr="00271DB5">
        <w:t>no adequate resources available for his treatment and support in the community outside of prison’.</w:t>
      </w:r>
      <w:r w:rsidR="00DA4BF1" w:rsidRPr="00271DB5">
        <w:rPr>
          <w:rStyle w:val="EndnoteReference"/>
        </w:rPr>
        <w:endnoteReference w:id="180"/>
      </w:r>
    </w:p>
    <w:p w14:paraId="00FCEBE8" w14:textId="185353D4" w:rsidR="00DA4BF1" w:rsidRPr="005E32F1" w:rsidRDefault="00DA4BF1" w:rsidP="001E58C6">
      <w:pPr>
        <w:pStyle w:val="SubmissionNormal"/>
        <w:numPr>
          <w:ilvl w:val="0"/>
          <w:numId w:val="0"/>
        </w:numPr>
      </w:pPr>
      <w:r>
        <w:t xml:space="preserve">The Commission found that </w:t>
      </w:r>
      <w:r w:rsidR="00895F32">
        <w:t xml:space="preserve">the </w:t>
      </w:r>
      <w:r>
        <w:t xml:space="preserve">conditions of detention faced by Mr KD amounted to </w:t>
      </w:r>
      <w:r w:rsidRPr="005E32F1">
        <w:t>cruel, inhuman or degrading treatment contrary to article 7 of the ICCPR and article 15 o</w:t>
      </w:r>
      <w:r w:rsidR="00A321CA">
        <w:t>f the Disability Convention, as</w:t>
      </w:r>
      <w:r w:rsidR="00E37D02">
        <w:t>:</w:t>
      </w:r>
    </w:p>
    <w:p w14:paraId="01F2E320" w14:textId="1E523571" w:rsidR="00E93207" w:rsidRPr="00EF6128" w:rsidRDefault="00A321CA" w:rsidP="001E58C6">
      <w:pPr>
        <w:pStyle w:val="SubmissionNormal"/>
        <w:numPr>
          <w:ilvl w:val="0"/>
          <w:numId w:val="0"/>
        </w:numPr>
        <w:ind w:left="567"/>
        <w:rPr>
          <w:sz w:val="22"/>
          <w:szCs w:val="22"/>
        </w:rPr>
      </w:pPr>
      <w:r>
        <w:rPr>
          <w:sz w:val="22"/>
          <w:szCs w:val="22"/>
        </w:rPr>
        <w:t>[t]</w:t>
      </w:r>
      <w:r w:rsidR="00DA4BF1" w:rsidRPr="00124D28">
        <w:rPr>
          <w:sz w:val="22"/>
          <w:szCs w:val="22"/>
        </w:rPr>
        <w:t>he impact on Mr KD of custody in a maximum security prison was severe. Chief Justice Martin found that Mr KD was unable to live under conditions in a prison where he can</w:t>
      </w:r>
      <w:r w:rsidR="003240B0">
        <w:rPr>
          <w:sz w:val="22"/>
          <w:szCs w:val="22"/>
        </w:rPr>
        <w:t xml:space="preserve"> associate with other prisoners…</w:t>
      </w:r>
      <w:r w:rsidR="00DA4BF1" w:rsidRPr="00124D28">
        <w:rPr>
          <w:sz w:val="22"/>
          <w:szCs w:val="22"/>
        </w:rPr>
        <w:t>he was isolated in a small single cell and the opportunities for him to be permitted outside this cell were restricted to two or three hours per day. Prolonged solitary confinement of a detained or imprisoned person may amount to a b</w:t>
      </w:r>
      <w:r w:rsidR="00DA4BF1">
        <w:rPr>
          <w:sz w:val="22"/>
          <w:szCs w:val="22"/>
        </w:rPr>
        <w:t>reach of article 7 of the ICCPR.</w:t>
      </w:r>
      <w:r w:rsidR="00DA4BF1" w:rsidRPr="00124D28">
        <w:rPr>
          <w:sz w:val="22"/>
          <w:szCs w:val="22"/>
        </w:rPr>
        <w:t xml:space="preserve"> Despite these severe conditions, the custodial order was confirmed because there were no adequate resources available for his treatment and support in the community outside of prison.</w:t>
      </w:r>
      <w:r w:rsidR="00DA4BF1" w:rsidRPr="00124D28">
        <w:rPr>
          <w:rStyle w:val="EndnoteReference"/>
        </w:rPr>
        <w:endnoteReference w:id="181"/>
      </w:r>
      <w:r w:rsidR="00DA4BF1" w:rsidRPr="00124D28">
        <w:rPr>
          <w:rStyle w:val="EndnoteReference"/>
        </w:rPr>
        <w:t xml:space="preserve"> </w:t>
      </w:r>
      <w:r w:rsidR="00E93207" w:rsidRPr="00124D28">
        <w:rPr>
          <w:sz w:val="22"/>
          <w:szCs w:val="22"/>
        </w:rPr>
        <w:t xml:space="preserve"> </w:t>
      </w:r>
    </w:p>
    <w:p w14:paraId="2CF2DBEB" w14:textId="77777777" w:rsidR="001F30C9" w:rsidRDefault="001F30C9" w:rsidP="00805DFB">
      <w:pPr>
        <w:pStyle w:val="Heading1"/>
        <w:numPr>
          <w:ilvl w:val="0"/>
          <w:numId w:val="0"/>
        </w:numPr>
        <w:sectPr w:rsidR="001F30C9">
          <w:headerReference w:type="default" r:id="rId13"/>
          <w:headerReference w:type="first" r:id="rId14"/>
          <w:endnotePr>
            <w:numFmt w:val="decimal"/>
          </w:endnotePr>
          <w:pgSz w:w="11907" w:h="16840" w:code="9"/>
          <w:pgMar w:top="1247" w:right="1418" w:bottom="1247" w:left="1418" w:header="709" w:footer="709" w:gutter="0"/>
          <w:cols w:space="720"/>
          <w:docGrid w:linePitch="299"/>
        </w:sectPr>
      </w:pPr>
      <w:bookmarkStart w:id="121" w:name="_Toc443396463"/>
      <w:bookmarkStart w:id="122" w:name="_Toc443498138"/>
      <w:bookmarkStart w:id="123" w:name="_Toc443824181"/>
      <w:bookmarkStart w:id="124" w:name="_Toc443396464"/>
      <w:bookmarkStart w:id="125" w:name="_Toc443498139"/>
      <w:bookmarkStart w:id="126" w:name="_Toc443824182"/>
      <w:bookmarkEnd w:id="121"/>
      <w:bookmarkEnd w:id="122"/>
      <w:bookmarkEnd w:id="123"/>
      <w:bookmarkEnd w:id="124"/>
      <w:bookmarkEnd w:id="125"/>
      <w:bookmarkEnd w:id="126"/>
    </w:p>
    <w:p w14:paraId="3F55C9A6" w14:textId="18F46B1F" w:rsidR="00EB6A76" w:rsidRPr="00430778" w:rsidRDefault="00EB6A76" w:rsidP="00644B53">
      <w:pPr>
        <w:autoSpaceDE w:val="0"/>
        <w:autoSpaceDN w:val="0"/>
        <w:adjustRightInd w:val="0"/>
        <w:spacing w:before="0" w:after="120"/>
        <w:rPr>
          <w:rFonts w:eastAsia="Times New Roman" w:cs="Arial"/>
          <w:bCs/>
        </w:rPr>
      </w:pPr>
    </w:p>
    <w:sectPr w:rsidR="00EB6A76" w:rsidRPr="00430778" w:rsidSect="00EC4E16">
      <w:headerReference w:type="even" r:id="rId15"/>
      <w:headerReference w:type="default" r:id="rId16"/>
      <w:footerReference w:type="default" r:id="rId17"/>
      <w:headerReference w:type="first" r:id="rId1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BBB10" w14:textId="77777777" w:rsidR="003A3F5C" w:rsidRDefault="003A3F5C" w:rsidP="00F14C6D">
      <w:r>
        <w:separator/>
      </w:r>
    </w:p>
  </w:endnote>
  <w:endnote w:type="continuationSeparator" w:id="0">
    <w:p w14:paraId="0DB6F1E4" w14:textId="77777777" w:rsidR="003A3F5C" w:rsidRDefault="003A3F5C" w:rsidP="00F14C6D">
      <w:r>
        <w:continuationSeparator/>
      </w:r>
    </w:p>
  </w:endnote>
  <w:endnote w:id="1">
    <w:p w14:paraId="6C1A1EDA" w14:textId="5CC3DFA9" w:rsidR="003A3F5C" w:rsidRPr="00B2559B" w:rsidRDefault="003A3F5C" w:rsidP="00B2559B">
      <w:pPr>
        <w:pStyle w:val="Default"/>
        <w:rPr>
          <w:rFonts w:ascii="Times New Roman" w:hAnsi="Times New Roman" w:cs="Times New Roman"/>
        </w:rPr>
      </w:pPr>
      <w:r w:rsidRPr="0094753B">
        <w:rPr>
          <w:rStyle w:val="EndnoteReference"/>
          <w:szCs w:val="20"/>
        </w:rPr>
        <w:endnoteRef/>
      </w:r>
      <w:r w:rsidRPr="0094753B">
        <w:rPr>
          <w:sz w:val="20"/>
          <w:szCs w:val="20"/>
        </w:rPr>
        <w:t xml:space="preserve"> </w:t>
      </w:r>
      <w:r>
        <w:rPr>
          <w:rFonts w:ascii="Arial" w:hAnsi="Arial" w:cs="Arial"/>
          <w:sz w:val="20"/>
          <w:szCs w:val="20"/>
        </w:rPr>
        <w:t xml:space="preserve">John Quinn, ‘Opening statement by Australia’ (Speech delivered to </w:t>
      </w:r>
      <w:r w:rsidRPr="00B2559B">
        <w:rPr>
          <w:rFonts w:ascii="Arial" w:hAnsi="Arial" w:cs="Arial"/>
          <w:sz w:val="20"/>
          <w:szCs w:val="20"/>
        </w:rPr>
        <w:t>Universal Periodic Review Working Group – 23rd Session</w:t>
      </w:r>
      <w:r>
        <w:rPr>
          <w:rFonts w:ascii="Arial" w:hAnsi="Arial" w:cs="Arial"/>
          <w:sz w:val="20"/>
          <w:szCs w:val="20"/>
        </w:rPr>
        <w:t xml:space="preserve">, Geneva, 9 November 2015). At </w:t>
      </w:r>
      <w:r w:rsidRPr="0094753B">
        <w:rPr>
          <w:rFonts w:ascii="Arial" w:hAnsi="Arial" w:cs="Arial"/>
          <w:sz w:val="20"/>
          <w:szCs w:val="20"/>
        </w:rPr>
        <w:t>https://www.ag.gov.au/RightsAndProtections/HumanRights/United-Nations-Human-Rights-Reporting/Pages/Australias-</w:t>
      </w:r>
      <w:r>
        <w:rPr>
          <w:rFonts w:ascii="Arial" w:hAnsi="Arial" w:cs="Arial"/>
          <w:sz w:val="20"/>
          <w:szCs w:val="20"/>
        </w:rPr>
        <w:t>Universal-Periodic-Review.aspx (viewed 22 February 2016)</w:t>
      </w:r>
      <w:r w:rsidRPr="0094753B">
        <w:rPr>
          <w:rFonts w:ascii="Arial" w:hAnsi="Arial" w:cs="Arial"/>
          <w:sz w:val="20"/>
          <w:szCs w:val="20"/>
        </w:rPr>
        <w:t xml:space="preserve">. Note also </w:t>
      </w:r>
      <w:r w:rsidR="00AD010F">
        <w:rPr>
          <w:rFonts w:ascii="Arial" w:hAnsi="Arial" w:cs="Arial"/>
          <w:sz w:val="20"/>
          <w:szCs w:val="20"/>
        </w:rPr>
        <w:t xml:space="preserve">that during the Universal Periodic Review </w:t>
      </w:r>
      <w:r w:rsidRPr="0094753B">
        <w:rPr>
          <w:rFonts w:ascii="Arial" w:hAnsi="Arial" w:cs="Arial"/>
          <w:sz w:val="20"/>
          <w:szCs w:val="20"/>
        </w:rPr>
        <w:t>countries made specific recommendations to Australia to end the practice of indefinite detention of people with dis</w:t>
      </w:r>
      <w:r>
        <w:rPr>
          <w:rFonts w:ascii="Arial" w:hAnsi="Arial" w:cs="Arial"/>
          <w:sz w:val="20"/>
          <w:szCs w:val="20"/>
        </w:rPr>
        <w:t>ability (192, 194, 195 and 196)</w:t>
      </w:r>
    </w:p>
  </w:endnote>
  <w:endnote w:id="2">
    <w:p w14:paraId="7A75B324" w14:textId="1C3E6744" w:rsidR="003A3F5C" w:rsidRPr="009C3D77" w:rsidRDefault="003A3F5C" w:rsidP="009C3D77">
      <w:pPr>
        <w:spacing w:before="0" w:after="0"/>
        <w:rPr>
          <w:sz w:val="20"/>
          <w:szCs w:val="20"/>
        </w:rPr>
      </w:pPr>
      <w:r w:rsidRPr="00063F02">
        <w:rPr>
          <w:rStyle w:val="EndnoteReference"/>
          <w:szCs w:val="20"/>
        </w:rPr>
        <w:endnoteRef/>
      </w:r>
      <w:r w:rsidRPr="00063F02">
        <w:rPr>
          <w:sz w:val="20"/>
          <w:szCs w:val="20"/>
        </w:rPr>
        <w:t xml:space="preserve"> See Tom Calma, Aboriginal and Torres Strait Islander Social Justice Commissioner, </w:t>
      </w:r>
      <w:r w:rsidRPr="00063F02">
        <w:rPr>
          <w:i/>
          <w:sz w:val="20"/>
          <w:szCs w:val="20"/>
        </w:rPr>
        <w:t>Indigenous young people with cognitive disabilities &amp; Australian juvenile justice systems</w:t>
      </w:r>
      <w:r w:rsidRPr="00063F02">
        <w:rPr>
          <w:sz w:val="20"/>
          <w:szCs w:val="20"/>
        </w:rPr>
        <w:t xml:space="preserve"> (Human Rights and Equal Opp</w:t>
      </w:r>
      <w:r>
        <w:rPr>
          <w:sz w:val="20"/>
          <w:szCs w:val="20"/>
        </w:rPr>
        <w:t>ortunity Commission, 2005), and the publications cited in</w:t>
      </w:r>
      <w:r w:rsidR="00244FAE">
        <w:rPr>
          <w:sz w:val="20"/>
          <w:szCs w:val="20"/>
        </w:rPr>
        <w:t xml:space="preserve"> the following five</w:t>
      </w:r>
      <w:r>
        <w:rPr>
          <w:sz w:val="20"/>
          <w:szCs w:val="20"/>
        </w:rPr>
        <w:t xml:space="preserve"> endnotes.</w:t>
      </w:r>
    </w:p>
  </w:endnote>
  <w:endnote w:id="3">
    <w:p w14:paraId="38092346" w14:textId="7CD70EF1" w:rsidR="003A3F5C" w:rsidRPr="00F0204D" w:rsidRDefault="003A3F5C" w:rsidP="005853C7">
      <w:pPr>
        <w:pStyle w:val="EndnoteText"/>
      </w:pPr>
      <w:r>
        <w:rPr>
          <w:rStyle w:val="EndnoteReference"/>
        </w:rPr>
        <w:endnoteRef/>
      </w:r>
      <w:r>
        <w:t xml:space="preserve"> </w:t>
      </w:r>
      <w:r w:rsidRPr="00063F02">
        <w:t xml:space="preserve">Australian Human Rights Commission, </w:t>
      </w:r>
      <w:r w:rsidRPr="00063F02">
        <w:rPr>
          <w:i/>
        </w:rPr>
        <w:t>Preventing Crime and Promoting Rights for Indigenous Young People with Cognitive Disabilities and Mental Health Issues</w:t>
      </w:r>
      <w:r w:rsidRPr="00063F02">
        <w:t xml:space="preserve"> (2008)</w:t>
      </w:r>
      <w:r>
        <w:t xml:space="preserve">. At </w:t>
      </w:r>
      <w:hyperlink r:id="rId1" w:history="1">
        <w:r w:rsidRPr="005E567C">
          <w:rPr>
            <w:rStyle w:val="Hyperlink"/>
          </w:rPr>
          <w:t>https://www.humanrights.gov.au/our-work/aboriginal-and-torres-strait-islander-social-justice/publications/preventing-crime-and</w:t>
        </w:r>
      </w:hyperlink>
      <w:r>
        <w:rPr>
          <w:rStyle w:val="Hyperlink"/>
        </w:rPr>
        <w:t xml:space="preserve"> </w:t>
      </w:r>
      <w:r w:rsidRPr="00F0204D">
        <w:t>(viewed 2 March 2016).</w:t>
      </w:r>
    </w:p>
  </w:endnote>
  <w:endnote w:id="4">
    <w:p w14:paraId="519B007B" w14:textId="16F9E466" w:rsidR="003A3F5C" w:rsidRDefault="003A3F5C" w:rsidP="005853C7">
      <w:pPr>
        <w:pStyle w:val="EndnoteText"/>
      </w:pPr>
      <w:r>
        <w:rPr>
          <w:rStyle w:val="EndnoteReference"/>
        </w:rPr>
        <w:endnoteRef/>
      </w:r>
      <w:r>
        <w:t xml:space="preserve"> </w:t>
      </w:r>
      <w:r w:rsidRPr="00063F02">
        <w:t xml:space="preserve">Mick Gooda, Aboriginal and Torres Strait Islander Social Justice Commissioner, </w:t>
      </w:r>
      <w:r w:rsidRPr="00063F02">
        <w:rPr>
          <w:i/>
        </w:rPr>
        <w:t>Social Justice Report 2012</w:t>
      </w:r>
      <w:r w:rsidRPr="00063F02">
        <w:t xml:space="preserve"> (Australian Human Rights Commis</w:t>
      </w:r>
      <w:r w:rsidR="008D0B53">
        <w:t>sion, 2012)</w:t>
      </w:r>
      <w:r>
        <w:t xml:space="preserve">. At </w:t>
      </w:r>
      <w:hyperlink r:id="rId2" w:history="1">
        <w:r w:rsidRPr="005E567C">
          <w:rPr>
            <w:rStyle w:val="Hyperlink"/>
          </w:rPr>
          <w:t>https://www.humanrights.gov.au/our-work/aboriginal-and-torres-strait-islander-social-justice/publications/social-justice-report-11</w:t>
        </w:r>
      </w:hyperlink>
      <w:r>
        <w:t xml:space="preserve"> (viewed 2 March 2016).</w:t>
      </w:r>
    </w:p>
  </w:endnote>
  <w:endnote w:id="5">
    <w:p w14:paraId="426E5689" w14:textId="483B9A40" w:rsidR="003A3F5C" w:rsidRDefault="003A3F5C" w:rsidP="005853C7">
      <w:pPr>
        <w:pStyle w:val="EndnoteText"/>
      </w:pPr>
      <w:r>
        <w:rPr>
          <w:rStyle w:val="EndnoteReference"/>
        </w:rPr>
        <w:endnoteRef/>
      </w:r>
      <w:r>
        <w:t xml:space="preserve"> </w:t>
      </w:r>
      <w:r w:rsidRPr="00063F02">
        <w:t xml:space="preserve">Australian Human Rights Commission, </w:t>
      </w:r>
      <w:r w:rsidR="00762174">
        <w:rPr>
          <w:i/>
        </w:rPr>
        <w:t>Equal b</w:t>
      </w:r>
      <w:r w:rsidRPr="00063F02">
        <w:rPr>
          <w:i/>
        </w:rPr>
        <w:t>efore the Law: Towards Disability Justice Strategies</w:t>
      </w:r>
      <w:r w:rsidRPr="00063F02">
        <w:t xml:space="preserve"> (2014)</w:t>
      </w:r>
      <w:r>
        <w:t xml:space="preserve">. At </w:t>
      </w:r>
      <w:hyperlink r:id="rId3" w:history="1">
        <w:r w:rsidRPr="00510232">
          <w:rPr>
            <w:rStyle w:val="Hyperlink"/>
          </w:rPr>
          <w:t>https://www.humanrights.gov.au/our-work/disability-rights/publications/equal-law</w:t>
        </w:r>
      </w:hyperlink>
      <w:r>
        <w:t xml:space="preserve">. </w:t>
      </w:r>
    </w:p>
  </w:endnote>
  <w:endnote w:id="6">
    <w:p w14:paraId="1DFA962C" w14:textId="5DD1FAE2" w:rsidR="003A3F5C" w:rsidRDefault="003A3F5C" w:rsidP="005853C7">
      <w:pPr>
        <w:pStyle w:val="EndnoteText"/>
      </w:pPr>
      <w:r>
        <w:rPr>
          <w:rStyle w:val="EndnoteReference"/>
        </w:rPr>
        <w:endnoteRef/>
      </w:r>
      <w:r>
        <w:rPr>
          <w:i/>
        </w:rPr>
        <w:t xml:space="preserve"> </w:t>
      </w:r>
      <w:r w:rsidRPr="00063F02">
        <w:rPr>
          <w:i/>
        </w:rPr>
        <w:t>KA, KB, KC and KD v Commonwealth of Australia</w:t>
      </w:r>
      <w:r w:rsidRPr="00063F02">
        <w:t xml:space="preserve"> [2014] AusHRC 80</w:t>
      </w:r>
      <w:r>
        <w:t xml:space="preserve"> [2014] AusHRC 80. At </w:t>
      </w:r>
      <w:hyperlink r:id="rId4" w:history="1">
        <w:r w:rsidRPr="0082653C">
          <w:rPr>
            <w:rStyle w:val="Hyperlink"/>
          </w:rPr>
          <w:t>https://www.humanrights.gov.au/our-work/legal/publications/ka-kb-kc-and-kd-v-commonwealth-austra</w:t>
        </w:r>
        <w:r w:rsidRPr="0082653C">
          <w:rPr>
            <w:rStyle w:val="Hyperlink"/>
          </w:rPr>
          <w:t>l</w:t>
        </w:r>
        <w:r w:rsidRPr="0082653C">
          <w:rPr>
            <w:rStyle w:val="Hyperlink"/>
          </w:rPr>
          <w:t>ia</w:t>
        </w:r>
      </w:hyperlink>
      <w:r w:rsidR="005D5F3E">
        <w:t xml:space="preserve"> (viewed 31 March 2016).</w:t>
      </w:r>
    </w:p>
  </w:endnote>
  <w:endnote w:id="7">
    <w:p w14:paraId="315FC5A4" w14:textId="3E306F1B" w:rsidR="003A3F5C" w:rsidRDefault="003A3F5C" w:rsidP="005853C7">
      <w:pPr>
        <w:pStyle w:val="EndnoteText"/>
      </w:pPr>
      <w:r>
        <w:rPr>
          <w:rStyle w:val="EndnoteReference"/>
        </w:rPr>
        <w:endnoteRef/>
      </w:r>
      <w:r>
        <w:t xml:space="preserve"> </w:t>
      </w:r>
      <w:r w:rsidRPr="00063F02">
        <w:t xml:space="preserve">Mick Gooda, Aboriginal and Torres Strait Islander Social Justice Commissioner, </w:t>
      </w:r>
      <w:r w:rsidRPr="00063F02">
        <w:rPr>
          <w:i/>
        </w:rPr>
        <w:t>Social Justice and Native Title Report 2015</w:t>
      </w:r>
      <w:r w:rsidRPr="00063F02">
        <w:t xml:space="preserve"> (Australian Huma</w:t>
      </w:r>
      <w:r w:rsidR="008D0B53">
        <w:t>n Rights Commission, 2015)</w:t>
      </w:r>
      <w:r>
        <w:t xml:space="preserve">. At </w:t>
      </w:r>
      <w:r w:rsidRPr="006A0962">
        <w:t>https://www.humanrights.gov.au/our-work/aboriginal-and-torres-strait-islander-social-justice/publications/social-justice-and-nati-1</w:t>
      </w:r>
      <w:r>
        <w:t xml:space="preserve"> (viewed 2 March 2016).</w:t>
      </w:r>
    </w:p>
  </w:endnote>
  <w:endnote w:id="8">
    <w:p w14:paraId="50483555" w14:textId="77777777" w:rsidR="003A3F5C" w:rsidRDefault="003A3F5C" w:rsidP="008E4779">
      <w:pPr>
        <w:pStyle w:val="EndnoteText"/>
      </w:pPr>
      <w:r>
        <w:rPr>
          <w:rStyle w:val="EndnoteReference"/>
        </w:rPr>
        <w:endnoteRef/>
      </w:r>
      <w:r>
        <w:t xml:space="preserve"> </w:t>
      </w:r>
      <w:r>
        <w:rPr>
          <w:i/>
          <w:color w:val="000000" w:themeColor="text1"/>
        </w:rPr>
        <w:t xml:space="preserve">Convention on the Rights of Persons with Disabilities, </w:t>
      </w:r>
      <w:r>
        <w:rPr>
          <w:color w:val="000000" w:themeColor="text1"/>
        </w:rPr>
        <w:t xml:space="preserve">opened for signature </w:t>
      </w:r>
      <w:r w:rsidRPr="005065DD">
        <w:rPr>
          <w:color w:val="000000" w:themeColor="text1"/>
        </w:rPr>
        <w:t>13 December 2006</w:t>
      </w:r>
      <w:r>
        <w:rPr>
          <w:color w:val="000000" w:themeColor="text1"/>
        </w:rPr>
        <w:t>, 2515 UNTS 3 (entered into force 3 May 2008).</w:t>
      </w:r>
    </w:p>
  </w:endnote>
  <w:endnote w:id="9">
    <w:p w14:paraId="7E650795" w14:textId="45BB05CC" w:rsidR="003A3F5C" w:rsidRDefault="003A3F5C" w:rsidP="00E5043B">
      <w:pPr>
        <w:pStyle w:val="EndnoteText"/>
      </w:pPr>
      <w:r>
        <w:rPr>
          <w:rStyle w:val="EndnoteReference"/>
        </w:rPr>
        <w:endnoteRef/>
      </w:r>
      <w:r>
        <w:t xml:space="preserve"> </w:t>
      </w:r>
      <w:r>
        <w:rPr>
          <w:i/>
          <w:color w:val="000000" w:themeColor="text1"/>
        </w:rPr>
        <w:t xml:space="preserve">Convention on the Rights of Persons with Disabilities, </w:t>
      </w:r>
      <w:r>
        <w:rPr>
          <w:color w:val="000000" w:themeColor="text1"/>
        </w:rPr>
        <w:t xml:space="preserve">opened for signature </w:t>
      </w:r>
      <w:r w:rsidRPr="005065DD">
        <w:rPr>
          <w:color w:val="000000" w:themeColor="text1"/>
        </w:rPr>
        <w:t>13 December 2006</w:t>
      </w:r>
      <w:r>
        <w:rPr>
          <w:color w:val="000000" w:themeColor="text1"/>
        </w:rPr>
        <w:t>, 2515 UNTS 3 (entered into force 3 May 2008), art 14(2).</w:t>
      </w:r>
    </w:p>
  </w:endnote>
  <w:endnote w:id="10">
    <w:p w14:paraId="2E9734A9" w14:textId="6F9C77FB" w:rsidR="003A3F5C" w:rsidRDefault="003A3F5C">
      <w:pPr>
        <w:pStyle w:val="EndnoteText"/>
      </w:pPr>
      <w:r>
        <w:rPr>
          <w:rStyle w:val="EndnoteReference"/>
        </w:rPr>
        <w:endnoteRef/>
      </w:r>
      <w: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sidR="002A26CC">
        <w:rPr>
          <w:color w:val="000000" w:themeColor="text1"/>
        </w:rPr>
        <w:t xml:space="preserve">, </w:t>
      </w:r>
      <w:r>
        <w:rPr>
          <w:color w:val="000000" w:themeColor="text1"/>
        </w:rPr>
        <w:t>2515 UNTS 3 (entered into force 3 May 2008) arts 12 and 13.</w:t>
      </w:r>
    </w:p>
  </w:endnote>
  <w:endnote w:id="11">
    <w:p w14:paraId="098115C4" w14:textId="556581A0" w:rsidR="003A3F5C" w:rsidRDefault="003A3F5C">
      <w:pPr>
        <w:pStyle w:val="EndnoteText"/>
      </w:pPr>
      <w:r>
        <w:rPr>
          <w:rStyle w:val="EndnoteReference"/>
        </w:rPr>
        <w:endnoteRef/>
      </w:r>
      <w: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xml:space="preserve">, 2515 UNTS 3 (entered into force 3 May 2008) art 13(1) (see also </w:t>
      </w:r>
      <w:r>
        <w:rPr>
          <w:i/>
          <w:color w:val="000000" w:themeColor="text1"/>
        </w:rPr>
        <w:t xml:space="preserve">International Covenant on Civil and Political Rights, </w:t>
      </w:r>
      <w:r w:rsidRPr="006B2415">
        <w:rPr>
          <w:color w:val="000000" w:themeColor="text1"/>
        </w:rPr>
        <w:t>opened for signature 16 December 1966, 999 UNTS 171 (entered into force 23 March 1976)</w:t>
      </w:r>
      <w:r>
        <w:rPr>
          <w:color w:val="000000" w:themeColor="text1"/>
        </w:rPr>
        <w:t xml:space="preserve"> art 14(1)).</w:t>
      </w:r>
    </w:p>
  </w:endnote>
  <w:endnote w:id="12">
    <w:p w14:paraId="0F80C1FF" w14:textId="2B253544" w:rsidR="003A3F5C" w:rsidRDefault="003A3F5C">
      <w:pPr>
        <w:pStyle w:val="EndnoteText"/>
      </w:pPr>
      <w:r>
        <w:rPr>
          <w:rStyle w:val="EndnoteReference"/>
        </w:rPr>
        <w:endnoteRef/>
      </w:r>
      <w: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2515 UNTS 3 (entered into force 3 May 2008) art 14(1).</w:t>
      </w:r>
    </w:p>
  </w:endnote>
  <w:endnote w:id="13">
    <w:p w14:paraId="6E63DA64" w14:textId="71AA9CCD" w:rsidR="003A3F5C" w:rsidRDefault="003A3F5C">
      <w:pPr>
        <w:pStyle w:val="EndnoteText"/>
      </w:pPr>
      <w:r>
        <w:rPr>
          <w:rStyle w:val="EndnoteReference"/>
        </w:rPr>
        <w:endnoteRef/>
      </w:r>
      <w: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2515 UNTS 3 (entered into force 3 May 2008) art</w:t>
      </w:r>
      <w:r w:rsidR="00DE6E9B">
        <w:rPr>
          <w:color w:val="000000" w:themeColor="text1"/>
        </w:rPr>
        <w:t>s</w:t>
      </w:r>
      <w:r>
        <w:rPr>
          <w:color w:val="000000" w:themeColor="text1"/>
        </w:rPr>
        <w:t xml:space="preserve"> 14(2), 15(2), 25, 26.</w:t>
      </w:r>
    </w:p>
  </w:endnote>
  <w:endnote w:id="14">
    <w:p w14:paraId="641178BD" w14:textId="6347A8DD" w:rsidR="003A3F5C" w:rsidRPr="0091178A" w:rsidRDefault="003A3F5C" w:rsidP="00B24B08">
      <w:pPr>
        <w:spacing w:before="0" w:after="0"/>
        <w:rPr>
          <w:sz w:val="20"/>
          <w:szCs w:val="20"/>
        </w:rPr>
      </w:pPr>
      <w:r w:rsidRPr="0091178A">
        <w:rPr>
          <w:rStyle w:val="EndnoteReference"/>
          <w:szCs w:val="20"/>
        </w:rPr>
        <w:endnoteRef/>
      </w:r>
      <w:r w:rsidRPr="0091178A">
        <w:rPr>
          <w:sz w:val="20"/>
          <w:szCs w:val="20"/>
        </w:rPr>
        <w:t xml:space="preserve"> Guidance about the relevant principles and actions that should be included in a Disability Justice Strategy is contained in Chapter 4 of Australian Human Rights Commission, </w:t>
      </w:r>
      <w:r w:rsidR="00762174">
        <w:rPr>
          <w:i/>
          <w:sz w:val="20"/>
          <w:szCs w:val="20"/>
        </w:rPr>
        <w:t>Equal b</w:t>
      </w:r>
      <w:r w:rsidRPr="0091178A">
        <w:rPr>
          <w:i/>
          <w:sz w:val="20"/>
          <w:szCs w:val="20"/>
        </w:rPr>
        <w:t>efore the Law: Towards Disability Justice Strategies</w:t>
      </w:r>
      <w:r w:rsidRPr="0091178A">
        <w:rPr>
          <w:sz w:val="20"/>
          <w:szCs w:val="20"/>
        </w:rPr>
        <w:t xml:space="preserve"> (2014).</w:t>
      </w:r>
    </w:p>
  </w:endnote>
  <w:endnote w:id="15">
    <w:p w14:paraId="441D46FC" w14:textId="071122D4" w:rsidR="003A3F5C" w:rsidRDefault="003A3F5C" w:rsidP="002829F5">
      <w:pPr>
        <w:pStyle w:val="EndnoteText"/>
      </w:pPr>
      <w:r>
        <w:rPr>
          <w:rStyle w:val="EndnoteReference"/>
        </w:rPr>
        <w:endnoteRef/>
      </w:r>
      <w:r>
        <w:t xml:space="preserve"> </w:t>
      </w:r>
      <w:r w:rsidRPr="002829F5">
        <w:t xml:space="preserve">Australian Human Rights Commission, </w:t>
      </w:r>
      <w:r w:rsidRPr="002829F5">
        <w:rPr>
          <w:i/>
        </w:rPr>
        <w:t>Preventing Crime and Promoting Rights for Indigenous Young People with Cognitive Disabilities and Mental Health Issues</w:t>
      </w:r>
      <w:r w:rsidRPr="002829F5">
        <w:t xml:space="preserve"> (2008)</w:t>
      </w:r>
      <w:r>
        <w:t xml:space="preserve"> 3.</w:t>
      </w:r>
    </w:p>
  </w:endnote>
  <w:endnote w:id="16">
    <w:p w14:paraId="04B58069" w14:textId="3B8F21EA" w:rsidR="003A3F5C" w:rsidRDefault="003A3F5C">
      <w:pPr>
        <w:pStyle w:val="EndnoteText"/>
      </w:pPr>
      <w:r>
        <w:rPr>
          <w:rStyle w:val="EndnoteReference"/>
        </w:rPr>
        <w:endnoteRef/>
      </w:r>
      <w:r>
        <w:t xml:space="preserve"> </w:t>
      </w:r>
      <w:r w:rsidRPr="002829F5">
        <w:t xml:space="preserve">Australian Human Rights Commission, </w:t>
      </w:r>
      <w:r w:rsidRPr="002829F5">
        <w:rPr>
          <w:i/>
        </w:rPr>
        <w:t>Preventing Crime and Promoting Rights for Indigenous Young People with Cognitive Disabilities and Mental Health Issues</w:t>
      </w:r>
      <w:r w:rsidRPr="002829F5">
        <w:t xml:space="preserve"> (2008) 3.</w:t>
      </w:r>
    </w:p>
  </w:endnote>
  <w:endnote w:id="17">
    <w:p w14:paraId="43E95A64" w14:textId="2957C723" w:rsidR="003A3F5C" w:rsidRDefault="003A3F5C">
      <w:pPr>
        <w:pStyle w:val="EndnoteText"/>
      </w:pPr>
      <w:r>
        <w:rPr>
          <w:rStyle w:val="EndnoteReference"/>
        </w:rPr>
        <w:endnoteRef/>
      </w:r>
      <w:r>
        <w:t xml:space="preserve"> Mindy Sotiri, Patrick McGee and Eileen Baldry, </w:t>
      </w:r>
      <w:r w:rsidRPr="00F361C6">
        <w:rPr>
          <w:i/>
        </w:rPr>
        <w:t>No End in Sight: The Imprisonment, and indefinite detention of Indigenous Australians with A Cognitive Impairment</w:t>
      </w:r>
      <w:r>
        <w:t xml:space="preserve"> (University of New South Wales, 2012) 27.</w:t>
      </w:r>
    </w:p>
  </w:endnote>
  <w:endnote w:id="18">
    <w:p w14:paraId="173DEDD5" w14:textId="3316E0D5" w:rsidR="003A3F5C" w:rsidRDefault="003A3F5C" w:rsidP="00DF3D7B">
      <w:pPr>
        <w:pStyle w:val="EndnoteText"/>
      </w:pPr>
      <w:r>
        <w:rPr>
          <w:rStyle w:val="EndnoteReference"/>
        </w:rPr>
        <w:endnoteRef/>
      </w:r>
      <w:r>
        <w:t xml:space="preserve"> See for example Eileen Baldry, Leanne Dowse, Melissa Clarence, </w:t>
      </w:r>
      <w:r w:rsidRPr="00DF3D7B">
        <w:rPr>
          <w:i/>
        </w:rPr>
        <w:t>People with mental and cognitive disabilities: pathways into prison</w:t>
      </w:r>
      <w:r>
        <w:t xml:space="preserve">, Background Paper for the National Legal Aid Conference Darwin (2011) 5; New South Wales Law Reform Commission, </w:t>
      </w:r>
      <w:r w:rsidRPr="00F728E6">
        <w:rPr>
          <w:i/>
        </w:rPr>
        <w:t>People with cognitive and mental health impairments in the criminal justice system: Criminal responsibility and consequences</w:t>
      </w:r>
      <w:r>
        <w:t>, Report No 138 (2013) 8.</w:t>
      </w:r>
    </w:p>
  </w:endnote>
  <w:endnote w:id="19">
    <w:p w14:paraId="013FF457" w14:textId="09D0BB30" w:rsidR="003A3F5C" w:rsidRDefault="003A3F5C" w:rsidP="00657CC5">
      <w:pPr>
        <w:pStyle w:val="EndnoteText"/>
      </w:pPr>
      <w:r>
        <w:rPr>
          <w:rStyle w:val="EndnoteReference"/>
        </w:rPr>
        <w:endnoteRef/>
      </w:r>
      <w:r>
        <w:t xml:space="preserve"> See for example New South Wales Law Reform Commission, </w:t>
      </w:r>
      <w:r w:rsidRPr="00602F18">
        <w:rPr>
          <w:i/>
        </w:rPr>
        <w:t>People with</w:t>
      </w:r>
      <w:r>
        <w:t xml:space="preserve"> </w:t>
      </w:r>
      <w:r w:rsidRPr="00F728E6">
        <w:rPr>
          <w:i/>
        </w:rPr>
        <w:t>cognitive and mental health impairments in the criminal justice system:</w:t>
      </w:r>
      <w:r>
        <w:t xml:space="preserve"> </w:t>
      </w:r>
      <w:r w:rsidRPr="00AB48A7">
        <w:rPr>
          <w:i/>
        </w:rPr>
        <w:t>Diversion</w:t>
      </w:r>
      <w:r>
        <w:t xml:space="preserve">, Report No 135 (2012) ch 4; </w:t>
      </w:r>
      <w:r w:rsidRPr="00B51448">
        <w:t xml:space="preserve">Mick Gooda, Aboriginal and Torres Strait Islander Social Justice Commissioner, </w:t>
      </w:r>
      <w:r w:rsidRPr="00F15002">
        <w:rPr>
          <w:i/>
        </w:rPr>
        <w:t>Social Justice Report 2012</w:t>
      </w:r>
      <w:r w:rsidRPr="00B51448">
        <w:t xml:space="preserve"> (Australian Human Rights Commission, 2012) 62 (and the sources cited in footnote 179 therein);</w:t>
      </w:r>
      <w:r>
        <w:t xml:space="preserve"> Australian Human Rights Commission, </w:t>
      </w:r>
      <w:r w:rsidR="008A7204">
        <w:rPr>
          <w:i/>
        </w:rPr>
        <w:t>Equal b</w:t>
      </w:r>
      <w:r w:rsidRPr="007F33EC">
        <w:rPr>
          <w:i/>
        </w:rPr>
        <w:t>efore the Law: Towards Disability Justice Strategies</w:t>
      </w:r>
      <w:r>
        <w:t xml:space="preserve"> (2014) 12; Victorian Law Reform Commission, </w:t>
      </w:r>
      <w:r w:rsidRPr="00AB5F71">
        <w:rPr>
          <w:i/>
        </w:rPr>
        <w:t>Review of the</w:t>
      </w:r>
      <w:r>
        <w:t xml:space="preserve"> Crimes (Mental Impairment and Unfitness to be Tried) Act 1997, Report No 28 (2014) 15.</w:t>
      </w:r>
    </w:p>
  </w:endnote>
  <w:endnote w:id="20">
    <w:p w14:paraId="43BEA56F" w14:textId="77777777" w:rsidR="003A3F5C" w:rsidRDefault="003A3F5C" w:rsidP="00102204">
      <w:pPr>
        <w:pStyle w:val="EndnoteText"/>
      </w:pPr>
      <w:r>
        <w:rPr>
          <w:rStyle w:val="EndnoteReference"/>
        </w:rPr>
        <w:endnoteRef/>
      </w:r>
      <w:r>
        <w:t xml:space="preserve"> New South Wales Law Reform Commission, </w:t>
      </w:r>
      <w:r w:rsidRPr="00602F18">
        <w:rPr>
          <w:i/>
        </w:rPr>
        <w:t>People with</w:t>
      </w:r>
      <w:r>
        <w:t xml:space="preserve"> </w:t>
      </w:r>
      <w:r w:rsidRPr="00F728E6">
        <w:rPr>
          <w:i/>
        </w:rPr>
        <w:t>cognitive and mental health impairments in the criminal justice system:</w:t>
      </w:r>
      <w:r>
        <w:t xml:space="preserve"> </w:t>
      </w:r>
      <w:r w:rsidRPr="008A7204">
        <w:rPr>
          <w:i/>
        </w:rPr>
        <w:t>Diversion</w:t>
      </w:r>
      <w:r>
        <w:t>, Report No 135 (2012) xv.</w:t>
      </w:r>
    </w:p>
  </w:endnote>
  <w:endnote w:id="21">
    <w:p w14:paraId="71100DFB" w14:textId="268DFABA" w:rsidR="003A3F5C" w:rsidRDefault="003A3F5C">
      <w:pPr>
        <w:pStyle w:val="EndnoteText"/>
      </w:pPr>
      <w:r>
        <w:rPr>
          <w:rStyle w:val="EndnoteReference"/>
        </w:rPr>
        <w:endnoteRef/>
      </w:r>
      <w:r>
        <w:t xml:space="preserve"> New South Wales Law Reform Commission, </w:t>
      </w:r>
      <w:r w:rsidRPr="00602F18">
        <w:rPr>
          <w:i/>
        </w:rPr>
        <w:t>People with</w:t>
      </w:r>
      <w:r>
        <w:t xml:space="preserve"> </w:t>
      </w:r>
      <w:r w:rsidRPr="00F728E6">
        <w:rPr>
          <w:i/>
        </w:rPr>
        <w:t>cognitive and mental health impairments in the criminal justice system:</w:t>
      </w:r>
      <w:r>
        <w:t xml:space="preserve"> </w:t>
      </w:r>
      <w:r w:rsidRPr="008A7204">
        <w:rPr>
          <w:i/>
        </w:rPr>
        <w:t>Diversion</w:t>
      </w:r>
      <w:r>
        <w:t>, Report No 135 (2012) xv.</w:t>
      </w:r>
    </w:p>
  </w:endnote>
  <w:endnote w:id="22">
    <w:p w14:paraId="4BCA81FC" w14:textId="77777777" w:rsidR="003A3F5C" w:rsidRDefault="003A3F5C" w:rsidP="00C22E99">
      <w:pPr>
        <w:pStyle w:val="EndnoteText"/>
      </w:pPr>
      <w:r>
        <w:rPr>
          <w:rStyle w:val="EndnoteReference"/>
        </w:rPr>
        <w:endnoteRef/>
      </w:r>
      <w:r>
        <w:t xml:space="preserve"> </w:t>
      </w:r>
      <w:r w:rsidRPr="009E36A1">
        <w:rPr>
          <w:rFonts w:ascii="ArialMT" w:hAnsi="ArialMT" w:cs="ArialMT"/>
        </w:rPr>
        <w:t xml:space="preserve">Law Reform Committee, Parliament of Victoria, </w:t>
      </w:r>
      <w:r w:rsidRPr="009E36A1">
        <w:rPr>
          <w:rFonts w:ascii="ArialMT" w:hAnsi="ArialMT" w:cs="ArialMT"/>
          <w:i/>
        </w:rPr>
        <w:t xml:space="preserve">Inquiry into Access to and Interaction with the Justice System by People with an Intellectual Disability and their Families and Carers </w:t>
      </w:r>
      <w:r w:rsidRPr="009E36A1">
        <w:rPr>
          <w:rFonts w:ascii="ArialMT" w:hAnsi="ArialMT" w:cs="ArialMT"/>
        </w:rPr>
        <w:t>(2013) 9</w:t>
      </w:r>
      <w:r>
        <w:rPr>
          <w:rFonts w:ascii="ArialMT" w:hAnsi="ArialMT" w:cs="ArialMT"/>
        </w:rPr>
        <w:t>.</w:t>
      </w:r>
    </w:p>
  </w:endnote>
  <w:endnote w:id="23">
    <w:p w14:paraId="518FEEB8" w14:textId="32CB39EA" w:rsidR="003A3F5C" w:rsidRDefault="003A3F5C" w:rsidP="001422C3">
      <w:pPr>
        <w:pStyle w:val="EndnoteText"/>
      </w:pPr>
      <w:r>
        <w:rPr>
          <w:rStyle w:val="EndnoteReference"/>
        </w:rPr>
        <w:endnoteRef/>
      </w:r>
      <w:r>
        <w:t xml:space="preserve"> Australian Human Rights Commission, </w:t>
      </w:r>
      <w:r w:rsidR="008A7204">
        <w:rPr>
          <w:i/>
        </w:rPr>
        <w:t>Equal b</w:t>
      </w:r>
      <w:r w:rsidRPr="007F33EC">
        <w:rPr>
          <w:i/>
        </w:rPr>
        <w:t>efore the Law: Towards Disability Justice Strategies</w:t>
      </w:r>
      <w:r>
        <w:t xml:space="preserve"> (2014) 12.</w:t>
      </w:r>
    </w:p>
  </w:endnote>
  <w:endnote w:id="24">
    <w:p w14:paraId="5C66C33B" w14:textId="7B5A4976" w:rsidR="003A3F5C" w:rsidRPr="002125D5" w:rsidRDefault="003A3F5C" w:rsidP="002125D5">
      <w:pPr>
        <w:pStyle w:val="EndnoteText"/>
        <w:rPr>
          <w:rFonts w:ascii="ArialMT" w:hAnsi="ArialMT" w:cs="ArialMT"/>
          <w:i/>
          <w:sz w:val="24"/>
          <w:szCs w:val="24"/>
        </w:rPr>
      </w:pPr>
      <w:r>
        <w:rPr>
          <w:rStyle w:val="EndnoteReference"/>
        </w:rPr>
        <w:endnoteRef/>
      </w:r>
      <w:r>
        <w:t xml:space="preserve"> </w:t>
      </w:r>
      <w:r w:rsidRPr="009E36A1">
        <w:rPr>
          <w:rFonts w:ascii="ArialMT" w:hAnsi="ArialMT" w:cs="ArialMT"/>
        </w:rPr>
        <w:t xml:space="preserve">Law Reform Committee, Parliament of Victoria, </w:t>
      </w:r>
      <w:r w:rsidRPr="009E36A1">
        <w:rPr>
          <w:rFonts w:ascii="ArialMT" w:hAnsi="ArialMT" w:cs="ArialMT"/>
          <w:i/>
        </w:rPr>
        <w:t xml:space="preserve">Inquiry into Access to and Interaction with the Justice System by People with an Intellectual Disability and their Families and Carers </w:t>
      </w:r>
      <w:r>
        <w:rPr>
          <w:rFonts w:ascii="ArialMT" w:hAnsi="ArialMT" w:cs="ArialMT"/>
        </w:rPr>
        <w:t xml:space="preserve">(2013) </w:t>
      </w:r>
      <w:r w:rsidRPr="009E36A1">
        <w:rPr>
          <w:rFonts w:ascii="ArialMT" w:hAnsi="ArialMT" w:cs="ArialMT"/>
        </w:rPr>
        <w:t>11.</w:t>
      </w:r>
    </w:p>
  </w:endnote>
  <w:endnote w:id="25">
    <w:p w14:paraId="787DA542" w14:textId="32BFDACB" w:rsidR="003A3F5C" w:rsidRDefault="003A3F5C" w:rsidP="00B12B6A">
      <w:pPr>
        <w:pStyle w:val="EndnoteText"/>
      </w:pPr>
      <w:r>
        <w:rPr>
          <w:rStyle w:val="EndnoteReference"/>
        </w:rPr>
        <w:endnoteRef/>
      </w:r>
      <w:r>
        <w:t xml:space="preserve"> </w:t>
      </w:r>
      <w:r w:rsidRPr="001A157F">
        <w:t xml:space="preserve">Council of Australian Governments, </w:t>
      </w:r>
      <w:r w:rsidRPr="001A157F">
        <w:rPr>
          <w:i/>
        </w:rPr>
        <w:t>National Disability Strategy 2010-2020</w:t>
      </w:r>
      <w:r w:rsidRPr="001A157F">
        <w:t xml:space="preserve"> (2011) 25.</w:t>
      </w:r>
    </w:p>
  </w:endnote>
  <w:endnote w:id="26">
    <w:p w14:paraId="759B17D4" w14:textId="77777777" w:rsidR="003A3F5C" w:rsidRDefault="003A3F5C" w:rsidP="00BF6933">
      <w:pPr>
        <w:pStyle w:val="EndnoteText"/>
      </w:pPr>
      <w:r>
        <w:rPr>
          <w:rStyle w:val="EndnoteReference"/>
        </w:rPr>
        <w:endnoteRef/>
      </w:r>
      <w:r>
        <w:t xml:space="preserve"> Mick Gooda, Aboriginal and Torres Strait Islander Social Justice Commissioner, </w:t>
      </w:r>
      <w:r w:rsidRPr="005D5C81">
        <w:rPr>
          <w:i/>
        </w:rPr>
        <w:t>Social Justice and Native Title Report 2015</w:t>
      </w:r>
      <w:r>
        <w:t xml:space="preserve"> (Australian Human Rights Commission, 2015) 104, 110.</w:t>
      </w:r>
    </w:p>
  </w:endnote>
  <w:endnote w:id="27">
    <w:p w14:paraId="65486887" w14:textId="037BB8C2" w:rsidR="003A3F5C" w:rsidRDefault="003A3F5C" w:rsidP="00A867A1">
      <w:pPr>
        <w:pStyle w:val="EndnoteText"/>
      </w:pPr>
      <w:r>
        <w:rPr>
          <w:rStyle w:val="EndnoteReference"/>
        </w:rPr>
        <w:endnoteRef/>
      </w:r>
      <w:r>
        <w:t xml:space="preserve"> Australian Human Rights Commission, </w:t>
      </w:r>
      <w:r w:rsidRPr="00A867A1">
        <w:rPr>
          <w:i/>
        </w:rPr>
        <w:t>Preventing Crime and Promoting Rights for Indigenous Young People with Cognitive Disabilities and Mental Health Issues</w:t>
      </w:r>
      <w:r>
        <w:t xml:space="preserve"> (2008) 4.</w:t>
      </w:r>
    </w:p>
  </w:endnote>
  <w:endnote w:id="28">
    <w:p w14:paraId="1B0AE7EC" w14:textId="0FE253F0" w:rsidR="003A3F5C" w:rsidRDefault="003A3F5C">
      <w:pPr>
        <w:pStyle w:val="EndnoteText"/>
      </w:pPr>
      <w:r>
        <w:rPr>
          <w:rStyle w:val="EndnoteReference"/>
        </w:rPr>
        <w:endnoteRef/>
      </w:r>
      <w:r>
        <w:t xml:space="preserve"> Mick Gooda, Aboriginal and Torres Strait Islander Social Justice Commissioner, </w:t>
      </w:r>
      <w:r w:rsidRPr="005D5C81">
        <w:rPr>
          <w:i/>
        </w:rPr>
        <w:t>Social Justice and Native Title Report 2015</w:t>
      </w:r>
      <w:r>
        <w:t xml:space="preserve"> (Australian Human Rights Commission, 2015) 109-111. </w:t>
      </w:r>
    </w:p>
  </w:endnote>
  <w:endnote w:id="29">
    <w:p w14:paraId="36D5A59D" w14:textId="78C7CFBB" w:rsidR="003A3F5C" w:rsidRDefault="003A3F5C">
      <w:pPr>
        <w:pStyle w:val="EndnoteText"/>
      </w:pPr>
      <w:r>
        <w:rPr>
          <w:rStyle w:val="EndnoteReference"/>
        </w:rPr>
        <w:endnoteRef/>
      </w:r>
      <w:r>
        <w:t xml:space="preserve"> </w:t>
      </w:r>
      <w:r w:rsidRPr="007856DA">
        <w:t xml:space="preserve">Mindy Sotiri, Patrick McGee and Eileen Baldry, </w:t>
      </w:r>
      <w:r w:rsidRPr="00806517">
        <w:rPr>
          <w:i/>
        </w:rPr>
        <w:t>No End in Sight: The Imprisonment, and indefinite detention of Indigenous Australians with A Cognitive Impairment</w:t>
      </w:r>
      <w:r w:rsidRPr="007856DA">
        <w:t xml:space="preserve"> (University of New South Wales, 2012)</w:t>
      </w:r>
      <w:r>
        <w:t xml:space="preserve"> 68.</w:t>
      </w:r>
    </w:p>
  </w:endnote>
  <w:endnote w:id="30">
    <w:p w14:paraId="5F6D243C" w14:textId="77777777" w:rsidR="003A3F5C" w:rsidRPr="009C3D77" w:rsidRDefault="003A3F5C" w:rsidP="006A1C21">
      <w:pPr>
        <w:pStyle w:val="EndnoteText"/>
        <w:rPr>
          <w:rFonts w:cs="Arial"/>
        </w:rPr>
      </w:pPr>
      <w:r>
        <w:rPr>
          <w:rStyle w:val="EndnoteReference"/>
        </w:rPr>
        <w:endnoteRef/>
      </w:r>
      <w:r>
        <w:t xml:space="preserve"> Tom Calma, Aboriginal and Torres Strait Islander Social Justice Commissioner, </w:t>
      </w:r>
      <w:r w:rsidRPr="00580EA3">
        <w:rPr>
          <w:i/>
        </w:rPr>
        <w:t>Indigenous young people with cognitive disabilities &amp; Australian juvenile justice systems</w:t>
      </w:r>
      <w:r>
        <w:t xml:space="preserve"> (Human Rights and Equal </w:t>
      </w:r>
      <w:r w:rsidRPr="009C3D77">
        <w:rPr>
          <w:rFonts w:cs="Arial"/>
        </w:rPr>
        <w:t xml:space="preserve">Opportunity Commission, 2005) 12 (quoting Simpson and Sotiri). See also Mindy Sotiri, Patrick McGee and Eileen Baldry, </w:t>
      </w:r>
      <w:r w:rsidRPr="00266EEC">
        <w:rPr>
          <w:rFonts w:cs="Arial"/>
          <w:i/>
        </w:rPr>
        <w:t>No End in Sight: The Imprisonment, and indefinite detention of Indigenous Australians with A Cognitive Impairment</w:t>
      </w:r>
      <w:r w:rsidRPr="009C3D77">
        <w:rPr>
          <w:rFonts w:cs="Arial"/>
        </w:rPr>
        <w:t xml:space="preserve"> (University of New South Wales, 2012) 19.</w:t>
      </w:r>
    </w:p>
  </w:endnote>
  <w:endnote w:id="31">
    <w:p w14:paraId="32D84FB2" w14:textId="1327A7A1" w:rsidR="003A3F5C" w:rsidRDefault="003A3F5C">
      <w:pPr>
        <w:pStyle w:val="EndnoteText"/>
      </w:pPr>
      <w:r>
        <w:rPr>
          <w:rStyle w:val="EndnoteReference"/>
        </w:rPr>
        <w:endnoteRef/>
      </w:r>
      <w:r>
        <w:t xml:space="preserve"> Available at </w:t>
      </w:r>
      <w:hyperlink r:id="rId5" w:history="1">
        <w:r w:rsidRPr="00EB1FC5">
          <w:rPr>
            <w:rStyle w:val="Hyperlink"/>
          </w:rPr>
          <w:t>https://www.humanrights.gov.au/our-work/aboriginal-and-torres-strait-islander-social-justice/publications/preventing-crime-and</w:t>
        </w:r>
      </w:hyperlink>
      <w:r>
        <w:t xml:space="preserve">. </w:t>
      </w:r>
    </w:p>
  </w:endnote>
  <w:endnote w:id="32">
    <w:p w14:paraId="3B3B6335" w14:textId="46FE6DFE" w:rsidR="003A3F5C" w:rsidRDefault="003A3F5C">
      <w:pPr>
        <w:pStyle w:val="EndnoteText"/>
      </w:pPr>
      <w:r>
        <w:rPr>
          <w:rStyle w:val="EndnoteReference"/>
        </w:rPr>
        <w:endnoteRef/>
      </w:r>
      <w:r>
        <w:t xml:space="preserve"> According to recent estimates </w:t>
      </w:r>
      <w:r>
        <w:rPr>
          <w:rFonts w:cs="Arial"/>
        </w:rPr>
        <w:t xml:space="preserve">Aboriginal and Torres Strait Islander people are 13 times more likely to be imprisoned than non-Indigenous people: Change the Record Coalition, </w:t>
      </w:r>
      <w:r w:rsidRPr="00BB3B6C">
        <w:rPr>
          <w:rFonts w:cs="Arial"/>
          <w:i/>
        </w:rPr>
        <w:t>Blueprint for Change</w:t>
      </w:r>
      <w:r>
        <w:rPr>
          <w:rFonts w:cs="Arial"/>
        </w:rPr>
        <w:t xml:space="preserve"> (2015) 4.  </w:t>
      </w:r>
    </w:p>
  </w:endnote>
  <w:endnote w:id="33">
    <w:p w14:paraId="609F5805" w14:textId="33B2329F" w:rsidR="003A3F5C" w:rsidRDefault="003A3F5C">
      <w:pPr>
        <w:pStyle w:val="EndnoteText"/>
      </w:pPr>
      <w:r>
        <w:rPr>
          <w:rStyle w:val="EndnoteReference"/>
        </w:rPr>
        <w:endnoteRef/>
      </w:r>
      <w:r>
        <w:t xml:space="preserve"> See for example Dr William Jonas AM, Aboriginal and Torres Strait Islander Social Justice Commissioner, ‘Evolving law and order policy – A rights perspective’ (Speech delivered at The Royal Commission into Aboriginal Deaths in Custody: Unfinished Business, ATSIC Forum, 2 November 2001). At </w:t>
      </w:r>
      <w:r w:rsidRPr="008C7426">
        <w:t>https://www.humanrights.gov.au/news/speeches/evolving-law-and-order-policy-rights-perspective</w:t>
      </w:r>
      <w:r>
        <w:t xml:space="preserve"> (viewed 4 March 2016). </w:t>
      </w:r>
    </w:p>
  </w:endnote>
  <w:endnote w:id="34">
    <w:p w14:paraId="0FF0020A" w14:textId="699A2C74" w:rsidR="003A3F5C" w:rsidRPr="009C3D77" w:rsidRDefault="003A3F5C" w:rsidP="00E72DDA">
      <w:pPr>
        <w:pStyle w:val="EndnoteText"/>
        <w:spacing w:before="60"/>
        <w:rPr>
          <w:rFonts w:cs="Arial"/>
        </w:rPr>
      </w:pPr>
      <w:r w:rsidRPr="009C3D77">
        <w:rPr>
          <w:rStyle w:val="EndnoteReference"/>
          <w:rFonts w:cs="Arial"/>
        </w:rPr>
        <w:endnoteRef/>
      </w:r>
      <w:r w:rsidRPr="009C3D77">
        <w:rPr>
          <w:rFonts w:cs="Arial"/>
        </w:rPr>
        <w:t xml:space="preserve"> </w:t>
      </w:r>
      <w:r w:rsidRPr="009C3D77">
        <w:rPr>
          <w:rFonts w:cs="Arial"/>
          <w:i/>
        </w:rPr>
        <w:t>Disability Rights Now: Civil Society Report to the United Nations Committee on the Rights of Persons with Disabilities</w:t>
      </w:r>
      <w:r w:rsidRPr="009C3D77">
        <w:rPr>
          <w:rFonts w:cs="Arial"/>
        </w:rPr>
        <w:t xml:space="preserve"> (2012) 80.</w:t>
      </w:r>
      <w:r>
        <w:rPr>
          <w:rFonts w:cs="Arial"/>
        </w:rPr>
        <w:t xml:space="preserve"> </w:t>
      </w:r>
    </w:p>
  </w:endnote>
  <w:endnote w:id="35">
    <w:p w14:paraId="11802431" w14:textId="589026E4" w:rsidR="003A3F5C" w:rsidRDefault="003A3F5C">
      <w:pPr>
        <w:pStyle w:val="EndnoteText"/>
      </w:pPr>
      <w:r>
        <w:rPr>
          <w:rStyle w:val="EndnoteReference"/>
        </w:rPr>
        <w:endnoteRef/>
      </w:r>
      <w:r>
        <w:t xml:space="preserve"> </w:t>
      </w:r>
      <w:r w:rsidRPr="007856DA">
        <w:t xml:space="preserve">Mindy Sotiri, Patrick McGee and Eileen Baldry, </w:t>
      </w:r>
      <w:r w:rsidRPr="00CE022D">
        <w:rPr>
          <w:i/>
        </w:rPr>
        <w:t>No End in Sight: The Imprisonment, and indefinite detention of Indigenous Australians with A Cognitive Impairment</w:t>
      </w:r>
      <w:r w:rsidRPr="007856DA">
        <w:t xml:space="preserve"> (University of New South Wales, 2012)</w:t>
      </w:r>
      <w:r>
        <w:t xml:space="preserve"> 23.</w:t>
      </w:r>
    </w:p>
  </w:endnote>
  <w:endnote w:id="36">
    <w:p w14:paraId="45C79B5B" w14:textId="48E089B9" w:rsidR="003A3F5C" w:rsidRDefault="003A3F5C">
      <w:pPr>
        <w:pStyle w:val="EndnoteText"/>
      </w:pPr>
      <w:r>
        <w:rPr>
          <w:rStyle w:val="EndnoteReference"/>
        </w:rPr>
        <w:endnoteRef/>
      </w:r>
      <w:r>
        <w:t xml:space="preserve"> </w:t>
      </w:r>
      <w:r w:rsidRPr="007856DA">
        <w:t xml:space="preserve">Mindy Sotiri, Patrick McGee and Eileen Baldry, </w:t>
      </w:r>
      <w:r w:rsidRPr="00CE022D">
        <w:rPr>
          <w:i/>
        </w:rPr>
        <w:t>No End in Sight: The Imprisonment, and indefinite detention of Indigenous Australians with A Cognitive Impairment</w:t>
      </w:r>
      <w:r w:rsidRPr="007856DA">
        <w:t xml:space="preserve"> (University of New South Wales, 2012</w:t>
      </w:r>
      <w:r>
        <w:t xml:space="preserve">) 23-4. The ADJC also noted that </w:t>
      </w:r>
      <w:r w:rsidRPr="00FA592C">
        <w:rPr>
          <w:rFonts w:eastAsia="Times New Roman" w:cs="Arial"/>
        </w:rPr>
        <w:t>there were over 100 people with cognitiv</w:t>
      </w:r>
      <w:r>
        <w:rPr>
          <w:rFonts w:eastAsia="Times New Roman" w:cs="Arial"/>
        </w:rPr>
        <w:t>e impairment</w:t>
      </w:r>
      <w:r w:rsidRPr="00FA592C">
        <w:rPr>
          <w:rFonts w:eastAsia="Times New Roman" w:cs="Arial"/>
        </w:rPr>
        <w:t xml:space="preserve"> detained indefinitely in psychiatric hospitals</w:t>
      </w:r>
      <w:r>
        <w:rPr>
          <w:rFonts w:eastAsia="Times New Roman" w:cs="Arial"/>
        </w:rPr>
        <w:t xml:space="preserve"> in Queensland, but </w:t>
      </w:r>
      <w:r w:rsidRPr="00FA592C">
        <w:rPr>
          <w:rFonts w:eastAsia="Times New Roman" w:cs="Arial"/>
        </w:rPr>
        <w:t>t</w:t>
      </w:r>
      <w:r>
        <w:rPr>
          <w:rFonts w:eastAsia="Times New Roman" w:cs="Arial"/>
        </w:rPr>
        <w:t xml:space="preserve">here was no data available about the number of Aboriginal or Torres Strait Islander people in that group. </w:t>
      </w:r>
    </w:p>
  </w:endnote>
  <w:endnote w:id="37">
    <w:p w14:paraId="38917131" w14:textId="77777777" w:rsidR="003A3F5C" w:rsidRDefault="003A3F5C" w:rsidP="001702D6">
      <w:pPr>
        <w:pStyle w:val="EndnoteText"/>
      </w:pPr>
      <w:r>
        <w:rPr>
          <w:rStyle w:val="EndnoteReference"/>
        </w:rPr>
        <w:endnoteRef/>
      </w:r>
      <w:r>
        <w:t xml:space="preserve"> </w:t>
      </w:r>
      <w:r>
        <w:rPr>
          <w:i/>
          <w:color w:val="000000" w:themeColor="text1"/>
        </w:rPr>
        <w:t xml:space="preserve">Convention on the Rights of Persons with Disabilities, </w:t>
      </w:r>
      <w:r>
        <w:rPr>
          <w:color w:val="000000" w:themeColor="text1"/>
        </w:rPr>
        <w:t xml:space="preserve">opened for signature </w:t>
      </w:r>
      <w:r w:rsidRPr="005065DD">
        <w:rPr>
          <w:color w:val="000000" w:themeColor="text1"/>
        </w:rPr>
        <w:t>13 December 2006</w:t>
      </w:r>
      <w:r>
        <w:rPr>
          <w:color w:val="000000" w:themeColor="text1"/>
        </w:rPr>
        <w:t>, 2515 UNTS 3 (entered into force 3 May 2008).</w:t>
      </w:r>
    </w:p>
  </w:endnote>
  <w:endnote w:id="38">
    <w:p w14:paraId="5FF395F5" w14:textId="54A82F61" w:rsidR="003A3F5C" w:rsidRDefault="003A3F5C" w:rsidP="009C3D77">
      <w:pPr>
        <w:pStyle w:val="EndnoteText"/>
        <w:ind w:left="284" w:hanging="284"/>
        <w:rPr>
          <w:color w:val="000000" w:themeColor="text1"/>
        </w:rPr>
      </w:pPr>
      <w:r>
        <w:rPr>
          <w:rStyle w:val="EndnoteReference"/>
          <w:color w:val="000000" w:themeColor="text1"/>
        </w:rPr>
        <w:endnoteRef/>
      </w:r>
      <w:r>
        <w:rPr>
          <w:color w:val="000000" w:themeColor="text1"/>
        </w:rP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xml:space="preserve">, 2515 UNTS 3 (entered into force 3 May 2008) arts 4(1) and 5(1) and (2). </w:t>
      </w:r>
    </w:p>
  </w:endnote>
  <w:endnote w:id="39">
    <w:p w14:paraId="1ECCCDF2" w14:textId="2971568D" w:rsidR="003A3F5C" w:rsidRDefault="003A3F5C" w:rsidP="009C3D77">
      <w:pPr>
        <w:pStyle w:val="EndnoteText"/>
        <w:ind w:left="284" w:hanging="284"/>
        <w:rPr>
          <w:color w:val="000000" w:themeColor="text1"/>
        </w:rPr>
      </w:pPr>
      <w:r>
        <w:rPr>
          <w:rStyle w:val="EndnoteReference"/>
          <w:color w:val="000000" w:themeColor="text1"/>
        </w:rPr>
        <w:endnoteRef/>
      </w:r>
      <w:r>
        <w:rPr>
          <w:color w:val="000000" w:themeColor="text1"/>
        </w:rPr>
        <w:t xml:space="preserve"> </w:t>
      </w:r>
      <w:r>
        <w:rPr>
          <w:i/>
          <w:color w:val="000000" w:themeColor="text1"/>
        </w:rPr>
        <w:t>Convention on the Rights of Persons with Disabilities</w:t>
      </w:r>
      <w:r>
        <w:rPr>
          <w:color w:val="000000" w:themeColor="text1"/>
        </w:rPr>
        <w:t xml:space="preserve">, </w:t>
      </w:r>
      <w:r w:rsidRPr="001F52C6">
        <w:rPr>
          <w:color w:val="000000" w:themeColor="text1"/>
        </w:rPr>
        <w:t>opened for signature 13 December 2006, 2515 UNTS 3 (entered into force 3 May 2008)</w:t>
      </w:r>
      <w:r>
        <w:rPr>
          <w:color w:val="000000" w:themeColor="text1"/>
        </w:rPr>
        <w:t xml:space="preserve"> art 1.</w:t>
      </w:r>
    </w:p>
  </w:endnote>
  <w:endnote w:id="40">
    <w:p w14:paraId="6B53F21A" w14:textId="439D452E" w:rsidR="003A3F5C" w:rsidRDefault="003A3F5C" w:rsidP="009C3D77">
      <w:pPr>
        <w:pStyle w:val="EndnoteText"/>
      </w:pPr>
      <w:r>
        <w:rPr>
          <w:rStyle w:val="EndnoteReference"/>
        </w:rPr>
        <w:endnoteRef/>
      </w:r>
      <w: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2515 UNTS 3 (entered into force 3 May 2008) art 5(1).</w:t>
      </w:r>
    </w:p>
  </w:endnote>
  <w:endnote w:id="41">
    <w:p w14:paraId="721F0203" w14:textId="0D1F03B3" w:rsidR="003A3F5C" w:rsidRDefault="003A3F5C" w:rsidP="009C3D77">
      <w:pPr>
        <w:pStyle w:val="EndnoteText"/>
      </w:pPr>
      <w:r>
        <w:rPr>
          <w:rStyle w:val="EndnoteReference"/>
        </w:rPr>
        <w:endnoteRef/>
      </w:r>
      <w: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2515 UNTS 3 (entered into force 3 May 2008) art 12(2) and (3).</w:t>
      </w:r>
    </w:p>
  </w:endnote>
  <w:endnote w:id="42">
    <w:p w14:paraId="1E422CBE" w14:textId="6BEB25F7" w:rsidR="003A3F5C" w:rsidRDefault="003A3F5C" w:rsidP="009C3D77">
      <w:pPr>
        <w:pStyle w:val="EndnoteText"/>
      </w:pPr>
      <w:r>
        <w:rPr>
          <w:rStyle w:val="EndnoteReference"/>
        </w:rPr>
        <w:endnoteRef/>
      </w:r>
      <w: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xml:space="preserve">, 2515 UNTS 3 (entered into force 3 May 2008) art 13(1); </w:t>
      </w:r>
      <w:r>
        <w:rPr>
          <w:i/>
          <w:color w:val="000000" w:themeColor="text1"/>
        </w:rPr>
        <w:t xml:space="preserve">International Covenant on Civil and Political Rights, </w:t>
      </w:r>
      <w:r w:rsidRPr="006B2415">
        <w:rPr>
          <w:color w:val="000000" w:themeColor="text1"/>
        </w:rPr>
        <w:t>opened for signature 16 December 1966, 999 UNTS 171 (entered into force 23 March 1976)</w:t>
      </w:r>
      <w:r>
        <w:rPr>
          <w:color w:val="000000" w:themeColor="text1"/>
        </w:rPr>
        <w:t xml:space="preserve"> art 14(1); </w:t>
      </w:r>
      <w:r w:rsidRPr="00C16028">
        <w:rPr>
          <w:i/>
          <w:color w:val="000000" w:themeColor="text1"/>
        </w:rPr>
        <w:t xml:space="preserve">Convention on the Rights of the Child, </w:t>
      </w:r>
      <w:r w:rsidRPr="00C16028">
        <w:rPr>
          <w:color w:val="000000" w:themeColor="text1"/>
        </w:rPr>
        <w:t>opened for signature</w:t>
      </w:r>
      <w:r>
        <w:rPr>
          <w:color w:val="000000" w:themeColor="text1"/>
        </w:rPr>
        <w:t xml:space="preserve"> 20 November 1989, 1577 UNTS 3 (</w:t>
      </w:r>
      <w:r w:rsidRPr="00C16028">
        <w:rPr>
          <w:color w:val="000000" w:themeColor="text1"/>
        </w:rPr>
        <w:t>entered into force 2 September 1990)</w:t>
      </w:r>
      <w:r>
        <w:rPr>
          <w:i/>
          <w:color w:val="000000" w:themeColor="text1"/>
        </w:rPr>
        <w:t xml:space="preserve"> </w:t>
      </w:r>
      <w:r>
        <w:rPr>
          <w:color w:val="000000" w:themeColor="text1"/>
        </w:rPr>
        <w:t>art 40.</w:t>
      </w:r>
    </w:p>
  </w:endnote>
  <w:endnote w:id="43">
    <w:p w14:paraId="223515EB" w14:textId="4E4E75C3" w:rsidR="003A3F5C" w:rsidRDefault="003A3F5C" w:rsidP="009C3D77">
      <w:pPr>
        <w:pStyle w:val="EndnoteText"/>
      </w:pPr>
      <w:r>
        <w:rPr>
          <w:rStyle w:val="EndnoteReference"/>
        </w:rPr>
        <w:endnoteRef/>
      </w:r>
      <w: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xml:space="preserve">, 2515 UNTS 3 (entered into force 3 May 2008) art 14(1); </w:t>
      </w:r>
      <w:r>
        <w:rPr>
          <w:i/>
          <w:color w:val="000000" w:themeColor="text1"/>
        </w:rPr>
        <w:t xml:space="preserve">International Covenant on Civil and Political Rights, </w:t>
      </w:r>
      <w:r w:rsidRPr="006B2415">
        <w:rPr>
          <w:color w:val="000000" w:themeColor="text1"/>
        </w:rPr>
        <w:t>opened for signature 16 December 1966, 999 UNTS 171 (entered into force 23 March 1976)</w:t>
      </w:r>
      <w:r>
        <w:rPr>
          <w:color w:val="000000" w:themeColor="text1"/>
        </w:rPr>
        <w:t xml:space="preserve"> art 9(1); </w:t>
      </w:r>
      <w:r>
        <w:rPr>
          <w:i/>
          <w:color w:val="000000" w:themeColor="text1"/>
        </w:rPr>
        <w:t>Convention on the Rights of the Child</w:t>
      </w:r>
      <w:r>
        <w:rPr>
          <w:color w:val="000000" w:themeColor="text1"/>
        </w:rPr>
        <w:t xml:space="preserve">, </w:t>
      </w:r>
      <w:r w:rsidRPr="00C16028">
        <w:rPr>
          <w:color w:val="000000" w:themeColor="text1"/>
        </w:rPr>
        <w:t>opened for signature</w:t>
      </w:r>
      <w:r>
        <w:rPr>
          <w:color w:val="000000" w:themeColor="text1"/>
        </w:rPr>
        <w:t xml:space="preserve"> 20 November 1989, 1577 UNTS 3 (</w:t>
      </w:r>
      <w:r w:rsidRPr="00C16028">
        <w:rPr>
          <w:color w:val="000000" w:themeColor="text1"/>
        </w:rPr>
        <w:t>entered into force 2 September 1990)</w:t>
      </w:r>
      <w:r>
        <w:rPr>
          <w:color w:val="000000" w:themeColor="text1"/>
        </w:rPr>
        <w:t xml:space="preserve"> art 37(b). </w:t>
      </w:r>
    </w:p>
  </w:endnote>
  <w:endnote w:id="44">
    <w:p w14:paraId="0BECAA37" w14:textId="421F8B87" w:rsidR="003A3F5C" w:rsidRDefault="003A3F5C" w:rsidP="009C3D77">
      <w:pPr>
        <w:pStyle w:val="EndnoteText"/>
      </w:pPr>
      <w:r>
        <w:rPr>
          <w:rStyle w:val="EndnoteReference"/>
        </w:rPr>
        <w:endnoteRef/>
      </w:r>
      <w: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xml:space="preserve">, 2515 UNTS 3 (entered into force 3 May 2008) art 14(2). See also </w:t>
      </w:r>
      <w:r>
        <w:rPr>
          <w:i/>
          <w:color w:val="000000" w:themeColor="text1"/>
        </w:rPr>
        <w:t xml:space="preserve">International Covenant on Civil and Political Rights, </w:t>
      </w:r>
      <w:r w:rsidRPr="006B2415">
        <w:rPr>
          <w:color w:val="000000" w:themeColor="text1"/>
        </w:rPr>
        <w:t>opened for signature 16 December 1966, 999 UNTS 171 (entered into force 23 March 1976)</w:t>
      </w:r>
      <w:r>
        <w:rPr>
          <w:color w:val="000000" w:themeColor="text1"/>
        </w:rPr>
        <w:t xml:space="preserve"> art 10.</w:t>
      </w:r>
    </w:p>
  </w:endnote>
  <w:endnote w:id="45">
    <w:p w14:paraId="0F8994B1" w14:textId="44B43B83" w:rsidR="003A3F5C" w:rsidRDefault="003A3F5C" w:rsidP="009C3D77">
      <w:pPr>
        <w:pStyle w:val="EndnoteText"/>
        <w:ind w:left="284" w:hanging="284"/>
        <w:rPr>
          <w:color w:val="000000" w:themeColor="text1"/>
        </w:rPr>
      </w:pPr>
      <w:r>
        <w:rPr>
          <w:rStyle w:val="EndnoteReference"/>
          <w:color w:val="000000" w:themeColor="text1"/>
        </w:rPr>
        <w:endnoteRef/>
      </w:r>
      <w:r>
        <w:rPr>
          <w:color w:val="000000" w:themeColor="text1"/>
        </w:rPr>
        <w:t xml:space="preserve"> </w:t>
      </w:r>
      <w:r>
        <w:rPr>
          <w:i/>
          <w:color w:val="000000" w:themeColor="text1"/>
        </w:rPr>
        <w:t xml:space="preserve">Convention on the Rights of Persons with Disabilities, </w:t>
      </w:r>
      <w:r>
        <w:rPr>
          <w:color w:val="000000" w:themeColor="text1"/>
        </w:rPr>
        <w:t xml:space="preserve">opened for signature </w:t>
      </w:r>
      <w:r w:rsidRPr="005065DD">
        <w:rPr>
          <w:color w:val="000000" w:themeColor="text1"/>
        </w:rPr>
        <w:t>13 December 2006</w:t>
      </w:r>
      <w:r>
        <w:rPr>
          <w:color w:val="000000" w:themeColor="text1"/>
        </w:rPr>
        <w:t>, 2515 UNTS 3 (entered into force 3 May 2008) arts 25 and 26.</w:t>
      </w:r>
    </w:p>
  </w:endnote>
  <w:endnote w:id="46">
    <w:p w14:paraId="44BACB70" w14:textId="5516086C" w:rsidR="003A3F5C" w:rsidRDefault="003A3F5C" w:rsidP="009C3D77">
      <w:pPr>
        <w:pStyle w:val="EndnoteText"/>
      </w:pPr>
      <w:r>
        <w:rPr>
          <w:rStyle w:val="EndnoteReference"/>
        </w:rPr>
        <w:endnoteRef/>
      </w:r>
      <w: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xml:space="preserve">, 2515 UNTS 3 (entered into force 3 May 2008) art 15(2); </w:t>
      </w:r>
      <w:r>
        <w:rPr>
          <w:i/>
          <w:color w:val="000000" w:themeColor="text1"/>
        </w:rPr>
        <w:t xml:space="preserve">International Covenant on Civil and Political Rights, </w:t>
      </w:r>
      <w:r w:rsidRPr="006B2415">
        <w:rPr>
          <w:color w:val="000000" w:themeColor="text1"/>
        </w:rPr>
        <w:t>opened for signature 16 December 1966, 999 UNTS 171 (entered into force 23 March 1976)</w:t>
      </w:r>
      <w:r>
        <w:rPr>
          <w:color w:val="000000" w:themeColor="text1"/>
        </w:rPr>
        <w:t xml:space="preserve"> art 7; </w:t>
      </w:r>
      <w:r w:rsidRPr="004335BD">
        <w:rPr>
          <w:i/>
        </w:rPr>
        <w:t>Convention against Torture and Other Cruel, Inhuman or Degrading Treatment or Punishment</w:t>
      </w:r>
      <w:r w:rsidRPr="004335BD">
        <w:t xml:space="preserve">, opened for signature 10 December 1984, </w:t>
      </w:r>
      <w:r w:rsidRPr="004335BD">
        <w:rPr>
          <w:rFonts w:cs="Arial"/>
        </w:rPr>
        <w:t xml:space="preserve">1465 </w:t>
      </w:r>
      <w:r w:rsidRPr="004335BD">
        <w:rPr>
          <w:rFonts w:cs="Arial"/>
          <w:bCs/>
        </w:rPr>
        <w:t>UNTS</w:t>
      </w:r>
      <w:r w:rsidRPr="004335BD">
        <w:rPr>
          <w:rFonts w:cs="Arial"/>
        </w:rPr>
        <w:t xml:space="preserve"> 85</w:t>
      </w:r>
      <w:r>
        <w:rPr>
          <w:rFonts w:cs="Arial"/>
        </w:rPr>
        <w:t xml:space="preserve"> (entered into force 26 June 1987) </w:t>
      </w:r>
      <w:r w:rsidRPr="00A52914">
        <w:rPr>
          <w:color w:val="000000" w:themeColor="text1"/>
        </w:rPr>
        <w:t>art 16.</w:t>
      </w:r>
    </w:p>
  </w:endnote>
  <w:endnote w:id="47">
    <w:p w14:paraId="3A791ED1" w14:textId="3C81A5C0" w:rsidR="003A3F5C" w:rsidRDefault="003A3F5C" w:rsidP="009C3D77">
      <w:pPr>
        <w:pStyle w:val="EndnoteText"/>
      </w:pPr>
      <w:r>
        <w:rPr>
          <w:rStyle w:val="EndnoteReference"/>
        </w:rPr>
        <w:endnoteRef/>
      </w:r>
      <w:r>
        <w:t xml:space="preserve"> See also art 40(2)(b) of the </w:t>
      </w:r>
      <w:r w:rsidRPr="00B55E5D">
        <w:rPr>
          <w:i/>
        </w:rPr>
        <w:t>Convention on the Rights of the Child</w:t>
      </w:r>
      <w:r>
        <w:t xml:space="preserve">, </w:t>
      </w:r>
      <w:r w:rsidRPr="00C16028">
        <w:rPr>
          <w:color w:val="000000" w:themeColor="text1"/>
        </w:rPr>
        <w:t>opened for signature</w:t>
      </w:r>
      <w:r>
        <w:rPr>
          <w:color w:val="000000" w:themeColor="text1"/>
        </w:rPr>
        <w:t xml:space="preserve"> 20 November 1989, 1577 UNTS 3 (</w:t>
      </w:r>
      <w:r w:rsidRPr="00C16028">
        <w:rPr>
          <w:color w:val="000000" w:themeColor="text1"/>
        </w:rPr>
        <w:t>entered into force 2 September 1990)</w:t>
      </w:r>
      <w:r>
        <w:rPr>
          <w:color w:val="000000" w:themeColor="text1"/>
        </w:rPr>
        <w:t>.</w:t>
      </w:r>
    </w:p>
  </w:endnote>
  <w:endnote w:id="48">
    <w:p w14:paraId="610118CA" w14:textId="54C081D4" w:rsidR="003A3F5C" w:rsidRDefault="003A3F5C" w:rsidP="009C3D77">
      <w:pPr>
        <w:pStyle w:val="EndnoteText"/>
      </w:pPr>
      <w:r>
        <w:rPr>
          <w:rStyle w:val="EndnoteReference"/>
        </w:rPr>
        <w:endnoteRef/>
      </w:r>
      <w: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2515 UNTS 3 (entered into force 3 May 2008) art 7(1).</w:t>
      </w:r>
    </w:p>
  </w:endnote>
  <w:endnote w:id="49">
    <w:p w14:paraId="47A6949E" w14:textId="25A14E9B" w:rsidR="003A3F5C" w:rsidRDefault="003A3F5C" w:rsidP="009C3D77">
      <w:pPr>
        <w:pStyle w:val="EndnoteText"/>
      </w:pPr>
      <w:r>
        <w:rPr>
          <w:rStyle w:val="EndnoteReference"/>
        </w:rPr>
        <w:endnoteRef/>
      </w:r>
      <w:r>
        <w:t xml:space="preserve"> </w:t>
      </w:r>
      <w:r>
        <w:rPr>
          <w:i/>
          <w:color w:val="000000" w:themeColor="text1"/>
        </w:rPr>
        <w:t>Convention on the Rights of the Child</w:t>
      </w:r>
      <w:r>
        <w:rPr>
          <w:color w:val="000000" w:themeColor="text1"/>
        </w:rPr>
        <w:t xml:space="preserve">, </w:t>
      </w:r>
      <w:r w:rsidRPr="005661D6">
        <w:rPr>
          <w:color w:val="000000" w:themeColor="text1"/>
        </w:rPr>
        <w:t>opened for signatur</w:t>
      </w:r>
      <w:r>
        <w:rPr>
          <w:color w:val="000000" w:themeColor="text1"/>
        </w:rPr>
        <w:t>e 20 November 1989, 1577 UNTS 3</w:t>
      </w:r>
      <w:r w:rsidRPr="005661D6">
        <w:rPr>
          <w:color w:val="000000" w:themeColor="text1"/>
        </w:rPr>
        <w:t xml:space="preserve"> </w:t>
      </w:r>
      <w:r>
        <w:rPr>
          <w:color w:val="000000" w:themeColor="text1"/>
        </w:rPr>
        <w:t>(</w:t>
      </w:r>
      <w:r w:rsidRPr="005661D6">
        <w:rPr>
          <w:color w:val="000000" w:themeColor="text1"/>
        </w:rPr>
        <w:t>entered into force 2 September 1990)</w:t>
      </w:r>
      <w:r>
        <w:rPr>
          <w:color w:val="000000" w:themeColor="text1"/>
        </w:rPr>
        <w:t xml:space="preserve"> art 2(1). </w:t>
      </w:r>
    </w:p>
  </w:endnote>
  <w:endnote w:id="50">
    <w:p w14:paraId="7EE180C7" w14:textId="270970DD" w:rsidR="003A3F5C" w:rsidRDefault="003A3F5C" w:rsidP="009C3D77">
      <w:pPr>
        <w:pStyle w:val="EndnoteText"/>
      </w:pPr>
      <w:r>
        <w:rPr>
          <w:rStyle w:val="EndnoteReference"/>
        </w:rPr>
        <w:endnoteRef/>
      </w:r>
      <w:r>
        <w:t xml:space="preserve"> </w:t>
      </w:r>
      <w:r>
        <w:rPr>
          <w:i/>
          <w:color w:val="000000" w:themeColor="text1"/>
        </w:rPr>
        <w:t>Convention on the Rights of the Child</w:t>
      </w:r>
      <w:r>
        <w:rPr>
          <w:color w:val="000000" w:themeColor="text1"/>
        </w:rPr>
        <w:t xml:space="preserve">, </w:t>
      </w:r>
      <w:r w:rsidRPr="00C16028">
        <w:rPr>
          <w:color w:val="000000" w:themeColor="text1"/>
        </w:rPr>
        <w:t>opened for signatur</w:t>
      </w:r>
      <w:r>
        <w:rPr>
          <w:color w:val="000000" w:themeColor="text1"/>
        </w:rPr>
        <w:t>e 20 November 1989, 1577 UNTS 3</w:t>
      </w:r>
      <w:r w:rsidRPr="00C16028">
        <w:rPr>
          <w:color w:val="000000" w:themeColor="text1"/>
        </w:rPr>
        <w:t xml:space="preserve"> </w:t>
      </w:r>
      <w:r>
        <w:rPr>
          <w:color w:val="000000" w:themeColor="text1"/>
        </w:rPr>
        <w:t>(</w:t>
      </w:r>
      <w:r w:rsidRPr="00C16028">
        <w:rPr>
          <w:color w:val="000000" w:themeColor="text1"/>
        </w:rPr>
        <w:t>entered into force 2 September 1990)</w:t>
      </w:r>
      <w:r>
        <w:rPr>
          <w:color w:val="000000" w:themeColor="text1"/>
        </w:rPr>
        <w:t xml:space="preserve"> art 23.</w:t>
      </w:r>
    </w:p>
  </w:endnote>
  <w:endnote w:id="51">
    <w:p w14:paraId="58EE30D9" w14:textId="77777777" w:rsidR="003A3F5C" w:rsidRDefault="003A3F5C" w:rsidP="00DE3588">
      <w:pPr>
        <w:pStyle w:val="EndnoteText"/>
      </w:pPr>
      <w:r>
        <w:rPr>
          <w:rStyle w:val="EndnoteReference"/>
        </w:rPr>
        <w:endnoteRef/>
      </w:r>
      <w:r>
        <w:t xml:space="preserve"> </w:t>
      </w:r>
      <w:r>
        <w:rPr>
          <w:rFonts w:eastAsia="Times New Roman" w:cs="Arial"/>
          <w:i/>
          <w:iCs/>
          <w:szCs w:val="22"/>
        </w:rPr>
        <w:t xml:space="preserve">United Nations Declaration on the Rights of Indigenous Peoples, </w:t>
      </w:r>
      <w:r>
        <w:rPr>
          <w:rFonts w:eastAsia="Times New Roman" w:cs="Arial"/>
          <w:szCs w:val="22"/>
        </w:rPr>
        <w:t>GA Resolution 61/295, UN Doc A/61/L.67 (2007) art 21.</w:t>
      </w:r>
    </w:p>
  </w:endnote>
  <w:endnote w:id="52">
    <w:p w14:paraId="44D4E872" w14:textId="77777777" w:rsidR="003A3F5C" w:rsidRDefault="003A3F5C" w:rsidP="00DE3588">
      <w:pPr>
        <w:pStyle w:val="EndnoteText"/>
      </w:pPr>
      <w:r>
        <w:rPr>
          <w:rStyle w:val="EndnoteReference"/>
        </w:rPr>
        <w:endnoteRef/>
      </w:r>
      <w:r>
        <w:t xml:space="preserve"> </w:t>
      </w:r>
      <w:r>
        <w:rPr>
          <w:rFonts w:eastAsia="Times New Roman" w:cs="Arial"/>
          <w:i/>
          <w:iCs/>
          <w:szCs w:val="22"/>
        </w:rPr>
        <w:t xml:space="preserve">United Nations Declaration on the Rights of Indigenous Peoples, </w:t>
      </w:r>
      <w:r>
        <w:rPr>
          <w:rFonts w:eastAsia="Times New Roman" w:cs="Arial"/>
          <w:szCs w:val="22"/>
        </w:rPr>
        <w:t>GA Resolution 61/295, UN Doc A/61/L.67 (2007) art 22.</w:t>
      </w:r>
    </w:p>
  </w:endnote>
  <w:endnote w:id="53">
    <w:p w14:paraId="4CFC76CF" w14:textId="1ED02BF2" w:rsidR="003A3F5C" w:rsidRDefault="003A3F5C">
      <w:pPr>
        <w:pStyle w:val="EndnoteText"/>
      </w:pPr>
      <w:r>
        <w:rPr>
          <w:rStyle w:val="EndnoteReference"/>
        </w:rPr>
        <w:endnoteRef/>
      </w:r>
      <w:r>
        <w:t xml:space="preserve"> Available at </w:t>
      </w:r>
      <w:hyperlink r:id="rId6" w:history="1">
        <w:r w:rsidRPr="00126E96">
          <w:rPr>
            <w:rStyle w:val="Hyperlink"/>
          </w:rPr>
          <w:t>https://www.humanrights.gov.au/our-work/disability-rights/publications/equal-law</w:t>
        </w:r>
      </w:hyperlink>
      <w:r>
        <w:t>.</w:t>
      </w:r>
    </w:p>
  </w:endnote>
  <w:endnote w:id="54">
    <w:p w14:paraId="27C8679E" w14:textId="02A59D5B" w:rsidR="003A3F5C" w:rsidRDefault="003A3F5C">
      <w:pPr>
        <w:pStyle w:val="EndnoteText"/>
      </w:pPr>
      <w:r>
        <w:rPr>
          <w:rStyle w:val="EndnoteReference"/>
        </w:rPr>
        <w:endnoteRef/>
      </w:r>
      <w:r>
        <w:t xml:space="preserve"> </w:t>
      </w:r>
      <w:r w:rsidRPr="008E0409">
        <w:t xml:space="preserve">Australian Human Rights Commission, </w:t>
      </w:r>
      <w:r w:rsidR="00762174">
        <w:rPr>
          <w:i/>
        </w:rPr>
        <w:t>Equal b</w:t>
      </w:r>
      <w:r w:rsidRPr="008E0409">
        <w:rPr>
          <w:i/>
        </w:rPr>
        <w:t>efore the Law: Towards Disability Justice Strategies</w:t>
      </w:r>
      <w:r w:rsidRPr="008E0409">
        <w:t xml:space="preserve"> (2014)</w:t>
      </w:r>
      <w:r>
        <w:t xml:space="preserve"> 8.</w:t>
      </w:r>
    </w:p>
  </w:endnote>
  <w:endnote w:id="55">
    <w:p w14:paraId="46CC7E82" w14:textId="5B059E4F" w:rsidR="003A3F5C" w:rsidRDefault="003A3F5C">
      <w:pPr>
        <w:pStyle w:val="EndnoteText"/>
      </w:pPr>
      <w:r>
        <w:rPr>
          <w:rStyle w:val="EndnoteReference"/>
        </w:rPr>
        <w:endnoteRef/>
      </w:r>
      <w:r>
        <w:t xml:space="preserve"> </w:t>
      </w:r>
      <w:r w:rsidRPr="008E0409">
        <w:t xml:space="preserve">Australian Human Rights Commission, </w:t>
      </w:r>
      <w:r w:rsidR="00762174">
        <w:rPr>
          <w:i/>
        </w:rPr>
        <w:t>Equal b</w:t>
      </w:r>
      <w:r w:rsidRPr="008E0409">
        <w:rPr>
          <w:i/>
        </w:rPr>
        <w:t>efore the Law: Towards Disability Justice Strategies</w:t>
      </w:r>
      <w:r w:rsidRPr="008E0409">
        <w:t xml:space="preserve"> (2014)</w:t>
      </w:r>
      <w:r>
        <w:t xml:space="preserve"> 8.</w:t>
      </w:r>
    </w:p>
  </w:endnote>
  <w:endnote w:id="56">
    <w:p w14:paraId="5B337A44" w14:textId="1F7E98D2" w:rsidR="003A3F5C" w:rsidRPr="006E4763" w:rsidRDefault="003A3F5C">
      <w:pPr>
        <w:pStyle w:val="EndnoteText"/>
        <w:rPr>
          <w:rFonts w:cs="Arial"/>
        </w:rPr>
      </w:pPr>
      <w:r w:rsidRPr="006E4763">
        <w:rPr>
          <w:rStyle w:val="EndnoteReference"/>
          <w:rFonts w:cs="Arial"/>
        </w:rPr>
        <w:endnoteRef/>
      </w:r>
      <w:r w:rsidRPr="006E4763">
        <w:rPr>
          <w:rFonts w:cs="Arial"/>
        </w:rPr>
        <w:t xml:space="preserve"> Australian Human Rights Commission, </w:t>
      </w:r>
      <w:r w:rsidR="00762174">
        <w:rPr>
          <w:rFonts w:cs="Arial"/>
          <w:i/>
        </w:rPr>
        <w:t>Equal b</w:t>
      </w:r>
      <w:r w:rsidRPr="006E4763">
        <w:rPr>
          <w:rFonts w:cs="Arial"/>
          <w:i/>
        </w:rPr>
        <w:t>efore the Law: Towards Disability Justice Strategies</w:t>
      </w:r>
      <w:r w:rsidRPr="006E4763">
        <w:rPr>
          <w:rFonts w:cs="Arial"/>
        </w:rPr>
        <w:t xml:space="preserve"> (2014) 5.</w:t>
      </w:r>
    </w:p>
  </w:endnote>
  <w:endnote w:id="57">
    <w:p w14:paraId="3B7E896B" w14:textId="7F1386A7" w:rsidR="003A3F5C" w:rsidRDefault="003A3F5C">
      <w:pPr>
        <w:pStyle w:val="EndnoteText"/>
      </w:pPr>
      <w:r w:rsidRPr="006E4763">
        <w:rPr>
          <w:rStyle w:val="EndnoteReference"/>
          <w:rFonts w:cs="Arial"/>
        </w:rPr>
        <w:endnoteRef/>
      </w:r>
      <w:r w:rsidRPr="006E4763">
        <w:rPr>
          <w:rFonts w:cs="Arial"/>
        </w:rPr>
        <w:t xml:space="preserve"> Australian Law Reform Commission, </w:t>
      </w:r>
      <w:r w:rsidRPr="006E4763">
        <w:rPr>
          <w:rFonts w:eastAsia="Times New Roman" w:cs="Arial"/>
          <w:i/>
          <w:iCs/>
        </w:rPr>
        <w:t xml:space="preserve">Equality, Capacity and Disability in Commonwealth Laws, </w:t>
      </w:r>
      <w:r w:rsidRPr="006E4763">
        <w:rPr>
          <w:rFonts w:eastAsia="Times New Roman" w:cs="Arial"/>
          <w:iCs/>
        </w:rPr>
        <w:t>Report No 124 (2014) 192.</w:t>
      </w:r>
    </w:p>
  </w:endnote>
  <w:endnote w:id="58">
    <w:p w14:paraId="2EDA4417" w14:textId="60081235" w:rsidR="003A3F5C" w:rsidRPr="004C1D4D" w:rsidRDefault="003A3F5C" w:rsidP="005836C9">
      <w:pPr>
        <w:pStyle w:val="EndnoteText"/>
      </w:pPr>
      <w:r w:rsidRPr="004C1D4D">
        <w:rPr>
          <w:rStyle w:val="EndnoteReference"/>
        </w:rPr>
        <w:endnoteRef/>
      </w:r>
      <w:r w:rsidRPr="004C1D4D">
        <w:t xml:space="preserve"> </w:t>
      </w:r>
      <w:r w:rsidRPr="009C3D77">
        <w:rPr>
          <w:rFonts w:cs="Arial"/>
        </w:rPr>
        <w:t xml:space="preserve">Mindy Sotiri, Patrick McGee and Eileen Baldry, </w:t>
      </w:r>
      <w:r w:rsidRPr="009C3D77">
        <w:rPr>
          <w:rFonts w:cs="Arial"/>
          <w:i/>
        </w:rPr>
        <w:t xml:space="preserve">No End in Sight: The Imprisonment, and indefinite </w:t>
      </w:r>
      <w:r w:rsidRPr="0036752B">
        <w:rPr>
          <w:rFonts w:cs="Arial"/>
          <w:i/>
        </w:rPr>
        <w:t>detention of Indigenous Australians with A Cognitive Impairment</w:t>
      </w:r>
      <w:r w:rsidRPr="0036752B">
        <w:rPr>
          <w:rFonts w:cs="Arial"/>
        </w:rPr>
        <w:t xml:space="preserve"> (University of New South Wales, 2012)</w:t>
      </w:r>
      <w:r w:rsidRPr="0036752B">
        <w:t xml:space="preserve"> 49. See also Australian Human Rights Commission, </w:t>
      </w:r>
      <w:r w:rsidRPr="0036752B">
        <w:rPr>
          <w:i/>
        </w:rPr>
        <w:t>Preventing Crime and Promoting Rights for Indigenous Young People with Cognitive Disabilities and Mental Health Issues</w:t>
      </w:r>
      <w:r w:rsidRPr="0036752B">
        <w:t xml:space="preserve"> (2008)</w:t>
      </w:r>
      <w:r w:rsidRPr="0036752B">
        <w:rPr>
          <w:rFonts w:cs="Archer Book"/>
          <w:color w:val="000000"/>
        </w:rPr>
        <w:t xml:space="preserve"> 58.</w:t>
      </w:r>
    </w:p>
  </w:endnote>
  <w:endnote w:id="59">
    <w:p w14:paraId="78FA863F" w14:textId="77777777" w:rsidR="003A3F5C" w:rsidRDefault="003A3F5C" w:rsidP="00477DF6">
      <w:pPr>
        <w:pStyle w:val="EndnoteText"/>
      </w:pPr>
      <w:r>
        <w:rPr>
          <w:rStyle w:val="EndnoteReference"/>
        </w:rPr>
        <w:endnoteRef/>
      </w:r>
      <w:r>
        <w:t xml:space="preserve"> National Mental Health Commission, </w:t>
      </w:r>
      <w:r w:rsidRPr="00C21BD4">
        <w:rPr>
          <w:i/>
        </w:rPr>
        <w:t>Report of the National Review of Mental Health Programmes and Services: Summary</w:t>
      </w:r>
      <w:r>
        <w:t xml:space="preserve"> (Australian Government, 2014) 18. At </w:t>
      </w:r>
      <w:r w:rsidRPr="00C21BD4">
        <w:t>http://www.mentalhealthcommission.gov.au/our-reports/contributing-lives,-thriving-communities-review-of-mental-health-programmes-and-services.aspx</w:t>
      </w:r>
      <w:r>
        <w:t xml:space="preserve"> (viewed 16 February 2016). </w:t>
      </w:r>
    </w:p>
  </w:endnote>
  <w:endnote w:id="60">
    <w:p w14:paraId="232903DE" w14:textId="77777777" w:rsidR="003A3F5C" w:rsidRPr="009C3D77" w:rsidRDefault="003A3F5C" w:rsidP="00322A01">
      <w:pPr>
        <w:spacing w:before="0" w:after="0"/>
        <w:rPr>
          <w:sz w:val="20"/>
          <w:szCs w:val="20"/>
        </w:rPr>
      </w:pPr>
      <w:r w:rsidRPr="00E73300">
        <w:rPr>
          <w:rStyle w:val="EndnoteReference"/>
          <w:szCs w:val="20"/>
        </w:rPr>
        <w:endnoteRef/>
      </w:r>
      <w:r w:rsidRPr="00E73300">
        <w:rPr>
          <w:sz w:val="20"/>
          <w:szCs w:val="20"/>
        </w:rPr>
        <w:t xml:space="preserve"> Australian Human Rights Commission, </w:t>
      </w:r>
      <w:r w:rsidRPr="00E73300">
        <w:rPr>
          <w:i/>
          <w:sz w:val="20"/>
          <w:szCs w:val="20"/>
        </w:rPr>
        <w:t>Preventing Crime and Promoting Rights for Indigenous Young People with Cognitive Disabilities and Mental Health Issues</w:t>
      </w:r>
      <w:r>
        <w:rPr>
          <w:sz w:val="20"/>
          <w:szCs w:val="20"/>
        </w:rPr>
        <w:t xml:space="preserve"> (2008) 18.</w:t>
      </w:r>
    </w:p>
  </w:endnote>
  <w:endnote w:id="61">
    <w:p w14:paraId="1A8F824A" w14:textId="22BC21CA" w:rsidR="003A3F5C" w:rsidRDefault="003A3F5C" w:rsidP="00816DE9">
      <w:pPr>
        <w:pStyle w:val="EndnoteText"/>
      </w:pPr>
      <w:r>
        <w:rPr>
          <w:rStyle w:val="EndnoteReference"/>
        </w:rPr>
        <w:endnoteRef/>
      </w:r>
      <w:r>
        <w:t xml:space="preserve"> </w:t>
      </w:r>
      <w:r w:rsidRPr="006E4763">
        <w:rPr>
          <w:rFonts w:cs="Arial"/>
        </w:rPr>
        <w:t xml:space="preserve">Australian Human Rights Commission, </w:t>
      </w:r>
      <w:r w:rsidR="00762174">
        <w:rPr>
          <w:rFonts w:cs="Arial"/>
          <w:i/>
        </w:rPr>
        <w:t>Equal b</w:t>
      </w:r>
      <w:r w:rsidRPr="006E4763">
        <w:rPr>
          <w:rFonts w:cs="Arial"/>
          <w:i/>
        </w:rPr>
        <w:t>efore the Law: Towards Disability Justice Strategies</w:t>
      </w:r>
      <w:r w:rsidRPr="006E4763">
        <w:rPr>
          <w:rFonts w:cs="Arial"/>
        </w:rPr>
        <w:t xml:space="preserve"> (2014)</w:t>
      </w:r>
      <w:r>
        <w:rPr>
          <w:rFonts w:cs="Arial"/>
        </w:rPr>
        <w:t xml:space="preserve"> 20.</w:t>
      </w:r>
    </w:p>
  </w:endnote>
  <w:endnote w:id="62">
    <w:p w14:paraId="0E8601F7" w14:textId="280AF84A" w:rsidR="003A3F5C" w:rsidRDefault="003A3F5C" w:rsidP="00816DE9">
      <w:pPr>
        <w:pStyle w:val="EndnoteText"/>
      </w:pPr>
      <w:r>
        <w:rPr>
          <w:rStyle w:val="EndnoteReference"/>
        </w:rPr>
        <w:endnoteRef/>
      </w:r>
      <w:r>
        <w:t xml:space="preserve"> </w:t>
      </w:r>
      <w:r w:rsidRPr="006E4763">
        <w:rPr>
          <w:rFonts w:cs="Arial"/>
        </w:rPr>
        <w:t xml:space="preserve">Australian Human Rights Commission, </w:t>
      </w:r>
      <w:r w:rsidR="00762174">
        <w:rPr>
          <w:rFonts w:cs="Arial"/>
          <w:i/>
        </w:rPr>
        <w:t>Equal b</w:t>
      </w:r>
      <w:r w:rsidRPr="006E4763">
        <w:rPr>
          <w:rFonts w:cs="Arial"/>
          <w:i/>
        </w:rPr>
        <w:t>efore the Law: Towards Disability Justice Strategies</w:t>
      </w:r>
      <w:r w:rsidRPr="006E4763">
        <w:rPr>
          <w:rFonts w:cs="Arial"/>
        </w:rPr>
        <w:t xml:space="preserve"> (2014)</w:t>
      </w:r>
      <w:r>
        <w:rPr>
          <w:rFonts w:cs="Arial"/>
        </w:rPr>
        <w:t xml:space="preserve"> 20.</w:t>
      </w:r>
    </w:p>
  </w:endnote>
  <w:endnote w:id="63">
    <w:p w14:paraId="0C29CBF4" w14:textId="77777777" w:rsidR="003A3F5C" w:rsidRDefault="003A3F5C" w:rsidP="006B55C8">
      <w:pPr>
        <w:pStyle w:val="EndnoteText"/>
      </w:pPr>
      <w:r>
        <w:rPr>
          <w:rStyle w:val="EndnoteReference"/>
        </w:rPr>
        <w:endnoteRef/>
      </w:r>
      <w:r>
        <w:t xml:space="preserve"> National Mental Health Commission, </w:t>
      </w:r>
      <w:r w:rsidRPr="00C21BD4">
        <w:rPr>
          <w:i/>
        </w:rPr>
        <w:t>Report of the National Review of Mental Health Programmes and Services: Summary</w:t>
      </w:r>
      <w:r>
        <w:t xml:space="preserve"> (Australian Government, 2014) 14.</w:t>
      </w:r>
    </w:p>
  </w:endnote>
  <w:endnote w:id="64">
    <w:p w14:paraId="49874DCC" w14:textId="622F0B07" w:rsidR="003A3F5C" w:rsidRDefault="003A3F5C">
      <w:pPr>
        <w:pStyle w:val="EndnoteText"/>
      </w:pPr>
      <w:r>
        <w:rPr>
          <w:rStyle w:val="EndnoteReference"/>
        </w:rPr>
        <w:endnoteRef/>
      </w:r>
      <w:r>
        <w:t xml:space="preserve"> Australian Bureau of Statistics, </w:t>
      </w:r>
      <w:r w:rsidRPr="00CD403F">
        <w:rPr>
          <w:i/>
        </w:rPr>
        <w:t>Prisoners in Australia</w:t>
      </w:r>
      <w:r>
        <w:rPr>
          <w:i/>
        </w:rPr>
        <w:t>, 2015</w:t>
      </w:r>
      <w:r w:rsidR="000067B7">
        <w:t>, Cat no. 4517.0 (2015).</w:t>
      </w:r>
    </w:p>
  </w:endnote>
  <w:endnote w:id="65">
    <w:p w14:paraId="2E0952E0" w14:textId="687B39DB" w:rsidR="003A3F5C" w:rsidRDefault="003A3F5C">
      <w:pPr>
        <w:pStyle w:val="EndnoteText"/>
      </w:pPr>
      <w:r>
        <w:rPr>
          <w:rStyle w:val="EndnoteReference"/>
        </w:rPr>
        <w:endnoteRef/>
      </w:r>
      <w:r>
        <w:t xml:space="preserve"> See, for example, </w:t>
      </w:r>
      <w:r w:rsidRPr="007856DA">
        <w:t xml:space="preserve">Mindy Sotiri, Patrick McGee and Eileen Baldry, </w:t>
      </w:r>
      <w:r w:rsidRPr="00806517">
        <w:rPr>
          <w:i/>
        </w:rPr>
        <w:t>No End in Sight: The Imprisonment, and indefinite detention of Indigenous Australians with A Cognitive Impairment</w:t>
      </w:r>
      <w:r w:rsidRPr="007856DA">
        <w:t xml:space="preserve"> (University of New South Wales, 2012)</w:t>
      </w:r>
      <w:r>
        <w:t xml:space="preserve"> 85.</w:t>
      </w:r>
    </w:p>
  </w:endnote>
  <w:endnote w:id="66">
    <w:p w14:paraId="2BF3892A" w14:textId="77777777" w:rsidR="003A3F5C" w:rsidRPr="005B19FE" w:rsidRDefault="003A3F5C" w:rsidP="006D3F00">
      <w:pPr>
        <w:spacing w:before="0" w:after="0"/>
        <w:rPr>
          <w:sz w:val="20"/>
          <w:szCs w:val="20"/>
        </w:rPr>
      </w:pPr>
      <w:r w:rsidRPr="005B19FE">
        <w:rPr>
          <w:rStyle w:val="EndnoteReference"/>
          <w:szCs w:val="20"/>
        </w:rPr>
        <w:endnoteRef/>
      </w:r>
      <w:r w:rsidRPr="005B19FE">
        <w:rPr>
          <w:sz w:val="20"/>
          <w:szCs w:val="20"/>
        </w:rPr>
        <w:t xml:space="preserve"> Mick Gooda, Aboriginal and Torres Strait Islander Social Justice Commissioner, </w:t>
      </w:r>
      <w:r w:rsidRPr="005B19FE">
        <w:rPr>
          <w:i/>
          <w:sz w:val="20"/>
          <w:szCs w:val="20"/>
        </w:rPr>
        <w:t>Social Justice and Native Title Report 2015</w:t>
      </w:r>
      <w:r w:rsidRPr="005B19FE">
        <w:rPr>
          <w:sz w:val="20"/>
          <w:szCs w:val="20"/>
        </w:rPr>
        <w:t xml:space="preserve"> (Australian Human Rights Commission, 2015) section 4.6.</w:t>
      </w:r>
    </w:p>
  </w:endnote>
  <w:endnote w:id="67">
    <w:p w14:paraId="4B82018B" w14:textId="76025EDB" w:rsidR="003A3F5C" w:rsidRDefault="003A3F5C">
      <w:pPr>
        <w:pStyle w:val="EndnoteText"/>
      </w:pPr>
      <w:r>
        <w:rPr>
          <w:rStyle w:val="EndnoteReference"/>
        </w:rPr>
        <w:endnoteRef/>
      </w:r>
      <w:r>
        <w:t xml:space="preserve"> </w:t>
      </w:r>
      <w:r w:rsidRPr="007F1D7E">
        <w:t xml:space="preserve">Law Reform Committee, Parliament of Victoria, </w:t>
      </w:r>
      <w:r w:rsidRPr="007F1D7E">
        <w:rPr>
          <w:i/>
        </w:rPr>
        <w:t>Inquiry into Access to and Interaction with the Justice System by People with an Intellectual Disability and their Families and Carers</w:t>
      </w:r>
      <w:r w:rsidRPr="007F1D7E">
        <w:t xml:space="preserve"> (2013)</w:t>
      </w:r>
      <w:r>
        <w:t xml:space="preserve"> 103 (quoting the Coalition for Disability Rights).</w:t>
      </w:r>
    </w:p>
  </w:endnote>
  <w:endnote w:id="68">
    <w:p w14:paraId="11295A92" w14:textId="0D97C7C7" w:rsidR="003A3F5C" w:rsidRDefault="003A3F5C">
      <w:pPr>
        <w:pStyle w:val="EndnoteText"/>
      </w:pPr>
      <w:r>
        <w:rPr>
          <w:rStyle w:val="EndnoteReference"/>
        </w:rPr>
        <w:endnoteRef/>
      </w:r>
      <w:r>
        <w:t xml:space="preserve"> </w:t>
      </w:r>
      <w:r w:rsidRPr="006E4763">
        <w:rPr>
          <w:rFonts w:cs="Arial"/>
        </w:rPr>
        <w:t xml:space="preserve">Australian Human Rights Commission, </w:t>
      </w:r>
      <w:r w:rsidR="00762174">
        <w:rPr>
          <w:rFonts w:cs="Arial"/>
          <w:i/>
        </w:rPr>
        <w:t>Equal b</w:t>
      </w:r>
      <w:r w:rsidRPr="006E4763">
        <w:rPr>
          <w:rFonts w:cs="Arial"/>
          <w:i/>
        </w:rPr>
        <w:t>efore the Law: Towards Disability Justice Strategies</w:t>
      </w:r>
      <w:r w:rsidRPr="006E4763">
        <w:rPr>
          <w:rFonts w:cs="Arial"/>
        </w:rPr>
        <w:t xml:space="preserve"> (2014)</w:t>
      </w:r>
      <w:r>
        <w:rPr>
          <w:rFonts w:cs="Arial"/>
        </w:rPr>
        <w:t xml:space="preserve"> 25.</w:t>
      </w:r>
    </w:p>
  </w:endnote>
  <w:endnote w:id="69">
    <w:p w14:paraId="0ADBECAB" w14:textId="7C00CC47" w:rsidR="003A3F5C" w:rsidRDefault="003A3F5C" w:rsidP="00531313">
      <w:pPr>
        <w:pStyle w:val="EndnoteText"/>
      </w:pPr>
      <w:r>
        <w:rPr>
          <w:rStyle w:val="EndnoteReference"/>
        </w:rPr>
        <w:endnoteRef/>
      </w:r>
      <w:r>
        <w:t xml:space="preserve"> </w:t>
      </w:r>
      <w:r w:rsidRPr="006E4763">
        <w:rPr>
          <w:rFonts w:cs="Arial"/>
        </w:rPr>
        <w:t xml:space="preserve">Australian Human Rights Commission, </w:t>
      </w:r>
      <w:r w:rsidR="00762174">
        <w:rPr>
          <w:rFonts w:cs="Arial"/>
          <w:i/>
        </w:rPr>
        <w:t>Equal b</w:t>
      </w:r>
      <w:r w:rsidRPr="006E4763">
        <w:rPr>
          <w:rFonts w:cs="Arial"/>
          <w:i/>
        </w:rPr>
        <w:t>efore the Law: Towards Disability Justice Strategies</w:t>
      </w:r>
      <w:r w:rsidRPr="006E4763">
        <w:rPr>
          <w:rFonts w:cs="Arial"/>
        </w:rPr>
        <w:t xml:space="preserve"> (2014)</w:t>
      </w:r>
      <w:r>
        <w:rPr>
          <w:rFonts w:cs="Arial"/>
        </w:rPr>
        <w:t xml:space="preserve"> 25.</w:t>
      </w:r>
    </w:p>
  </w:endnote>
  <w:endnote w:id="70">
    <w:p w14:paraId="4E3DF415" w14:textId="1D3CFFB1" w:rsidR="003A3F5C" w:rsidRPr="00137D84" w:rsidRDefault="003A3F5C" w:rsidP="00052C63">
      <w:pPr>
        <w:pStyle w:val="EndnoteText"/>
      </w:pPr>
      <w:r>
        <w:rPr>
          <w:rStyle w:val="EndnoteReference"/>
        </w:rPr>
        <w:endnoteRef/>
      </w:r>
      <w:r>
        <w:t xml:space="preserve"> </w:t>
      </w:r>
      <w:r w:rsidRPr="006E4763">
        <w:rPr>
          <w:rFonts w:cs="Arial"/>
        </w:rPr>
        <w:t xml:space="preserve">Australian Human Rights Commission, </w:t>
      </w:r>
      <w:r w:rsidR="00762174">
        <w:rPr>
          <w:rFonts w:cs="Arial"/>
          <w:i/>
        </w:rPr>
        <w:t>Equal b</w:t>
      </w:r>
      <w:r w:rsidRPr="006E4763">
        <w:rPr>
          <w:rFonts w:cs="Arial"/>
          <w:i/>
        </w:rPr>
        <w:t>efore the Law: Towards Disability Justice Strategies</w:t>
      </w:r>
      <w:r w:rsidRPr="006E4763">
        <w:rPr>
          <w:rFonts w:cs="Arial"/>
        </w:rPr>
        <w:t xml:space="preserve"> </w:t>
      </w:r>
      <w:r w:rsidRPr="00137D84">
        <w:rPr>
          <w:rFonts w:cs="Arial"/>
        </w:rPr>
        <w:t>(2014) 21.</w:t>
      </w:r>
    </w:p>
  </w:endnote>
  <w:endnote w:id="71">
    <w:p w14:paraId="1EAE1C92" w14:textId="570A2968" w:rsidR="003A3F5C" w:rsidRPr="00137D84" w:rsidRDefault="003A3F5C" w:rsidP="004F24F8">
      <w:pPr>
        <w:pStyle w:val="EndnoteText"/>
      </w:pPr>
      <w:r w:rsidRPr="00137D84">
        <w:rPr>
          <w:rStyle w:val="EndnoteReference"/>
        </w:rPr>
        <w:endnoteRef/>
      </w:r>
      <w:r w:rsidRPr="00137D84">
        <w:t xml:space="preserve"> </w:t>
      </w:r>
      <w:r w:rsidRPr="00137D84">
        <w:rPr>
          <w:i/>
          <w:color w:val="000000" w:themeColor="text1"/>
        </w:rPr>
        <w:t>Convention on the Rights of Persons with Disabilities</w:t>
      </w:r>
      <w:r w:rsidRPr="00137D84">
        <w:rPr>
          <w:color w:val="000000" w:themeColor="text1"/>
        </w:rPr>
        <w:t>, opened for signature 13 December 2006, 2515 UNTS 3 (entered into force 3 May 2008) art 13(1).</w:t>
      </w:r>
    </w:p>
  </w:endnote>
  <w:endnote w:id="72">
    <w:p w14:paraId="1ECFBFCB" w14:textId="347F0D61" w:rsidR="003A3F5C" w:rsidRDefault="003A3F5C">
      <w:pPr>
        <w:pStyle w:val="EndnoteText"/>
      </w:pPr>
      <w:r w:rsidRPr="00137D84">
        <w:rPr>
          <w:rStyle w:val="EndnoteReference"/>
        </w:rPr>
        <w:endnoteRef/>
      </w:r>
      <w:r w:rsidRPr="00137D84">
        <w:t xml:space="preserve"> </w:t>
      </w:r>
      <w:r w:rsidRPr="00137D84">
        <w:rPr>
          <w:i/>
          <w:color w:val="000000" w:themeColor="text1"/>
        </w:rPr>
        <w:t>Convention on the Rights of Persons with Disabilities</w:t>
      </w:r>
      <w:r w:rsidRPr="00137D84">
        <w:rPr>
          <w:color w:val="000000" w:themeColor="text1"/>
        </w:rPr>
        <w:t>, opened for signature 13 December 2006, 2515 UNTS 3 (entered into force 3 May 2008) art 13(1).</w:t>
      </w:r>
    </w:p>
  </w:endnote>
  <w:endnote w:id="73">
    <w:p w14:paraId="667C7A5F" w14:textId="4514DB78" w:rsidR="003A3F5C" w:rsidRPr="003040A1" w:rsidRDefault="003A3F5C" w:rsidP="003341BE">
      <w:pPr>
        <w:pStyle w:val="EndnoteText"/>
        <w:ind w:left="284" w:hanging="284"/>
        <w:rPr>
          <w:rFonts w:cs="Arial"/>
          <w:color w:val="000000" w:themeColor="text1"/>
        </w:rPr>
      </w:pPr>
      <w:r w:rsidRPr="009C3D77">
        <w:rPr>
          <w:rStyle w:val="EndnoteReference"/>
          <w:rFonts w:cs="Arial"/>
          <w:color w:val="000000" w:themeColor="text1"/>
        </w:rPr>
        <w:endnoteRef/>
      </w:r>
      <w:r w:rsidRPr="009C3D77">
        <w:rPr>
          <w:rFonts w:cs="Arial"/>
          <w:color w:val="000000" w:themeColor="text1"/>
        </w:rPr>
        <w:t xml:space="preserve"> </w:t>
      </w:r>
      <w:r w:rsidRPr="009C3D77">
        <w:rPr>
          <w:rFonts w:cs="Arial"/>
          <w:color w:val="000000" w:themeColor="text1"/>
        </w:rPr>
        <w:tab/>
        <w:t xml:space="preserve">UN Committee on the Rights of Persons with Disabilities, </w:t>
      </w:r>
      <w:r w:rsidRPr="009C3D77">
        <w:rPr>
          <w:rFonts w:cs="Arial"/>
          <w:i/>
          <w:color w:val="000000" w:themeColor="text1"/>
        </w:rPr>
        <w:t>Concluding Observations on the initial report of Australia, adopted by the Committee at its tenth session (2–13 September 2013)</w:t>
      </w:r>
      <w:r w:rsidRPr="009C3D77">
        <w:rPr>
          <w:rFonts w:cs="Arial"/>
          <w:color w:val="000000" w:themeColor="text1"/>
        </w:rPr>
        <w:t>, U</w:t>
      </w:r>
      <w:r w:rsidR="00155549">
        <w:rPr>
          <w:rFonts w:cs="Arial"/>
          <w:color w:val="000000" w:themeColor="text1"/>
        </w:rPr>
        <w:t>N Doc CRPD/C/AUS/CO/1 (2013).</w:t>
      </w:r>
    </w:p>
  </w:endnote>
  <w:endnote w:id="74">
    <w:p w14:paraId="006A1254" w14:textId="77777777" w:rsidR="003A3F5C" w:rsidRDefault="003A3F5C" w:rsidP="00CD4669">
      <w:pPr>
        <w:pStyle w:val="EndnoteText"/>
      </w:pPr>
      <w:r>
        <w:rPr>
          <w:rStyle w:val="EndnoteReference"/>
        </w:rPr>
        <w:endnoteRef/>
      </w:r>
      <w:r>
        <w:t xml:space="preserve"> </w:t>
      </w:r>
      <w:r w:rsidRPr="00C92A94">
        <w:t xml:space="preserve">Law Reform Committee, Parliament of Victoria, </w:t>
      </w:r>
      <w:r w:rsidRPr="001A6546">
        <w:rPr>
          <w:i/>
        </w:rPr>
        <w:t>I</w:t>
      </w:r>
      <w:r w:rsidRPr="00C92A94">
        <w:rPr>
          <w:i/>
        </w:rPr>
        <w:t>nquiry into Access to and Interaction with the Justice System by People with an Intellectual Disability and their Families and Carers</w:t>
      </w:r>
      <w:r w:rsidRPr="00C92A94">
        <w:t xml:space="preserve"> (2013)</w:t>
      </w:r>
      <w:r>
        <w:t xml:space="preserve"> 279.</w:t>
      </w:r>
    </w:p>
  </w:endnote>
  <w:endnote w:id="75">
    <w:p w14:paraId="5DC39924" w14:textId="0C5789D1" w:rsidR="003A3F5C" w:rsidRDefault="003A3F5C">
      <w:pPr>
        <w:pStyle w:val="EndnoteText"/>
      </w:pPr>
      <w:r>
        <w:rPr>
          <w:rStyle w:val="EndnoteReference"/>
        </w:rPr>
        <w:endnoteRef/>
      </w:r>
      <w:r>
        <w:t xml:space="preserve"> </w:t>
      </w:r>
      <w:r w:rsidRPr="006E4763">
        <w:rPr>
          <w:rFonts w:cs="Arial"/>
        </w:rPr>
        <w:t xml:space="preserve">Australian Human Rights Commission, </w:t>
      </w:r>
      <w:r w:rsidR="00762174">
        <w:rPr>
          <w:rFonts w:cs="Arial"/>
          <w:i/>
        </w:rPr>
        <w:t>Equal b</w:t>
      </w:r>
      <w:r w:rsidRPr="006E4763">
        <w:rPr>
          <w:rFonts w:cs="Arial"/>
          <w:i/>
        </w:rPr>
        <w:t>efore the Law: Towards Disability Justice Strategies</w:t>
      </w:r>
      <w:r w:rsidRPr="006E4763">
        <w:rPr>
          <w:rFonts w:cs="Arial"/>
        </w:rPr>
        <w:t xml:space="preserve"> (2014)</w:t>
      </w:r>
      <w:r>
        <w:rPr>
          <w:rFonts w:cs="Arial"/>
        </w:rPr>
        <w:t xml:space="preserve"> 24-25.</w:t>
      </w:r>
    </w:p>
  </w:endnote>
  <w:endnote w:id="76">
    <w:p w14:paraId="445BF122" w14:textId="0C6F6F4E" w:rsidR="003A3F5C" w:rsidRDefault="003A3F5C" w:rsidP="003A4554">
      <w:pPr>
        <w:pStyle w:val="EndnoteText"/>
      </w:pPr>
      <w:r>
        <w:rPr>
          <w:rStyle w:val="EndnoteReference"/>
        </w:rPr>
        <w:endnoteRef/>
      </w:r>
      <w:r>
        <w:t xml:space="preserve"> </w:t>
      </w:r>
      <w:r w:rsidRPr="006E4763">
        <w:rPr>
          <w:rFonts w:cs="Arial"/>
        </w:rPr>
        <w:t xml:space="preserve">Australian Human Rights Commission, </w:t>
      </w:r>
      <w:r w:rsidR="00762174">
        <w:rPr>
          <w:rFonts w:cs="Arial"/>
          <w:i/>
        </w:rPr>
        <w:t>Equal b</w:t>
      </w:r>
      <w:r w:rsidRPr="006E4763">
        <w:rPr>
          <w:rFonts w:cs="Arial"/>
          <w:i/>
        </w:rPr>
        <w:t>efore the Law: Towards Disability Justice Strategies</w:t>
      </w:r>
      <w:r w:rsidRPr="006E4763">
        <w:rPr>
          <w:rFonts w:cs="Arial"/>
        </w:rPr>
        <w:t xml:space="preserve"> (2014)</w:t>
      </w:r>
      <w:r>
        <w:rPr>
          <w:rFonts w:cs="Arial"/>
        </w:rPr>
        <w:t xml:space="preserve"> 25.</w:t>
      </w:r>
    </w:p>
  </w:endnote>
  <w:endnote w:id="77">
    <w:p w14:paraId="64C2EC9F" w14:textId="39976D20" w:rsidR="003A3F5C" w:rsidRDefault="003A3F5C" w:rsidP="0025062E">
      <w:pPr>
        <w:pStyle w:val="EndnoteText"/>
      </w:pPr>
      <w:r>
        <w:rPr>
          <w:rStyle w:val="EndnoteReference"/>
        </w:rPr>
        <w:endnoteRef/>
      </w:r>
      <w:r>
        <w:t xml:space="preserve"> Council of Australia Governments, </w:t>
      </w:r>
      <w:r w:rsidRPr="009F2045">
        <w:rPr>
          <w:i/>
        </w:rPr>
        <w:t>National Disability Strategy 2010-2012</w:t>
      </w:r>
      <w:r w:rsidR="00B85750">
        <w:t xml:space="preserve"> (2011) 9</w:t>
      </w:r>
      <w:r>
        <w:t>.</w:t>
      </w:r>
    </w:p>
  </w:endnote>
  <w:endnote w:id="78">
    <w:p w14:paraId="2D9133B8" w14:textId="4325B9FE" w:rsidR="003A3F5C" w:rsidRPr="009C3D77" w:rsidRDefault="003A3F5C" w:rsidP="009C3D77">
      <w:pPr>
        <w:pStyle w:val="EndnoteText"/>
        <w:rPr>
          <w:rFonts w:cs="Arial"/>
        </w:rPr>
      </w:pPr>
      <w:r>
        <w:rPr>
          <w:rStyle w:val="EndnoteReference"/>
        </w:rPr>
        <w:endnoteRef/>
      </w:r>
      <w:r>
        <w:t xml:space="preserve"> Council of </w:t>
      </w:r>
      <w:r w:rsidRPr="009C3D77">
        <w:rPr>
          <w:rFonts w:cs="Arial"/>
        </w:rPr>
        <w:t xml:space="preserve">Australia Governments, </w:t>
      </w:r>
      <w:r w:rsidRPr="009C3D77">
        <w:rPr>
          <w:rFonts w:cs="Arial"/>
          <w:i/>
        </w:rPr>
        <w:t>National Disability Strategy 2010-2012</w:t>
      </w:r>
      <w:r w:rsidRPr="009C3D77">
        <w:rPr>
          <w:rFonts w:cs="Arial"/>
        </w:rPr>
        <w:t xml:space="preserve"> (2011) 41 (area 2.7).</w:t>
      </w:r>
    </w:p>
  </w:endnote>
  <w:endnote w:id="79">
    <w:p w14:paraId="189EBA9C" w14:textId="121CBE65" w:rsidR="003A3F5C" w:rsidRPr="009C3D77" w:rsidRDefault="003A3F5C" w:rsidP="009C3D77">
      <w:pPr>
        <w:pStyle w:val="EndnoteText"/>
        <w:rPr>
          <w:rFonts w:cs="Arial"/>
        </w:rPr>
      </w:pPr>
      <w:r w:rsidRPr="009C3D77">
        <w:rPr>
          <w:rStyle w:val="EndnoteReference"/>
          <w:rFonts w:cs="Arial"/>
        </w:rPr>
        <w:endnoteRef/>
      </w:r>
      <w:r w:rsidRPr="009C3D77">
        <w:rPr>
          <w:rFonts w:cs="Arial"/>
        </w:rPr>
        <w:t xml:space="preserve"> Council of Australia Governments, </w:t>
      </w:r>
      <w:r w:rsidRPr="009C3D77">
        <w:rPr>
          <w:rFonts w:cs="Arial"/>
          <w:i/>
        </w:rPr>
        <w:t>National Disability Strategy 2010-2012</w:t>
      </w:r>
      <w:r w:rsidRPr="009C3D77">
        <w:rPr>
          <w:rFonts w:cs="Arial"/>
        </w:rPr>
        <w:t xml:space="preserve"> (2011) 38.</w:t>
      </w:r>
    </w:p>
  </w:endnote>
  <w:endnote w:id="80">
    <w:p w14:paraId="3095FAB7" w14:textId="77777777" w:rsidR="003A3F5C" w:rsidRPr="009C3D77" w:rsidRDefault="003A3F5C" w:rsidP="00B5109A">
      <w:pPr>
        <w:pStyle w:val="EndnoteText"/>
        <w:rPr>
          <w:rFonts w:cs="Arial"/>
        </w:rPr>
      </w:pPr>
      <w:r w:rsidRPr="009C3D77">
        <w:rPr>
          <w:rStyle w:val="EndnoteReference"/>
          <w:rFonts w:cs="Arial"/>
        </w:rPr>
        <w:endnoteRef/>
      </w:r>
      <w:r w:rsidRPr="009C3D77">
        <w:rPr>
          <w:rFonts w:cs="Arial"/>
        </w:rPr>
        <w:t xml:space="preserve"> </w:t>
      </w:r>
      <w:r>
        <w:t xml:space="preserve">Attorney-General’s Department, Government of South Australia, </w:t>
      </w:r>
      <w:r w:rsidRPr="00164ACB">
        <w:rPr>
          <w:i/>
        </w:rPr>
        <w:t>Disability Justice Plan 2014-2017</w:t>
      </w:r>
      <w:r>
        <w:t xml:space="preserve"> (2014). </w:t>
      </w:r>
      <w:r>
        <w:rPr>
          <w:rFonts w:cs="Arial"/>
        </w:rPr>
        <w:t>A</w:t>
      </w:r>
      <w:r w:rsidRPr="009C3D77">
        <w:rPr>
          <w:rFonts w:cs="Arial"/>
        </w:rPr>
        <w:t>t http://www.agd.sa.gov.au/init</w:t>
      </w:r>
      <w:r>
        <w:rPr>
          <w:rFonts w:cs="Arial"/>
        </w:rPr>
        <w:t>iatives/disability-justice-plan (viewed 22 February 2016).</w:t>
      </w:r>
    </w:p>
  </w:endnote>
  <w:endnote w:id="81">
    <w:p w14:paraId="6F94E4B8" w14:textId="5AB6569A" w:rsidR="003A3F5C" w:rsidRPr="009C3D77" w:rsidRDefault="003A3F5C" w:rsidP="009C3D77">
      <w:pPr>
        <w:spacing w:before="0" w:after="0"/>
        <w:rPr>
          <w:rFonts w:eastAsia="Times New Roman" w:cs="Arial"/>
          <w:sz w:val="20"/>
          <w:szCs w:val="20"/>
        </w:rPr>
      </w:pPr>
      <w:r w:rsidRPr="009C3D77">
        <w:rPr>
          <w:rStyle w:val="EndnoteReference"/>
          <w:rFonts w:cs="Arial"/>
          <w:szCs w:val="20"/>
        </w:rPr>
        <w:endnoteRef/>
      </w:r>
      <w:r w:rsidRPr="009C3D77">
        <w:rPr>
          <w:rFonts w:cs="Arial"/>
          <w:sz w:val="20"/>
          <w:szCs w:val="20"/>
        </w:rPr>
        <w:t xml:space="preserve"> </w:t>
      </w:r>
      <w:r w:rsidRPr="009C3D77">
        <w:rPr>
          <w:rFonts w:eastAsia="Times New Roman" w:cs="Arial"/>
          <w:sz w:val="20"/>
          <w:szCs w:val="20"/>
        </w:rPr>
        <w:t xml:space="preserve"> </w:t>
      </w:r>
      <w:r w:rsidRPr="004312B2">
        <w:rPr>
          <w:rFonts w:eastAsia="Times New Roman" w:cs="Arial"/>
          <w:sz w:val="20"/>
          <w:szCs w:val="20"/>
        </w:rPr>
        <w:t>Law Reform Committee, Parliament of Victoria</w:t>
      </w:r>
      <w:r w:rsidRPr="007C7768">
        <w:rPr>
          <w:rFonts w:eastAsia="Times New Roman" w:cs="Arial"/>
          <w:i/>
          <w:sz w:val="20"/>
          <w:szCs w:val="20"/>
        </w:rPr>
        <w:t>, Inquiry into Access to and Interaction with the Justice System by People with an Intellectual Disability and their Families and Carers</w:t>
      </w:r>
      <w:r w:rsidRPr="004312B2">
        <w:rPr>
          <w:rFonts w:eastAsia="Times New Roman" w:cs="Arial"/>
          <w:sz w:val="20"/>
          <w:szCs w:val="20"/>
        </w:rPr>
        <w:t xml:space="preserve"> (2013) </w:t>
      </w:r>
      <w:r>
        <w:rPr>
          <w:rFonts w:eastAsia="Times New Roman" w:cs="Arial"/>
          <w:sz w:val="20"/>
          <w:szCs w:val="20"/>
        </w:rPr>
        <w:t>79-80</w:t>
      </w:r>
      <w:r w:rsidRPr="004312B2">
        <w:rPr>
          <w:rFonts w:eastAsia="Times New Roman" w:cs="Arial"/>
          <w:sz w:val="20"/>
          <w:szCs w:val="20"/>
        </w:rPr>
        <w:t>;</w:t>
      </w:r>
      <w:r w:rsidRPr="004312B2">
        <w:t xml:space="preserve"> </w:t>
      </w:r>
      <w:r w:rsidRPr="004312B2">
        <w:rPr>
          <w:rFonts w:eastAsia="Times New Roman" w:cs="Arial"/>
          <w:sz w:val="20"/>
          <w:szCs w:val="20"/>
        </w:rPr>
        <w:t xml:space="preserve">Victorian Law Reform Commission, </w:t>
      </w:r>
      <w:r w:rsidRPr="004312B2">
        <w:rPr>
          <w:rFonts w:eastAsia="Times New Roman" w:cs="Arial"/>
          <w:i/>
          <w:sz w:val="20"/>
          <w:szCs w:val="20"/>
        </w:rPr>
        <w:t xml:space="preserve">Review of the </w:t>
      </w:r>
      <w:r w:rsidRPr="004312B2">
        <w:rPr>
          <w:rFonts w:eastAsia="Times New Roman" w:cs="Arial"/>
          <w:sz w:val="20"/>
          <w:szCs w:val="20"/>
        </w:rPr>
        <w:t>Crimes (Mental Impairment and Unfitness to be Tried) Act 1997, Report No 28 (2014)</w:t>
      </w:r>
      <w:r w:rsidRPr="004312B2">
        <w:rPr>
          <w:rFonts w:cs="Arial"/>
          <w:sz w:val="20"/>
          <w:szCs w:val="20"/>
        </w:rPr>
        <w:t xml:space="preserve"> 91 (Rec 19); </w:t>
      </w:r>
      <w:r w:rsidRPr="001F789E">
        <w:rPr>
          <w:rFonts w:cs="Arial"/>
          <w:sz w:val="20"/>
          <w:szCs w:val="20"/>
        </w:rPr>
        <w:t xml:space="preserve">Law Commission (United Kingdom) </w:t>
      </w:r>
      <w:r w:rsidRPr="007C7768">
        <w:rPr>
          <w:rFonts w:cs="Arial"/>
          <w:i/>
          <w:sz w:val="20"/>
          <w:szCs w:val="20"/>
        </w:rPr>
        <w:t>Unfitness to Plead: Summary</w:t>
      </w:r>
      <w:r w:rsidRPr="001F789E">
        <w:rPr>
          <w:rFonts w:cs="Arial"/>
          <w:sz w:val="20"/>
          <w:szCs w:val="20"/>
        </w:rPr>
        <w:t xml:space="preserve"> (2016)</w:t>
      </w:r>
      <w:r>
        <w:rPr>
          <w:rFonts w:cs="Arial"/>
          <w:sz w:val="20"/>
          <w:szCs w:val="20"/>
        </w:rPr>
        <w:t xml:space="preserve"> </w:t>
      </w:r>
      <w:r w:rsidRPr="001F789E">
        <w:rPr>
          <w:rFonts w:cs="Arial"/>
          <w:sz w:val="20"/>
          <w:szCs w:val="20"/>
        </w:rPr>
        <w:t>9 -10. At http://www.lawcom.gov.uk/project/unfitness-to-plead/ (viewed 22 February 2016).</w:t>
      </w:r>
    </w:p>
  </w:endnote>
  <w:endnote w:id="82">
    <w:p w14:paraId="3E175F1B" w14:textId="77777777" w:rsidR="003A3F5C" w:rsidRPr="009C3D77" w:rsidRDefault="003A3F5C" w:rsidP="009C3D77">
      <w:pPr>
        <w:spacing w:before="0" w:after="0"/>
        <w:rPr>
          <w:rFonts w:cs="Arial"/>
          <w:sz w:val="20"/>
          <w:szCs w:val="20"/>
        </w:rPr>
      </w:pPr>
      <w:r w:rsidRPr="009C3D77">
        <w:rPr>
          <w:rStyle w:val="EndnoteReference"/>
          <w:rFonts w:cs="Arial"/>
          <w:szCs w:val="20"/>
        </w:rPr>
        <w:endnoteRef/>
      </w:r>
      <w:r w:rsidRPr="009C3D77">
        <w:rPr>
          <w:rFonts w:cs="Arial"/>
          <w:sz w:val="20"/>
          <w:szCs w:val="20"/>
        </w:rPr>
        <w:t xml:space="preserve"> Mindy Sotiri, Patrick McGee and Eileen Baldry, </w:t>
      </w:r>
      <w:r w:rsidRPr="009C3D77">
        <w:rPr>
          <w:rFonts w:cs="Arial"/>
          <w:i/>
          <w:sz w:val="20"/>
          <w:szCs w:val="20"/>
        </w:rPr>
        <w:t>No End in Sight: The Imprisonment, and indefinite detention of Indigenous Australians with A Cognitive Impairment</w:t>
      </w:r>
      <w:r w:rsidRPr="009C3D77">
        <w:rPr>
          <w:rFonts w:cs="Arial"/>
          <w:sz w:val="20"/>
          <w:szCs w:val="20"/>
        </w:rPr>
        <w:t xml:space="preserve"> (University of New South Wales, 2012) 13.</w:t>
      </w:r>
    </w:p>
  </w:endnote>
  <w:endnote w:id="83">
    <w:p w14:paraId="13FE315B" w14:textId="6E5896A2" w:rsidR="003A3F5C" w:rsidRPr="006860F7" w:rsidRDefault="003A3F5C" w:rsidP="009C3D77">
      <w:pPr>
        <w:spacing w:before="0" w:after="0"/>
        <w:rPr>
          <w:sz w:val="20"/>
          <w:szCs w:val="20"/>
        </w:rPr>
      </w:pPr>
      <w:r w:rsidRPr="009C3D77">
        <w:rPr>
          <w:rStyle w:val="EndnoteReference"/>
          <w:rFonts w:cs="Arial"/>
          <w:szCs w:val="20"/>
        </w:rPr>
        <w:endnoteRef/>
      </w:r>
      <w:r w:rsidRPr="009C3D77">
        <w:rPr>
          <w:rFonts w:cs="Arial"/>
          <w:sz w:val="20"/>
          <w:szCs w:val="20"/>
        </w:rPr>
        <w:t xml:space="preserve"> Guidance about the relevant principles and actions that should be included in a Disability Justice Strategy is contained in Chapter 4 of Australian</w:t>
      </w:r>
      <w:r w:rsidRPr="006860F7">
        <w:rPr>
          <w:sz w:val="20"/>
          <w:szCs w:val="20"/>
        </w:rPr>
        <w:t xml:space="preserve"> Human Rights Commission, </w:t>
      </w:r>
      <w:r w:rsidR="00762174">
        <w:rPr>
          <w:i/>
          <w:sz w:val="20"/>
          <w:szCs w:val="20"/>
        </w:rPr>
        <w:t>Equal b</w:t>
      </w:r>
      <w:r w:rsidRPr="006860F7">
        <w:rPr>
          <w:i/>
          <w:sz w:val="20"/>
          <w:szCs w:val="20"/>
        </w:rPr>
        <w:t>efore the Law: Towards Disability Justice Strategies</w:t>
      </w:r>
      <w:r w:rsidRPr="006860F7">
        <w:rPr>
          <w:sz w:val="20"/>
          <w:szCs w:val="20"/>
        </w:rPr>
        <w:t xml:space="preserve"> (2014).</w:t>
      </w:r>
    </w:p>
  </w:endnote>
  <w:endnote w:id="84">
    <w:p w14:paraId="75085171" w14:textId="638BCF3D" w:rsidR="003A3F5C" w:rsidRDefault="003A3F5C" w:rsidP="0082538F">
      <w:pPr>
        <w:pStyle w:val="EndnoteText"/>
      </w:pPr>
      <w:r>
        <w:rPr>
          <w:rStyle w:val="EndnoteReference"/>
        </w:rPr>
        <w:endnoteRef/>
      </w:r>
      <w:r>
        <w:t xml:space="preserve"> The term ‘reasonable adjustments’ is defined in the </w:t>
      </w:r>
      <w:r w:rsidRPr="0082538F">
        <w:rPr>
          <w:i/>
        </w:rPr>
        <w:t>Disability Discrimination Act 1992</w:t>
      </w:r>
      <w:r>
        <w:t xml:space="preserve"> (Cth): see ss 4(1) and 11. This definition generally aligns with the meaning of the term ‘reasonable accommodation’ which is used in the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2515 UNTS 3 (entered into force 3 May 2008) (see ar</w:t>
      </w:r>
      <w:r w:rsidR="00D90C11">
        <w:rPr>
          <w:color w:val="000000" w:themeColor="text1"/>
        </w:rPr>
        <w:t>t 2). ‘Reasonable accommodation</w:t>
      </w:r>
      <w:r>
        <w:rPr>
          <w:color w:val="000000" w:themeColor="text1"/>
        </w:rPr>
        <w:t>’ in the context of access to justice is specifically addressed in article 13 of the Convention.</w:t>
      </w:r>
    </w:p>
  </w:endnote>
  <w:endnote w:id="85">
    <w:p w14:paraId="0589EE77" w14:textId="49B29DBC" w:rsidR="003A3F5C" w:rsidRDefault="003A3F5C" w:rsidP="001C24E2">
      <w:pPr>
        <w:pStyle w:val="EndnoteText"/>
      </w:pPr>
      <w:r w:rsidRPr="006860F7">
        <w:rPr>
          <w:rStyle w:val="EndnoteReference"/>
        </w:rPr>
        <w:endnoteRef/>
      </w:r>
      <w:r w:rsidRPr="006860F7">
        <w:t xml:space="preserve"> </w:t>
      </w:r>
      <w:r>
        <w:t xml:space="preserve">See </w:t>
      </w:r>
      <w:r w:rsidRPr="009C3D77">
        <w:rPr>
          <w:rFonts w:cs="Arial"/>
          <w:i/>
        </w:rPr>
        <w:t>Disability Rights Now: Civil Society Report to the United Nations Committee on the Rights of Persons with Disabilities</w:t>
      </w:r>
      <w:r w:rsidRPr="009C3D77">
        <w:rPr>
          <w:rFonts w:cs="Arial"/>
        </w:rPr>
        <w:t xml:space="preserve"> (2012) </w:t>
      </w:r>
      <w:r w:rsidRPr="006C0BFC">
        <w:t>77-78.</w:t>
      </w:r>
    </w:p>
  </w:endnote>
  <w:endnote w:id="86">
    <w:p w14:paraId="178DF0EC" w14:textId="2DAFE6B0" w:rsidR="003A3F5C" w:rsidRDefault="003A3F5C" w:rsidP="001C24E2">
      <w:pPr>
        <w:pStyle w:val="EndnoteText"/>
      </w:pPr>
      <w:r>
        <w:rPr>
          <w:rStyle w:val="EndnoteReference"/>
        </w:rPr>
        <w:endnoteRef/>
      </w:r>
      <w:r>
        <w:t xml:space="preserve"> </w:t>
      </w:r>
      <w:r>
        <w:rPr>
          <w:i/>
          <w:color w:val="000000" w:themeColor="text1"/>
        </w:rPr>
        <w:t xml:space="preserve">Convention on the Rights of Persons with Disabilities, </w:t>
      </w:r>
      <w:r>
        <w:rPr>
          <w:color w:val="000000" w:themeColor="text1"/>
        </w:rPr>
        <w:t xml:space="preserve">opened for signature </w:t>
      </w:r>
      <w:r w:rsidRPr="005065DD">
        <w:rPr>
          <w:color w:val="000000" w:themeColor="text1"/>
        </w:rPr>
        <w:t>13 December 2006</w:t>
      </w:r>
      <w:r>
        <w:rPr>
          <w:color w:val="000000" w:themeColor="text1"/>
        </w:rPr>
        <w:t>, 2515 UNTS 3 (entered into force 3 May 2008) art 13(2).</w:t>
      </w:r>
    </w:p>
  </w:endnote>
  <w:endnote w:id="87">
    <w:p w14:paraId="3B604F39" w14:textId="1669C55B" w:rsidR="003A3F5C" w:rsidRPr="00426999" w:rsidRDefault="003A3F5C" w:rsidP="001C24E2">
      <w:pPr>
        <w:pStyle w:val="EndnoteText"/>
      </w:pPr>
      <w:r>
        <w:rPr>
          <w:rStyle w:val="EndnoteReference"/>
        </w:rPr>
        <w:endnoteRef/>
      </w:r>
      <w:r>
        <w:t xml:space="preserve"> </w:t>
      </w:r>
      <w:r>
        <w:rPr>
          <w:color w:val="000000" w:themeColor="text1"/>
        </w:rPr>
        <w:t xml:space="preserve">UN Committee on the Rights of Persons with Disabilities, </w:t>
      </w:r>
      <w:r>
        <w:rPr>
          <w:i/>
          <w:color w:val="000000" w:themeColor="text1"/>
        </w:rPr>
        <w:t>Concluding Observations on the initial report of Australia, adopted by the Committee at its tenth session (2–13 September 2013)</w:t>
      </w:r>
      <w:r>
        <w:rPr>
          <w:color w:val="000000" w:themeColor="text1"/>
        </w:rPr>
        <w:t>, UN Doc CRPD/C/AUS/CO/1 (</w:t>
      </w:r>
      <w:r w:rsidR="008A4B0D">
        <w:rPr>
          <w:color w:val="000000" w:themeColor="text1"/>
        </w:rPr>
        <w:t>2013), [28]</w:t>
      </w:r>
      <w:r>
        <w:rPr>
          <w:rStyle w:val="Hyperlink"/>
          <w:color w:val="000000" w:themeColor="text1"/>
          <w:u w:val="none"/>
        </w:rPr>
        <w:t xml:space="preserve">. </w:t>
      </w:r>
    </w:p>
  </w:endnote>
  <w:endnote w:id="88">
    <w:p w14:paraId="78CC0E1A" w14:textId="1C2A0C3C" w:rsidR="003A3F5C" w:rsidRDefault="003A3F5C" w:rsidP="001C24E2">
      <w:pPr>
        <w:pStyle w:val="EndnoteText"/>
      </w:pPr>
      <w:r>
        <w:rPr>
          <w:rStyle w:val="EndnoteReference"/>
        </w:rPr>
        <w:endnoteRef/>
      </w:r>
      <w:r>
        <w:t xml:space="preserve"> </w:t>
      </w:r>
      <w:r w:rsidRPr="00EC2E83">
        <w:t xml:space="preserve">Available at </w:t>
      </w:r>
      <w:hyperlink r:id="rId7" w:history="1">
        <w:r w:rsidRPr="00EC2E83">
          <w:rPr>
            <w:rStyle w:val="Hyperlink"/>
          </w:rPr>
          <w:t>http://www.judcom.nsw.gov.au/publicati</w:t>
        </w:r>
        <w:r w:rsidRPr="00EC2E83">
          <w:rPr>
            <w:rStyle w:val="Hyperlink"/>
          </w:rPr>
          <w:t>o</w:t>
        </w:r>
        <w:r w:rsidRPr="00EC2E83">
          <w:rPr>
            <w:rStyle w:val="Hyperlink"/>
          </w:rPr>
          <w:t>ns/benchbks/equality</w:t>
        </w:r>
      </w:hyperlink>
      <w:r w:rsidR="00876AD7">
        <w:t xml:space="preserve"> (viewed </w:t>
      </w:r>
      <w:r w:rsidR="006A1C48">
        <w:t>31 March 2016).</w:t>
      </w:r>
    </w:p>
  </w:endnote>
  <w:endnote w:id="89">
    <w:p w14:paraId="4FBC7A53" w14:textId="1A9C4DB6" w:rsidR="003A3F5C" w:rsidRDefault="003A3F5C">
      <w:pPr>
        <w:pStyle w:val="EndnoteText"/>
      </w:pPr>
      <w:r>
        <w:rPr>
          <w:rStyle w:val="EndnoteReference"/>
        </w:rPr>
        <w:endnoteRef/>
      </w:r>
      <w:r>
        <w:t xml:space="preserve"> Note however that in some jurisdictions this requirement only seems to apply to charges of indictable offences: see </w:t>
      </w:r>
      <w:r w:rsidRPr="005B19FE">
        <w:t xml:space="preserve">DLA Piper, </w:t>
      </w:r>
      <w:r w:rsidRPr="005B19FE">
        <w:rPr>
          <w:i/>
        </w:rPr>
        <w:t>Background Paper on Access to Justice for People with Disability in the Criminal Justice System</w:t>
      </w:r>
      <w:r w:rsidRPr="005B19FE">
        <w:t xml:space="preserve"> (2013)</w:t>
      </w:r>
      <w:r w:rsidR="00010733">
        <w:t xml:space="preserve"> s</w:t>
      </w:r>
      <w:r>
        <w:t xml:space="preserve">ection 4. At </w:t>
      </w:r>
      <w:r w:rsidRPr="004C2FFD">
        <w:t>https://www.humanrights.gov.au/our-work/disability-rights/projects/access-justice-criminal-justice-system-people-disability</w:t>
      </w:r>
      <w:r>
        <w:t xml:space="preserve"> (viewed 19 February 2016).</w:t>
      </w:r>
    </w:p>
  </w:endnote>
  <w:endnote w:id="90">
    <w:p w14:paraId="4F0D2F23" w14:textId="1714AFF0" w:rsidR="003A3F5C" w:rsidRPr="009C3D77" w:rsidRDefault="003A3F5C" w:rsidP="009C3D77">
      <w:pPr>
        <w:pStyle w:val="EndnoteText"/>
        <w:rPr>
          <w:rFonts w:cs="Arial"/>
        </w:rPr>
      </w:pPr>
      <w:r>
        <w:rPr>
          <w:rStyle w:val="EndnoteReference"/>
        </w:rPr>
        <w:endnoteRef/>
      </w:r>
      <w:r>
        <w:t xml:space="preserve"> </w:t>
      </w:r>
      <w:r w:rsidRPr="009C3D77">
        <w:rPr>
          <w:rFonts w:eastAsia="Times New Roman" w:cs="Arial"/>
          <w:i/>
          <w:iCs/>
        </w:rPr>
        <w:t xml:space="preserve">R v Presser </w:t>
      </w:r>
      <w:r w:rsidRPr="009C3D77">
        <w:rPr>
          <w:rFonts w:eastAsia="Times New Roman" w:cs="Arial"/>
        </w:rPr>
        <w:t xml:space="preserve">[1958] VR 45, 48; </w:t>
      </w:r>
      <w:r w:rsidRPr="009C3D77">
        <w:rPr>
          <w:rFonts w:cs="Arial"/>
          <w:i/>
        </w:rPr>
        <w:t>Eastman v R</w:t>
      </w:r>
      <w:r w:rsidRPr="009C3D77">
        <w:rPr>
          <w:rFonts w:cs="Arial"/>
        </w:rPr>
        <w:t xml:space="preserve"> (2000) 203 CLR 1 [64], [65], [316].</w:t>
      </w:r>
    </w:p>
  </w:endnote>
  <w:endnote w:id="91">
    <w:p w14:paraId="65622CB7" w14:textId="332B533A" w:rsidR="003A3F5C" w:rsidRPr="009C3D77" w:rsidRDefault="003A3F5C" w:rsidP="009C3D77">
      <w:pPr>
        <w:pStyle w:val="EndnoteText"/>
        <w:rPr>
          <w:rFonts w:cs="Arial"/>
        </w:rPr>
      </w:pPr>
      <w:r w:rsidRPr="009C3D77">
        <w:rPr>
          <w:rStyle w:val="EndnoteReference"/>
          <w:rFonts w:cs="Arial"/>
        </w:rPr>
        <w:endnoteRef/>
      </w:r>
      <w:r w:rsidRPr="009C3D77">
        <w:rPr>
          <w:rFonts w:cs="Arial"/>
        </w:rPr>
        <w:t xml:space="preserve"> See for example the requirements listed in </w:t>
      </w:r>
      <w:r w:rsidRPr="009C3D77">
        <w:rPr>
          <w:rFonts w:cs="Arial"/>
          <w:i/>
        </w:rPr>
        <w:t>Crimes (Mental Impairment and Unfitness to be Tried) Act 1997</w:t>
      </w:r>
      <w:r w:rsidRPr="009C3D77">
        <w:rPr>
          <w:rFonts w:cs="Arial"/>
        </w:rPr>
        <w:t xml:space="preserve"> (Vic) s 6(1).</w:t>
      </w:r>
    </w:p>
  </w:endnote>
  <w:endnote w:id="92">
    <w:p w14:paraId="0A35B14D" w14:textId="2A7984FB" w:rsidR="003A3F5C" w:rsidRPr="009C3D77" w:rsidRDefault="003A3F5C" w:rsidP="009C3D77">
      <w:pPr>
        <w:spacing w:before="0" w:after="0"/>
        <w:rPr>
          <w:rFonts w:eastAsia="Times New Roman" w:cs="Arial"/>
          <w:sz w:val="20"/>
          <w:szCs w:val="20"/>
        </w:rPr>
      </w:pPr>
      <w:r w:rsidRPr="009C3D77">
        <w:rPr>
          <w:rStyle w:val="EndnoteReference"/>
          <w:rFonts w:cs="Arial"/>
          <w:szCs w:val="20"/>
        </w:rPr>
        <w:endnoteRef/>
      </w:r>
      <w:r w:rsidRPr="009C3D77">
        <w:rPr>
          <w:rFonts w:cs="Arial"/>
          <w:sz w:val="20"/>
          <w:szCs w:val="20"/>
        </w:rPr>
        <w:t xml:space="preserve"> UN Committee on the Rights of Persons with Disabilities, </w:t>
      </w:r>
      <w:r w:rsidRPr="009C3D77">
        <w:rPr>
          <w:rFonts w:eastAsia="Times New Roman" w:cs="Arial"/>
          <w:i/>
          <w:iCs/>
          <w:sz w:val="20"/>
          <w:szCs w:val="20"/>
        </w:rPr>
        <w:t>Guidelines on article 14 of the Convention on the Rights of Persons with Disabilities</w:t>
      </w:r>
      <w:r>
        <w:rPr>
          <w:rFonts w:eastAsia="Times New Roman" w:cs="Arial"/>
          <w:sz w:val="20"/>
          <w:szCs w:val="20"/>
        </w:rPr>
        <w:t xml:space="preserve">, September 2015, </w:t>
      </w:r>
      <w:r w:rsidRPr="009C3D77">
        <w:rPr>
          <w:rFonts w:cs="Arial"/>
          <w:sz w:val="20"/>
          <w:szCs w:val="20"/>
        </w:rPr>
        <w:t>[16]</w:t>
      </w:r>
      <w:r>
        <w:rPr>
          <w:rFonts w:cs="Arial"/>
          <w:sz w:val="20"/>
          <w:szCs w:val="20"/>
        </w:rPr>
        <w:t>.</w:t>
      </w:r>
      <w:r w:rsidRPr="009C3D77">
        <w:rPr>
          <w:rFonts w:cs="Arial"/>
          <w:sz w:val="20"/>
          <w:szCs w:val="20"/>
        </w:rPr>
        <w:t xml:space="preserve"> </w:t>
      </w:r>
    </w:p>
  </w:endnote>
  <w:endnote w:id="93">
    <w:p w14:paraId="11632F40" w14:textId="7555A5CA" w:rsidR="003A3F5C" w:rsidRPr="009C3D77" w:rsidRDefault="003A3F5C" w:rsidP="009C3D77">
      <w:pPr>
        <w:pStyle w:val="EndnoteText"/>
        <w:rPr>
          <w:rFonts w:cs="Arial"/>
        </w:rPr>
      </w:pPr>
      <w:r w:rsidRPr="009C3D77">
        <w:rPr>
          <w:rStyle w:val="EndnoteReference"/>
          <w:rFonts w:cs="Arial"/>
        </w:rPr>
        <w:endnoteRef/>
      </w:r>
      <w:r w:rsidRPr="009C3D77">
        <w:rPr>
          <w:rFonts w:cs="Arial"/>
        </w:rPr>
        <w:t xml:space="preserve"> UN Committee on the Rights of Persons with Disabilities, </w:t>
      </w:r>
      <w:r w:rsidRPr="009C3D77">
        <w:rPr>
          <w:rFonts w:cs="Arial"/>
          <w:i/>
        </w:rPr>
        <w:t>General Comment No. 1 (2014): Article 12: Equal recognition before the law</w:t>
      </w:r>
      <w:r w:rsidRPr="009C3D77">
        <w:rPr>
          <w:rFonts w:cs="Arial"/>
        </w:rPr>
        <w:t xml:space="preserve">, UN Doc CRPD/C/GC/1 (19 May 2014) [13]-[15]. </w:t>
      </w:r>
    </w:p>
  </w:endnote>
  <w:endnote w:id="94">
    <w:p w14:paraId="24F4E6B7" w14:textId="0F72D32E" w:rsidR="003A3F5C" w:rsidRPr="008A6CBE" w:rsidRDefault="003A3F5C" w:rsidP="009C3D77">
      <w:pPr>
        <w:pStyle w:val="EndnoteText"/>
      </w:pPr>
      <w:r w:rsidRPr="009C3D77">
        <w:rPr>
          <w:rStyle w:val="EndnoteReference"/>
          <w:rFonts w:cs="Arial"/>
        </w:rPr>
        <w:endnoteRef/>
      </w:r>
      <w:r w:rsidRPr="009C3D77">
        <w:rPr>
          <w:rFonts w:cs="Arial"/>
        </w:rPr>
        <w:t xml:space="preserve"> UN Committee</w:t>
      </w:r>
      <w:r w:rsidRPr="008A6CBE">
        <w:t xml:space="preserve"> on the Rights of Persons with Disabilities, </w:t>
      </w:r>
      <w:r w:rsidRPr="008A6CBE">
        <w:rPr>
          <w:i/>
        </w:rPr>
        <w:t>General Comment No. 1 (2014): Article 12: Equal recognition before the law</w:t>
      </w:r>
      <w:r w:rsidRPr="008A6CBE">
        <w:t xml:space="preserve">, UN Doc CRPD/C/GC/1 (19 May 2014) [15]. </w:t>
      </w:r>
    </w:p>
  </w:endnote>
  <w:endnote w:id="95">
    <w:p w14:paraId="04ED08C3" w14:textId="306B66AF" w:rsidR="003A3F5C" w:rsidRDefault="003A3F5C">
      <w:pPr>
        <w:pStyle w:val="EndnoteText"/>
      </w:pPr>
      <w:r w:rsidRPr="008A6CBE">
        <w:rPr>
          <w:rStyle w:val="EndnoteReference"/>
        </w:rPr>
        <w:endnoteRef/>
      </w:r>
      <w:r w:rsidRPr="008A6CBE">
        <w:t xml:space="preserve"> UN Committee on the Rights of Persons with Disabilities, </w:t>
      </w:r>
      <w:r w:rsidRPr="008A6CBE">
        <w:rPr>
          <w:i/>
        </w:rPr>
        <w:t>General Comment No. 1 (2014): Article 12: Equal recognition before the law</w:t>
      </w:r>
      <w:r w:rsidRPr="008A6CBE">
        <w:t>, UN Doc CRPD/C/GC/1 (19 May 2014) [15].</w:t>
      </w:r>
    </w:p>
  </w:endnote>
  <w:endnote w:id="96">
    <w:p w14:paraId="3E2E51B9" w14:textId="17DB4E1E" w:rsidR="003A3F5C" w:rsidRDefault="003A3F5C" w:rsidP="00C62E94">
      <w:pPr>
        <w:pStyle w:val="EndnoteText"/>
      </w:pPr>
      <w:r>
        <w:rPr>
          <w:rStyle w:val="EndnoteReference"/>
        </w:rPr>
        <w:endnoteRef/>
      </w:r>
      <w:r>
        <w:t xml:space="preserve"> </w:t>
      </w:r>
      <w:r>
        <w:rPr>
          <w:color w:val="000000" w:themeColor="text1"/>
        </w:rPr>
        <w:t xml:space="preserve">UN Committee on the Rights of Persons with Disabilities, </w:t>
      </w:r>
      <w:r>
        <w:rPr>
          <w:i/>
          <w:color w:val="000000" w:themeColor="text1"/>
        </w:rPr>
        <w:t>Concluding Observations on the initial report of Australia, adopted by the Committee at its tenth session (2–13 September 2013)</w:t>
      </w:r>
      <w:r>
        <w:rPr>
          <w:color w:val="000000" w:themeColor="text1"/>
        </w:rPr>
        <w:t>, UN Doc CRPD/C/AUS/CO/1 (21 October 2013), [29].</w:t>
      </w:r>
    </w:p>
  </w:endnote>
  <w:endnote w:id="97">
    <w:p w14:paraId="4C2B8137" w14:textId="54258986" w:rsidR="003A3F5C" w:rsidRDefault="003A3F5C">
      <w:pPr>
        <w:pStyle w:val="EndnoteText"/>
      </w:pPr>
      <w:r>
        <w:rPr>
          <w:rStyle w:val="EndnoteReference"/>
        </w:rPr>
        <w:endnoteRef/>
      </w:r>
      <w:r>
        <w:t xml:space="preserve"> </w:t>
      </w:r>
      <w:r>
        <w:rPr>
          <w:color w:val="000000" w:themeColor="text1"/>
        </w:rPr>
        <w:t xml:space="preserve">UN Committee on the Rights of Persons with Disabilities, </w:t>
      </w:r>
      <w:r>
        <w:rPr>
          <w:i/>
          <w:color w:val="000000" w:themeColor="text1"/>
        </w:rPr>
        <w:t>Concluding Observations on the initial report of Australia, adopted by the Committee at its tenth session (2–13 September 2013)</w:t>
      </w:r>
      <w:r>
        <w:rPr>
          <w:color w:val="000000" w:themeColor="text1"/>
        </w:rPr>
        <w:t>, UN Doc CRPD/C/AUS/CO/1 (21 October 2013), [30].</w:t>
      </w:r>
    </w:p>
  </w:endnote>
  <w:endnote w:id="98">
    <w:p w14:paraId="6380360B" w14:textId="7210F70B" w:rsidR="003A3F5C" w:rsidRPr="00764A1D" w:rsidRDefault="003A3F5C" w:rsidP="00F15B62">
      <w:pPr>
        <w:spacing w:before="0" w:after="0"/>
        <w:rPr>
          <w:sz w:val="20"/>
          <w:szCs w:val="20"/>
        </w:rPr>
      </w:pPr>
      <w:r w:rsidRPr="00764A1D">
        <w:rPr>
          <w:rStyle w:val="EndnoteReference"/>
          <w:szCs w:val="20"/>
        </w:rPr>
        <w:endnoteRef/>
      </w:r>
      <w:r w:rsidRPr="00764A1D">
        <w:rPr>
          <w:sz w:val="20"/>
          <w:szCs w:val="20"/>
        </w:rPr>
        <w:t xml:space="preserve"> New South Wales Law Reform Commission, </w:t>
      </w:r>
      <w:r w:rsidRPr="00764A1D">
        <w:rPr>
          <w:i/>
          <w:sz w:val="20"/>
          <w:szCs w:val="20"/>
        </w:rPr>
        <w:t>People with cognitive and mental health impairments in the criminal justice system: Criminal responsibility and consequences</w:t>
      </w:r>
      <w:r w:rsidRPr="00764A1D">
        <w:rPr>
          <w:sz w:val="20"/>
          <w:szCs w:val="20"/>
        </w:rPr>
        <w:t xml:space="preserve">, Report No 138 (2013) 32-33; Australian Human Rights Commission, </w:t>
      </w:r>
      <w:r w:rsidR="00762174">
        <w:rPr>
          <w:i/>
          <w:sz w:val="20"/>
          <w:szCs w:val="20"/>
        </w:rPr>
        <w:t>Equal b</w:t>
      </w:r>
      <w:r w:rsidRPr="00764A1D">
        <w:rPr>
          <w:i/>
          <w:sz w:val="20"/>
          <w:szCs w:val="20"/>
        </w:rPr>
        <w:t>efore the Law: Towards Disability Justice Strategies</w:t>
      </w:r>
      <w:r w:rsidRPr="00764A1D">
        <w:rPr>
          <w:sz w:val="20"/>
          <w:szCs w:val="20"/>
        </w:rPr>
        <w:t xml:space="preserve"> (2014), section 3.3; Victorian Law Reform Commission, </w:t>
      </w:r>
      <w:r w:rsidRPr="00764A1D">
        <w:rPr>
          <w:i/>
          <w:sz w:val="20"/>
          <w:szCs w:val="20"/>
        </w:rPr>
        <w:t>Review of the</w:t>
      </w:r>
      <w:r w:rsidRPr="00764A1D">
        <w:rPr>
          <w:sz w:val="20"/>
          <w:szCs w:val="20"/>
        </w:rPr>
        <w:t xml:space="preserve"> Crimes (Mental Impairment and Unfitness to be Tried) Act 1997, Report No 28 (2014) </w:t>
      </w:r>
      <w:r>
        <w:rPr>
          <w:sz w:val="20"/>
          <w:szCs w:val="20"/>
        </w:rPr>
        <w:t>89</w:t>
      </w:r>
      <w:r w:rsidRPr="00764A1D">
        <w:rPr>
          <w:sz w:val="20"/>
          <w:szCs w:val="20"/>
        </w:rPr>
        <w:t>.</w:t>
      </w:r>
    </w:p>
  </w:endnote>
  <w:endnote w:id="99">
    <w:p w14:paraId="4F455C58" w14:textId="0741CE71" w:rsidR="003A3F5C" w:rsidRPr="000220F1" w:rsidRDefault="003A3F5C" w:rsidP="000220F1">
      <w:pPr>
        <w:spacing w:before="0" w:after="0"/>
        <w:rPr>
          <w:sz w:val="20"/>
          <w:szCs w:val="20"/>
        </w:rPr>
      </w:pPr>
      <w:r w:rsidRPr="00764A1D">
        <w:rPr>
          <w:rStyle w:val="EndnoteReference"/>
          <w:szCs w:val="20"/>
        </w:rPr>
        <w:endnoteRef/>
      </w:r>
      <w:r w:rsidRPr="00764A1D">
        <w:rPr>
          <w:sz w:val="20"/>
          <w:szCs w:val="20"/>
        </w:rPr>
        <w:t xml:space="preserve"> Australian Law Reform Commission, </w:t>
      </w:r>
      <w:r w:rsidRPr="00764A1D">
        <w:rPr>
          <w:i/>
          <w:sz w:val="20"/>
          <w:szCs w:val="20"/>
        </w:rPr>
        <w:t>Equality, Capacity and Disability in Commonwealth Laws</w:t>
      </w:r>
      <w:r w:rsidRPr="00764A1D">
        <w:rPr>
          <w:sz w:val="20"/>
          <w:szCs w:val="20"/>
        </w:rPr>
        <w:t xml:space="preserve">, Report No 124 (2014) </w:t>
      </w:r>
      <w:r w:rsidRPr="00B052DE">
        <w:rPr>
          <w:sz w:val="20"/>
          <w:szCs w:val="20"/>
        </w:rPr>
        <w:t>199.</w:t>
      </w:r>
    </w:p>
  </w:endnote>
  <w:endnote w:id="100">
    <w:p w14:paraId="57A5ECDE" w14:textId="3ACBCCC3" w:rsidR="003A3F5C" w:rsidRDefault="003A3F5C">
      <w:pPr>
        <w:pStyle w:val="EndnoteText"/>
      </w:pPr>
      <w:r>
        <w:rPr>
          <w:rStyle w:val="EndnoteReference"/>
        </w:rPr>
        <w:endnoteRef/>
      </w:r>
      <w:r>
        <w:t xml:space="preserve"> </w:t>
      </w:r>
      <w:r w:rsidRPr="00764A1D">
        <w:t xml:space="preserve">New South Wales Law Reform Commission, </w:t>
      </w:r>
      <w:r w:rsidRPr="00764A1D">
        <w:rPr>
          <w:i/>
        </w:rPr>
        <w:t>People with cognitive and mental health impairments in the criminal justice system: Criminal responsibility and consequences</w:t>
      </w:r>
      <w:r w:rsidRPr="00764A1D">
        <w:t>, Report No 138 (2013)</w:t>
      </w:r>
      <w:r w:rsidR="00512865">
        <w:t xml:space="preserve"> 35 (r</w:t>
      </w:r>
      <w:r>
        <w:t>ec 2.2</w:t>
      </w:r>
      <w:r w:rsidR="00512865">
        <w:t>)</w:t>
      </w:r>
      <w:r>
        <w:t xml:space="preserve">; </w:t>
      </w:r>
      <w:r w:rsidRPr="00764A1D">
        <w:t xml:space="preserve">Victorian Law Reform Commission, </w:t>
      </w:r>
      <w:r w:rsidRPr="00764A1D">
        <w:rPr>
          <w:i/>
        </w:rPr>
        <w:t>Review of the</w:t>
      </w:r>
      <w:r w:rsidRPr="00764A1D">
        <w:t xml:space="preserve"> Crimes (Mental Impairment and Unfitness to be Tried) Act 1997, Report No 28 (2014)</w:t>
      </w:r>
      <w:r>
        <w:t xml:space="preserve"> 89 (rec 18); </w:t>
      </w:r>
      <w:r w:rsidRPr="00764A1D">
        <w:t xml:space="preserve">Australian Law Reform Commission, </w:t>
      </w:r>
      <w:r w:rsidRPr="00764A1D">
        <w:rPr>
          <w:i/>
        </w:rPr>
        <w:t>Equality, Capacity and Disability in Commonwealth Laws</w:t>
      </w:r>
      <w:r w:rsidRPr="00764A1D">
        <w:t>, Report No 124 (2014)</w:t>
      </w:r>
      <w:r>
        <w:t xml:space="preserve"> </w:t>
      </w:r>
      <w:r w:rsidR="00A306A6">
        <w:t>200-201 (</w:t>
      </w:r>
      <w:r>
        <w:t>rec 7-1</w:t>
      </w:r>
      <w:r w:rsidR="00A306A6">
        <w:t>)</w:t>
      </w:r>
      <w:r>
        <w:t xml:space="preserve">;  </w:t>
      </w:r>
      <w:r w:rsidRPr="00973C87">
        <w:t xml:space="preserve">Law Commission (United Kingdom), </w:t>
      </w:r>
      <w:r w:rsidRPr="00973C87">
        <w:rPr>
          <w:i/>
        </w:rPr>
        <w:t>Unfitness to Plead Volume 1: Report</w:t>
      </w:r>
      <w:r w:rsidRPr="00973C87">
        <w:t>, Report No 364 (2016) ch 3.</w:t>
      </w:r>
    </w:p>
  </w:endnote>
  <w:endnote w:id="101">
    <w:p w14:paraId="70991316" w14:textId="6E6E5F9A" w:rsidR="003A3F5C" w:rsidRDefault="003A3F5C">
      <w:pPr>
        <w:pStyle w:val="EndnoteText"/>
      </w:pPr>
      <w:r>
        <w:rPr>
          <w:rStyle w:val="EndnoteReference"/>
        </w:rPr>
        <w:endnoteRef/>
      </w:r>
      <w:r>
        <w:t xml:space="preserve"> </w:t>
      </w:r>
      <w:r w:rsidRPr="00A236F5">
        <w:t xml:space="preserve">New South Wales Law Reform Commission, </w:t>
      </w:r>
      <w:r w:rsidRPr="00936A86">
        <w:rPr>
          <w:i/>
        </w:rPr>
        <w:t>People with cognitive and mental health impairments in the criminal justice system: Criminal responsibility and consequences</w:t>
      </w:r>
      <w:r w:rsidRPr="00A236F5">
        <w:t>, Report No 138 (2013)</w:t>
      </w:r>
      <w:r>
        <w:t xml:space="preserve"> 33;</w:t>
      </w:r>
      <w:r>
        <w:rPr>
          <w:highlight w:val="yellow"/>
        </w:rPr>
        <w:t xml:space="preserve"> </w:t>
      </w:r>
      <w:r w:rsidRPr="00A236F5">
        <w:t>Law Commission (United Kingdom)</w:t>
      </w:r>
      <w:r>
        <w:t>,</w:t>
      </w:r>
      <w:r w:rsidRPr="00A236F5">
        <w:t xml:space="preserve"> </w:t>
      </w:r>
      <w:r w:rsidRPr="00936A86">
        <w:rPr>
          <w:i/>
        </w:rPr>
        <w:t>Unfitness to Plead: Summary</w:t>
      </w:r>
      <w:r w:rsidRPr="00A236F5">
        <w:t xml:space="preserve"> (2016)</w:t>
      </w:r>
      <w:r>
        <w:t xml:space="preserve"> 4</w:t>
      </w:r>
      <w:r w:rsidRPr="00A236F5">
        <w:t>.</w:t>
      </w:r>
      <w:r>
        <w:t xml:space="preserve"> </w:t>
      </w:r>
      <w:r w:rsidRPr="00A236F5">
        <w:t xml:space="preserve">Victorian Law Reform Commission, </w:t>
      </w:r>
      <w:r w:rsidRPr="00A236F5">
        <w:rPr>
          <w:i/>
        </w:rPr>
        <w:t>Review of the</w:t>
      </w:r>
      <w:r w:rsidRPr="00A236F5">
        <w:t xml:space="preserve"> Crimes (Mental Impairment and Unfitness to be Tried) Act 1997, Report No 28 (2014)</w:t>
      </w:r>
      <w:r>
        <w:t xml:space="preserve"> 89.</w:t>
      </w:r>
    </w:p>
  </w:endnote>
  <w:endnote w:id="102">
    <w:p w14:paraId="44C25F31" w14:textId="7EB9DEE8" w:rsidR="003A3F5C" w:rsidRDefault="003A3F5C">
      <w:pPr>
        <w:pStyle w:val="EndnoteText"/>
      </w:pPr>
      <w:r>
        <w:rPr>
          <w:rStyle w:val="EndnoteReference"/>
        </w:rPr>
        <w:endnoteRef/>
      </w:r>
      <w:r w:rsidRPr="00B16AB3">
        <w:t xml:space="preserve">Australian Law Reform Commission, </w:t>
      </w:r>
      <w:r w:rsidRPr="00936A86">
        <w:rPr>
          <w:i/>
        </w:rPr>
        <w:t>Equality, Capacity and Disability in Commonwealth Laws</w:t>
      </w:r>
      <w:r w:rsidRPr="00B16AB3">
        <w:t>, Report No 124 (2014)</w:t>
      </w:r>
      <w:r>
        <w:t xml:space="preserve"> 196</w:t>
      </w:r>
      <w:r w:rsidRPr="00B16AB3">
        <w:t>.</w:t>
      </w:r>
      <w:r>
        <w:t xml:space="preserve"> See on this latter point </w:t>
      </w:r>
      <w:r w:rsidRPr="00893D5C">
        <w:rPr>
          <w:i/>
        </w:rPr>
        <w:t>Kesavarajah v R</w:t>
      </w:r>
      <w:r>
        <w:t xml:space="preserve"> (1994) 181 CLR 230 [3] (per Deane and Dawson JJ); </w:t>
      </w:r>
      <w:r w:rsidRPr="00553157">
        <w:rPr>
          <w:i/>
        </w:rPr>
        <w:t>Eastman v The Queen</w:t>
      </w:r>
      <w:r w:rsidRPr="00B07AF2">
        <w:t xml:space="preserve"> </w:t>
      </w:r>
      <w:r>
        <w:t>(2000) 203 CLR 1, [24] (per Gleeson CJ).</w:t>
      </w:r>
    </w:p>
  </w:endnote>
  <w:endnote w:id="103">
    <w:p w14:paraId="57B794C8" w14:textId="20C1B026" w:rsidR="003A3F5C" w:rsidRPr="00D91D57" w:rsidRDefault="003A3F5C">
      <w:pPr>
        <w:pStyle w:val="EndnoteText"/>
      </w:pPr>
      <w:r w:rsidRPr="00B07AF2">
        <w:rPr>
          <w:rStyle w:val="EndnoteReference"/>
        </w:rPr>
        <w:endnoteRef/>
      </w:r>
      <w:r w:rsidRPr="00B07AF2">
        <w:rPr>
          <w:rStyle w:val="EndnoteReference"/>
        </w:rPr>
        <w:t xml:space="preserve"> </w:t>
      </w:r>
      <w:r w:rsidRPr="00B16AB3">
        <w:t xml:space="preserve">Australian Law Reform Commission, </w:t>
      </w:r>
      <w:r w:rsidRPr="00D91D57">
        <w:rPr>
          <w:i/>
        </w:rPr>
        <w:t>Equality, Capacity and Disability in Commonwealth Laws</w:t>
      </w:r>
      <w:r w:rsidRPr="00B16AB3">
        <w:t xml:space="preserve">, Report </w:t>
      </w:r>
      <w:r w:rsidRPr="00D91D57">
        <w:t>No 124 (2014) 192, 201.</w:t>
      </w:r>
    </w:p>
  </w:endnote>
  <w:endnote w:id="104">
    <w:p w14:paraId="21921FFC" w14:textId="011AEE4A" w:rsidR="003A3F5C" w:rsidRPr="009C3D77" w:rsidRDefault="003A3F5C" w:rsidP="009C3D77">
      <w:pPr>
        <w:pStyle w:val="EndnoteText"/>
        <w:rPr>
          <w:rFonts w:cs="Arial"/>
        </w:rPr>
      </w:pPr>
      <w:r w:rsidRPr="00D91D57">
        <w:rPr>
          <w:rStyle w:val="EndnoteReference"/>
        </w:rPr>
        <w:endnoteRef/>
      </w:r>
      <w:r w:rsidRPr="00D91D57">
        <w:t xml:space="preserve"> Victorian Law Reform Commission, </w:t>
      </w:r>
      <w:r w:rsidRPr="00D91D57">
        <w:rPr>
          <w:i/>
        </w:rPr>
        <w:t>Review of the</w:t>
      </w:r>
      <w:r w:rsidRPr="00D91D57">
        <w:t xml:space="preserve"> Crimes (Mental Impairment and Unfitness to be Tried) Act 1997, Report No 28 (2014) 89.</w:t>
      </w:r>
      <w:r>
        <w:t xml:space="preserve"> </w:t>
      </w:r>
    </w:p>
  </w:endnote>
  <w:endnote w:id="105">
    <w:p w14:paraId="23010477" w14:textId="2D4F1F00" w:rsidR="003A3F5C" w:rsidRPr="009C3D77" w:rsidRDefault="003A3F5C" w:rsidP="009C3D77">
      <w:pPr>
        <w:spacing w:before="0" w:after="0"/>
        <w:rPr>
          <w:rFonts w:cs="Arial"/>
          <w:sz w:val="20"/>
          <w:szCs w:val="20"/>
        </w:rPr>
      </w:pPr>
      <w:r w:rsidRPr="009C3D77">
        <w:rPr>
          <w:rStyle w:val="EndnoteReference"/>
          <w:rFonts w:cs="Arial"/>
          <w:szCs w:val="20"/>
        </w:rPr>
        <w:endnoteRef/>
      </w:r>
      <w:r w:rsidRPr="009C3D77">
        <w:rPr>
          <w:rFonts w:cs="Arial"/>
          <w:sz w:val="20"/>
          <w:szCs w:val="20"/>
        </w:rPr>
        <w:t xml:space="preserve"> Law Reform Committee, Parliament of Victoria, </w:t>
      </w:r>
      <w:r w:rsidRPr="009C3D77">
        <w:rPr>
          <w:rFonts w:cs="Arial"/>
          <w:i/>
          <w:sz w:val="20"/>
          <w:szCs w:val="20"/>
        </w:rPr>
        <w:t xml:space="preserve">Inquiry into Access to and Interaction with the Justice System by People with an Intellectual Disability and their Families and Carers </w:t>
      </w:r>
      <w:r>
        <w:rPr>
          <w:rFonts w:cs="Arial"/>
          <w:sz w:val="20"/>
          <w:szCs w:val="20"/>
        </w:rPr>
        <w:t>(2013) 226.</w:t>
      </w:r>
    </w:p>
  </w:endnote>
  <w:endnote w:id="106">
    <w:p w14:paraId="260628C0" w14:textId="77777777" w:rsidR="003C7C6A" w:rsidRPr="009C3D77" w:rsidRDefault="003C7C6A" w:rsidP="003C7C6A">
      <w:pPr>
        <w:pStyle w:val="EndnoteText"/>
        <w:rPr>
          <w:rFonts w:cs="Arial"/>
        </w:rPr>
      </w:pPr>
      <w:r w:rsidRPr="009C3D77">
        <w:rPr>
          <w:rStyle w:val="EndnoteReference"/>
          <w:rFonts w:cs="Arial"/>
        </w:rPr>
        <w:endnoteRef/>
      </w:r>
      <w:r w:rsidRPr="009C3D77">
        <w:rPr>
          <w:rFonts w:cs="Arial"/>
        </w:rPr>
        <w:t xml:space="preserve"> </w:t>
      </w:r>
      <w:r w:rsidRPr="00D91D57">
        <w:t>Victorian Law Reform Commission</w:t>
      </w:r>
      <w:r w:rsidRPr="003040A1">
        <w:t xml:space="preserve">, </w:t>
      </w:r>
      <w:r w:rsidRPr="003040A1">
        <w:rPr>
          <w:i/>
        </w:rPr>
        <w:t>Review of the</w:t>
      </w:r>
      <w:r w:rsidRPr="003040A1">
        <w:t xml:space="preserve"> Crimes (Mental Impairment and Unfitness to be Tried) Act 1997, Report No 28 (2014) 89</w:t>
      </w:r>
      <w:r w:rsidRPr="003040A1">
        <w:rPr>
          <w:rFonts w:eastAsia="Times New Roman" w:cs="Arial"/>
        </w:rPr>
        <w:t xml:space="preserve"> (rec 18).</w:t>
      </w:r>
    </w:p>
  </w:endnote>
  <w:endnote w:id="107">
    <w:p w14:paraId="265231C4" w14:textId="71B44186" w:rsidR="003A3F5C" w:rsidRDefault="003A3F5C">
      <w:pPr>
        <w:pStyle w:val="EndnoteText"/>
      </w:pPr>
      <w:r>
        <w:rPr>
          <w:rStyle w:val="EndnoteReference"/>
        </w:rPr>
        <w:endnoteRef/>
      </w:r>
      <w:r>
        <w:t xml:space="preserve"> See for example </w:t>
      </w:r>
      <w:r w:rsidRPr="00D91D57">
        <w:t>Victorian Law Reform Commission</w:t>
      </w:r>
      <w:r w:rsidRPr="003040A1">
        <w:t xml:space="preserve">, </w:t>
      </w:r>
      <w:r w:rsidRPr="003040A1">
        <w:rPr>
          <w:i/>
        </w:rPr>
        <w:t>Review of the</w:t>
      </w:r>
      <w:r w:rsidRPr="003040A1">
        <w:t xml:space="preserve"> Crimes (Mental Impairment and Unfitness to be Tried) </w:t>
      </w:r>
      <w:r>
        <w:t>Act 1997, Report No 28 (2014) 96</w:t>
      </w:r>
      <w:r>
        <w:rPr>
          <w:rFonts w:eastAsia="Times New Roman" w:cs="Arial"/>
        </w:rPr>
        <w:t xml:space="preserve"> (rec 22</w:t>
      </w:r>
      <w:r w:rsidRPr="003040A1">
        <w:rPr>
          <w:rFonts w:eastAsia="Times New Roman" w:cs="Arial"/>
        </w:rPr>
        <w:t>).</w:t>
      </w:r>
    </w:p>
  </w:endnote>
  <w:endnote w:id="108">
    <w:p w14:paraId="513C917E" w14:textId="4D861B79" w:rsidR="003A3F5C" w:rsidRPr="009C3D77" w:rsidRDefault="003A3F5C" w:rsidP="009C3D77">
      <w:pPr>
        <w:pStyle w:val="EndnoteText"/>
        <w:rPr>
          <w:rFonts w:cs="Arial"/>
        </w:rPr>
      </w:pPr>
      <w:r w:rsidRPr="003040A1">
        <w:rPr>
          <w:rStyle w:val="EndnoteReference"/>
          <w:rFonts w:cs="Arial"/>
        </w:rPr>
        <w:endnoteRef/>
      </w:r>
      <w:r w:rsidRPr="003040A1">
        <w:rPr>
          <w:rFonts w:cs="Arial"/>
        </w:rPr>
        <w:t xml:space="preserve"> </w:t>
      </w:r>
      <w:r w:rsidRPr="003040A1">
        <w:t xml:space="preserve">Law Commission (United Kingdom), </w:t>
      </w:r>
      <w:r w:rsidRPr="003040A1">
        <w:rPr>
          <w:i/>
        </w:rPr>
        <w:t>Unfitness to Plead: Summary</w:t>
      </w:r>
      <w:r w:rsidRPr="003040A1">
        <w:t xml:space="preserve"> (2016) 4.</w:t>
      </w:r>
    </w:p>
  </w:endnote>
  <w:endnote w:id="109">
    <w:p w14:paraId="1C538A1A" w14:textId="57B1A75D" w:rsidR="003A3F5C" w:rsidRPr="003C4211" w:rsidRDefault="003A3F5C" w:rsidP="009C3D77">
      <w:pPr>
        <w:pStyle w:val="EndnoteText"/>
      </w:pPr>
      <w:r w:rsidRPr="009C3D77">
        <w:rPr>
          <w:rStyle w:val="EndnoteReference"/>
          <w:rFonts w:cs="Arial"/>
        </w:rPr>
        <w:endnoteRef/>
      </w:r>
      <w:r w:rsidRPr="009C3D77">
        <w:rPr>
          <w:rFonts w:cs="Arial"/>
        </w:rPr>
        <w:t xml:space="preserve"> </w:t>
      </w:r>
      <w:r w:rsidRPr="004D7659">
        <w:rPr>
          <w:rFonts w:cs="Arial"/>
          <w:i/>
        </w:rPr>
        <w:t>Crimes Act 1900</w:t>
      </w:r>
      <w:r w:rsidRPr="009C3D77">
        <w:rPr>
          <w:rFonts w:cs="Arial"/>
        </w:rPr>
        <w:t xml:space="preserve"> (ACT) s</w:t>
      </w:r>
      <w:r w:rsidR="00D12AE9">
        <w:rPr>
          <w:rFonts w:cs="Arial"/>
        </w:rPr>
        <w:t>s</w:t>
      </w:r>
      <w:r w:rsidRPr="009C3D77">
        <w:rPr>
          <w:rFonts w:cs="Arial"/>
        </w:rPr>
        <w:t xml:space="preserve"> 315C, </w:t>
      </w:r>
      <w:proofErr w:type="gramStart"/>
      <w:r w:rsidRPr="009C3D77">
        <w:rPr>
          <w:rFonts w:cs="Arial"/>
        </w:rPr>
        <w:t>315D(</w:t>
      </w:r>
      <w:proofErr w:type="gramEnd"/>
      <w:r w:rsidRPr="009C3D77">
        <w:rPr>
          <w:rFonts w:cs="Arial"/>
        </w:rPr>
        <w:t>9)(ii) and 316</w:t>
      </w:r>
      <w:r>
        <w:rPr>
          <w:rFonts w:cs="Arial"/>
        </w:rPr>
        <w:t xml:space="preserve">; </w:t>
      </w:r>
      <w:r w:rsidRPr="00B70449">
        <w:rPr>
          <w:rFonts w:cs="Arial"/>
          <w:i/>
        </w:rPr>
        <w:t xml:space="preserve">Mental Health (Forensic Provisions) Act 1990 </w:t>
      </w:r>
      <w:r w:rsidRPr="00B70449">
        <w:rPr>
          <w:rFonts w:cs="Arial"/>
        </w:rPr>
        <w:t xml:space="preserve">(NSW), ss 16 and 19; </w:t>
      </w:r>
      <w:r>
        <w:rPr>
          <w:rFonts w:cs="Arial"/>
          <w:i/>
        </w:rPr>
        <w:t xml:space="preserve">Criminal </w:t>
      </w:r>
      <w:r w:rsidRPr="003C4211">
        <w:rPr>
          <w:rFonts w:cs="Arial"/>
          <w:i/>
        </w:rPr>
        <w:t>Code (</w:t>
      </w:r>
      <w:r w:rsidRPr="003C4211">
        <w:rPr>
          <w:rFonts w:cs="Arial"/>
        </w:rPr>
        <w:t xml:space="preserve">NT) s 43R(3) and 9(b); </w:t>
      </w:r>
      <w:r w:rsidRPr="003C4211">
        <w:rPr>
          <w:rFonts w:cs="Arial"/>
          <w:i/>
        </w:rPr>
        <w:t xml:space="preserve">Criminal Justice (Mental Impairment) Act 1999 </w:t>
      </w:r>
      <w:r w:rsidR="00D12AE9">
        <w:rPr>
          <w:rFonts w:cs="Arial"/>
        </w:rPr>
        <w:t>(Tas)</w:t>
      </w:r>
      <w:r w:rsidRPr="003C4211">
        <w:rPr>
          <w:rFonts w:cs="Arial"/>
        </w:rPr>
        <w:t xml:space="preserve"> s 15</w:t>
      </w:r>
      <w:r w:rsidRPr="003C4211">
        <w:t xml:space="preserve">; </w:t>
      </w:r>
      <w:r w:rsidRPr="003C4211">
        <w:rPr>
          <w:rFonts w:cs="Arial"/>
          <w:i/>
        </w:rPr>
        <w:t>Crimes (Mental Impairment and Unfitness to be Tried) Act 1997</w:t>
      </w:r>
      <w:r w:rsidR="00D12AE9">
        <w:rPr>
          <w:rFonts w:cs="Arial"/>
        </w:rPr>
        <w:t xml:space="preserve"> (Vic) s 12(5).</w:t>
      </w:r>
    </w:p>
  </w:endnote>
  <w:endnote w:id="110">
    <w:p w14:paraId="31C472E6" w14:textId="5A79069B" w:rsidR="003A3F5C" w:rsidRDefault="003A3F5C">
      <w:pPr>
        <w:pStyle w:val="EndnoteText"/>
      </w:pPr>
      <w:r>
        <w:rPr>
          <w:rStyle w:val="EndnoteReference"/>
        </w:rPr>
        <w:endnoteRef/>
      </w:r>
      <w:r>
        <w:t xml:space="preserve"> </w:t>
      </w:r>
      <w:r w:rsidRPr="000637F3">
        <w:rPr>
          <w:rFonts w:cs="Arial"/>
        </w:rPr>
        <w:t xml:space="preserve">New South Wales Law Reform Commission, </w:t>
      </w:r>
      <w:r w:rsidRPr="000637F3">
        <w:rPr>
          <w:rFonts w:cs="Arial"/>
          <w:i/>
        </w:rPr>
        <w:t>People with cognitive and mental health impairments in the criminal justice system: Criminal responsibility and consequences</w:t>
      </w:r>
      <w:r w:rsidRPr="000637F3">
        <w:rPr>
          <w:rFonts w:cs="Arial"/>
        </w:rPr>
        <w:t>, Report No 138 (2013)</w:t>
      </w:r>
      <w:r>
        <w:rPr>
          <w:rFonts w:cs="Arial"/>
        </w:rPr>
        <w:t xml:space="preserve"> 141.</w:t>
      </w:r>
    </w:p>
  </w:endnote>
  <w:endnote w:id="111">
    <w:p w14:paraId="581AD0A2" w14:textId="5A444865" w:rsidR="003A3F5C" w:rsidRDefault="003A3F5C">
      <w:pPr>
        <w:pStyle w:val="EndnoteText"/>
      </w:pPr>
      <w:r>
        <w:rPr>
          <w:rStyle w:val="EndnoteReference"/>
        </w:rPr>
        <w:endnoteRef/>
      </w:r>
      <w:r>
        <w:t xml:space="preserve"> </w:t>
      </w:r>
      <w:r w:rsidRPr="000637F3">
        <w:rPr>
          <w:rFonts w:cs="Arial"/>
        </w:rPr>
        <w:t xml:space="preserve">New South Wales Law Reform Commission, </w:t>
      </w:r>
      <w:r w:rsidRPr="000637F3">
        <w:rPr>
          <w:rFonts w:cs="Arial"/>
          <w:i/>
        </w:rPr>
        <w:t>People with cognitive and mental health impairments in the criminal justice system: Criminal responsibility and consequences</w:t>
      </w:r>
      <w:r w:rsidRPr="000637F3">
        <w:rPr>
          <w:rFonts w:cs="Arial"/>
        </w:rPr>
        <w:t>, Report No 138 (2013)</w:t>
      </w:r>
      <w:r>
        <w:rPr>
          <w:rFonts w:cs="Arial"/>
        </w:rPr>
        <w:t xml:space="preserve"> 141; </w:t>
      </w:r>
      <w:r w:rsidRPr="00D91D57">
        <w:t>Victorian Law Reform Commission</w:t>
      </w:r>
      <w:r w:rsidRPr="003040A1">
        <w:t xml:space="preserve">, </w:t>
      </w:r>
      <w:r w:rsidRPr="003040A1">
        <w:rPr>
          <w:i/>
        </w:rPr>
        <w:t>Review of the</w:t>
      </w:r>
      <w:r w:rsidRPr="003040A1">
        <w:t xml:space="preserve"> Crimes (Mental Impairment and Unfitness to be Tried) Act 1997, Report No 28 (2014)</w:t>
      </w:r>
      <w:r>
        <w:t xml:space="preserve"> x and 3.</w:t>
      </w:r>
    </w:p>
  </w:endnote>
  <w:endnote w:id="112">
    <w:p w14:paraId="7A32103D" w14:textId="0963C5D9" w:rsidR="003A3F5C" w:rsidRDefault="003A3F5C">
      <w:pPr>
        <w:pStyle w:val="EndnoteText"/>
      </w:pPr>
      <w:r w:rsidRPr="003C4211">
        <w:rPr>
          <w:rStyle w:val="EndnoteReference"/>
        </w:rPr>
        <w:endnoteRef/>
      </w:r>
      <w:r w:rsidRPr="003C4211">
        <w:t xml:space="preserve"> Crimes Act 1900 (ACT) s 316(1) and (8); </w:t>
      </w:r>
      <w:r w:rsidRPr="003C4211">
        <w:rPr>
          <w:i/>
        </w:rPr>
        <w:t>Mental Health (Forensic Provisions) Act 1990</w:t>
      </w:r>
      <w:r w:rsidRPr="003C4211">
        <w:t xml:space="preserve"> s 21; </w:t>
      </w:r>
      <w:r w:rsidRPr="003C4211">
        <w:rPr>
          <w:i/>
        </w:rPr>
        <w:t>Criminal Code</w:t>
      </w:r>
      <w:r w:rsidRPr="003C4211">
        <w:t xml:space="preserve"> (NT) </w:t>
      </w:r>
      <w:r w:rsidR="00BB3143">
        <w:t xml:space="preserve">s </w:t>
      </w:r>
      <w:r w:rsidRPr="003C4211">
        <w:t xml:space="preserve">43W(1) and (2); </w:t>
      </w:r>
      <w:r w:rsidRPr="003C4211">
        <w:rPr>
          <w:i/>
        </w:rPr>
        <w:t>Criminal Justice (Mental Impairment) Act 1999</w:t>
      </w:r>
      <w:r w:rsidRPr="003C4211">
        <w:t xml:space="preserve"> (Tas), s 16(1) and (3)(a); </w:t>
      </w:r>
      <w:r w:rsidRPr="003C4211">
        <w:rPr>
          <w:i/>
        </w:rPr>
        <w:t>Crimes (Mental Impairment and Unfitness to be Tried) Act 1997</w:t>
      </w:r>
      <w:r w:rsidRPr="003C4211">
        <w:t xml:space="preserve"> (Vic) s 16(1) and (2).</w:t>
      </w:r>
    </w:p>
  </w:endnote>
  <w:endnote w:id="113">
    <w:p w14:paraId="01B946EF" w14:textId="1E4B412B" w:rsidR="003A3F5C" w:rsidRDefault="003A3F5C" w:rsidP="001F6743">
      <w:pPr>
        <w:pStyle w:val="EndnoteText"/>
      </w:pPr>
      <w:r>
        <w:rPr>
          <w:rStyle w:val="EndnoteReference"/>
        </w:rPr>
        <w:endnoteRef/>
      </w:r>
      <w:r>
        <w:t xml:space="preserve"> </w:t>
      </w:r>
      <w:r w:rsidRPr="005A7ED7">
        <w:t xml:space="preserve">New South Wales Law Reform Commission, </w:t>
      </w:r>
      <w:r w:rsidRPr="005A7ED7">
        <w:rPr>
          <w:i/>
        </w:rPr>
        <w:t>People with cognitive and mental health impairments in the criminal justice system: Criminal responsibility and consequences</w:t>
      </w:r>
      <w:r w:rsidRPr="005A7ED7">
        <w:t>, Repor</w:t>
      </w:r>
      <w:r>
        <w:t>t No 138 (2013</w:t>
      </w:r>
      <w:r w:rsidRPr="006258AB">
        <w:t>) 148.</w:t>
      </w:r>
    </w:p>
  </w:endnote>
  <w:endnote w:id="114">
    <w:p w14:paraId="7B23BF63" w14:textId="667939C2" w:rsidR="003A3F5C" w:rsidRDefault="003A3F5C" w:rsidP="00491B62">
      <w:pPr>
        <w:pStyle w:val="EndnoteText"/>
      </w:pPr>
      <w:r>
        <w:rPr>
          <w:rStyle w:val="EndnoteReference"/>
        </w:rPr>
        <w:endnoteRef/>
      </w:r>
      <w:r>
        <w:t xml:space="preserve"> See the explanation of a special hearing by the High Court in </w:t>
      </w:r>
      <w:r w:rsidRPr="00804C66">
        <w:rPr>
          <w:i/>
        </w:rPr>
        <w:t>Subramaniam v R</w:t>
      </w:r>
      <w:r>
        <w:t xml:space="preserve"> </w:t>
      </w:r>
      <w:r w:rsidRPr="00FE0A88">
        <w:t>(2004) 211 ALR 1</w:t>
      </w:r>
      <w:r>
        <w:t xml:space="preserve">, </w:t>
      </w:r>
      <w:r w:rsidRPr="00804C66">
        <w:t xml:space="preserve">[40]; New South Wales Law Reform Commission, </w:t>
      </w:r>
      <w:r w:rsidRPr="00804C66">
        <w:rPr>
          <w:i/>
        </w:rPr>
        <w:t>People with cognitive and mental health impairments</w:t>
      </w:r>
      <w:r w:rsidRPr="00511EF0">
        <w:rPr>
          <w:i/>
        </w:rPr>
        <w:t xml:space="preserve"> in the criminal justice system: Criminal responsibility and consequences</w:t>
      </w:r>
      <w:r w:rsidRPr="00511EF0">
        <w:t>, Report No 138 (2013)</w:t>
      </w:r>
      <w:r>
        <w:t xml:space="preserve"> 150-151.</w:t>
      </w:r>
    </w:p>
  </w:endnote>
  <w:endnote w:id="115">
    <w:p w14:paraId="4C5D503B" w14:textId="1917A9F0" w:rsidR="003A3F5C" w:rsidRDefault="003A3F5C" w:rsidP="001A4511">
      <w:pPr>
        <w:pStyle w:val="EndnoteText"/>
      </w:pPr>
      <w:r>
        <w:rPr>
          <w:rStyle w:val="EndnoteReference"/>
        </w:rPr>
        <w:endnoteRef/>
      </w:r>
      <w:r>
        <w:t xml:space="preserve"> See </w:t>
      </w:r>
      <w:r w:rsidRPr="00804C66">
        <w:rPr>
          <w:i/>
        </w:rPr>
        <w:t>Subramaniam v R</w:t>
      </w:r>
      <w:r>
        <w:t xml:space="preserve"> </w:t>
      </w:r>
      <w:r w:rsidRPr="00FE0A88">
        <w:t>(2004) 211 ALR 1</w:t>
      </w:r>
      <w:r>
        <w:t>, [40].</w:t>
      </w:r>
    </w:p>
  </w:endnote>
  <w:endnote w:id="116">
    <w:p w14:paraId="550D94E4" w14:textId="54F761AA" w:rsidR="003A3F5C" w:rsidRPr="00A90CFA" w:rsidRDefault="003A3F5C">
      <w:pPr>
        <w:pStyle w:val="EndnoteText"/>
        <w:rPr>
          <w:rFonts w:cs="Arial"/>
        </w:rPr>
      </w:pPr>
      <w:r>
        <w:rPr>
          <w:rStyle w:val="EndnoteReference"/>
        </w:rPr>
        <w:endnoteRef/>
      </w:r>
      <w:r>
        <w:t xml:space="preserve"> </w:t>
      </w:r>
      <w:r w:rsidRPr="00511EF0">
        <w:t xml:space="preserve">New South Wales Law Reform Commission, </w:t>
      </w:r>
      <w:r w:rsidRPr="00511EF0">
        <w:rPr>
          <w:i/>
        </w:rPr>
        <w:t xml:space="preserve">People with cognitive and mental health impairments in the criminal justice system: Criminal </w:t>
      </w:r>
      <w:r w:rsidRPr="00A90CFA">
        <w:rPr>
          <w:rFonts w:cs="Arial"/>
          <w:i/>
        </w:rPr>
        <w:t>responsibility and consequences</w:t>
      </w:r>
      <w:r w:rsidRPr="00A90CFA">
        <w:rPr>
          <w:rFonts w:cs="Arial"/>
        </w:rPr>
        <w:t>, Report No 138 (2013) 151.</w:t>
      </w:r>
    </w:p>
  </w:endnote>
  <w:endnote w:id="117">
    <w:p w14:paraId="41433A31" w14:textId="4269A33C" w:rsidR="003A3F5C" w:rsidRDefault="003A3F5C" w:rsidP="007E34E4">
      <w:pPr>
        <w:pStyle w:val="EndnoteText"/>
      </w:pPr>
      <w:r w:rsidRPr="00A90CFA">
        <w:rPr>
          <w:rStyle w:val="EndnoteReference"/>
          <w:rFonts w:cs="Arial"/>
        </w:rPr>
        <w:endnoteRef/>
      </w:r>
      <w:r w:rsidRPr="00A90CFA">
        <w:rPr>
          <w:rFonts w:cs="Arial"/>
        </w:rPr>
        <w:t xml:space="preserve"> Rashelle Seiden and Siddharth Chandrasekaran, ‘Special hearings under the Crimes Act: A potentially misconceived adventure’ </w:t>
      </w:r>
      <w:r w:rsidRPr="00A90CFA">
        <w:rPr>
          <w:rFonts w:eastAsia="Times New Roman" w:cs="Arial"/>
        </w:rPr>
        <w:t xml:space="preserve">(2010) 84 </w:t>
      </w:r>
      <w:r w:rsidRPr="00A90CFA">
        <w:rPr>
          <w:rFonts w:eastAsia="Times New Roman" w:cs="Arial"/>
          <w:i/>
        </w:rPr>
        <w:t>Australian Law Journal</w:t>
      </w:r>
      <w:r w:rsidRPr="00A90CFA">
        <w:rPr>
          <w:rFonts w:eastAsia="Times New Roman" w:cs="Arial"/>
        </w:rPr>
        <w:t xml:space="preserve"> 553, </w:t>
      </w:r>
      <w:r w:rsidRPr="00A90CFA">
        <w:rPr>
          <w:rFonts w:cs="Arial"/>
        </w:rPr>
        <w:t>562.</w:t>
      </w:r>
    </w:p>
  </w:endnote>
  <w:endnote w:id="118">
    <w:p w14:paraId="30AD4303" w14:textId="73461F69" w:rsidR="003A3F5C" w:rsidRDefault="003A3F5C" w:rsidP="000465FB">
      <w:pPr>
        <w:pStyle w:val="EndnoteText"/>
      </w:pPr>
      <w:r>
        <w:rPr>
          <w:rStyle w:val="EndnoteReference"/>
        </w:rPr>
        <w:endnoteRef/>
      </w:r>
      <w:r>
        <w:t xml:space="preserve"> </w:t>
      </w:r>
      <w:r w:rsidRPr="00E32B18">
        <w:rPr>
          <w:i/>
        </w:rPr>
        <w:t>Crimes Act 1900</w:t>
      </w:r>
      <w:r>
        <w:t xml:space="preserve"> (ACT) s 317; </w:t>
      </w:r>
      <w:r w:rsidRPr="00E32B18">
        <w:rPr>
          <w:i/>
        </w:rPr>
        <w:t>Mental Health (Forensic Provisions) Act</w:t>
      </w:r>
      <w:r w:rsidRPr="0013151B">
        <w:t xml:space="preserve"> 1990</w:t>
      </w:r>
      <w:r>
        <w:t xml:space="preserve"> (NSW) s 22(1</w:t>
      </w:r>
      <w:r w:rsidRPr="00E32B18">
        <w:t xml:space="preserve">); </w:t>
      </w:r>
      <w:r>
        <w:t xml:space="preserve">Criminal Code (NT) s 43V; </w:t>
      </w:r>
      <w:r w:rsidRPr="00E32B18">
        <w:rPr>
          <w:i/>
        </w:rPr>
        <w:t>Criminal Justice (Mental Impairment) Act 1999</w:t>
      </w:r>
      <w:r w:rsidR="008041A7">
        <w:t xml:space="preserve"> (Tas)</w:t>
      </w:r>
      <w:r w:rsidRPr="00E32B18">
        <w:t xml:space="preserve"> s 17 (note however that in Tasmania there is no verdict of ‘committed the offence charged’, rather ‘a finding</w:t>
      </w:r>
      <w:r>
        <w:t xml:space="preserve"> cannot be made that the defendant is not guilty of the offence charged or any offenc</w:t>
      </w:r>
      <w:r w:rsidR="008041A7">
        <w:t>e</w:t>
      </w:r>
      <w:r w:rsidR="00230990">
        <w:t xml:space="preserve"> available as an alternative’: </w:t>
      </w:r>
      <w:r>
        <w:t xml:space="preserve">s 17(d)); </w:t>
      </w:r>
      <w:r w:rsidRPr="00FE52DC">
        <w:rPr>
          <w:i/>
        </w:rPr>
        <w:t>Crimes (Mental Impairment and Unfitness to be Tried) Act 1997</w:t>
      </w:r>
      <w:r>
        <w:t xml:space="preserve"> (Vic) s</w:t>
      </w:r>
      <w:r w:rsidRPr="0013151B">
        <w:t xml:space="preserve"> </w:t>
      </w:r>
      <w:r>
        <w:t xml:space="preserve">17(1). </w:t>
      </w:r>
    </w:p>
  </w:endnote>
  <w:endnote w:id="119">
    <w:p w14:paraId="0DC76F19" w14:textId="3B370181" w:rsidR="003A3F5C" w:rsidRDefault="003A3F5C">
      <w:pPr>
        <w:pStyle w:val="EndnoteText"/>
      </w:pPr>
      <w:r>
        <w:rPr>
          <w:rStyle w:val="EndnoteReference"/>
        </w:rPr>
        <w:endnoteRef/>
      </w:r>
      <w:r>
        <w:t xml:space="preserve"> </w:t>
      </w:r>
      <w:r w:rsidRPr="00E32B18">
        <w:rPr>
          <w:i/>
        </w:rPr>
        <w:t>Crimes Act 1900</w:t>
      </w:r>
      <w:r>
        <w:t xml:space="preserve"> (ACT) s 317(4); </w:t>
      </w:r>
      <w:r w:rsidRPr="00E32B18">
        <w:rPr>
          <w:i/>
        </w:rPr>
        <w:t>Mental Health (Forensic Provisions) Act</w:t>
      </w:r>
      <w:r w:rsidRPr="0013151B">
        <w:t xml:space="preserve"> </w:t>
      </w:r>
      <w:r w:rsidRPr="005E36A0">
        <w:rPr>
          <w:i/>
        </w:rPr>
        <w:t>1990</w:t>
      </w:r>
      <w:r>
        <w:t xml:space="preserve"> (NSW) s 22(3</w:t>
      </w:r>
      <w:r w:rsidRPr="00E32B18">
        <w:t xml:space="preserve">); </w:t>
      </w:r>
      <w:r>
        <w:t>Criminal Code (NT) s 43X(3).</w:t>
      </w:r>
    </w:p>
  </w:endnote>
  <w:endnote w:id="120">
    <w:p w14:paraId="272E0BD9" w14:textId="10DB1252" w:rsidR="003A3F5C" w:rsidRDefault="003A3F5C" w:rsidP="00DB422E">
      <w:pPr>
        <w:pStyle w:val="EndnoteText"/>
      </w:pPr>
      <w:r>
        <w:rPr>
          <w:rStyle w:val="EndnoteReference"/>
        </w:rPr>
        <w:endnoteRef/>
      </w:r>
      <w:r>
        <w:t xml:space="preserve"> </w:t>
      </w:r>
      <w:r w:rsidRPr="00882344">
        <w:rPr>
          <w:i/>
        </w:rPr>
        <w:t>Crimes Act 1900</w:t>
      </w:r>
      <w:r w:rsidRPr="00882344">
        <w:t xml:space="preserve"> (ACT) ss 301-303, 318 319; </w:t>
      </w:r>
      <w:r w:rsidRPr="00882344">
        <w:rPr>
          <w:i/>
        </w:rPr>
        <w:t xml:space="preserve">Mental Health (Forensic Provisions) Act 1990 </w:t>
      </w:r>
      <w:r w:rsidRPr="00882344">
        <w:t xml:space="preserve">(NSW) s 23(1); </w:t>
      </w:r>
      <w:r w:rsidRPr="00882344">
        <w:rPr>
          <w:i/>
        </w:rPr>
        <w:t>Criminal Code</w:t>
      </w:r>
      <w:r w:rsidRPr="00882344">
        <w:t xml:space="preserve"> (NT) s 43X(3); </w:t>
      </w:r>
      <w:r w:rsidRPr="00882344">
        <w:rPr>
          <w:i/>
        </w:rPr>
        <w:t>Criminal Justice (Mental Impairment) Act 1999</w:t>
      </w:r>
      <w:r w:rsidRPr="00882344">
        <w:t xml:space="preserve"> (Tas) s 18;</w:t>
      </w:r>
      <w:r>
        <w:t xml:space="preserve"> </w:t>
      </w:r>
      <w:r w:rsidRPr="00FE52DC">
        <w:rPr>
          <w:i/>
        </w:rPr>
        <w:t>Crimes (Mental Impairment and Unfitness to be Tried) Act 1997</w:t>
      </w:r>
      <w:r>
        <w:t xml:space="preserve"> (Vic) ss 18(4)(a) and 28.</w:t>
      </w:r>
    </w:p>
  </w:endnote>
  <w:endnote w:id="121">
    <w:p w14:paraId="2C29D356" w14:textId="46E8E63E" w:rsidR="003A3F5C" w:rsidRDefault="003A3F5C" w:rsidP="00FD7CAF">
      <w:pPr>
        <w:pStyle w:val="EndnoteText"/>
      </w:pPr>
      <w:r>
        <w:rPr>
          <w:rStyle w:val="EndnoteReference"/>
        </w:rPr>
        <w:endnoteRef/>
      </w:r>
      <w:r>
        <w:t xml:space="preserve"> </w:t>
      </w:r>
      <w:r w:rsidRPr="00511EF0">
        <w:t xml:space="preserve">New South Wales Law Reform Commission, </w:t>
      </w:r>
      <w:r w:rsidRPr="00511EF0">
        <w:rPr>
          <w:i/>
        </w:rPr>
        <w:t>People with cognitive and mental health impairments in the criminal justice syste</w:t>
      </w:r>
      <w:r w:rsidRPr="00777F9D">
        <w:rPr>
          <w:i/>
        </w:rPr>
        <w:t>m:</w:t>
      </w:r>
      <w:r w:rsidRPr="00511EF0">
        <w:rPr>
          <w:i/>
        </w:rPr>
        <w:t xml:space="preserve"> Criminal </w:t>
      </w:r>
      <w:r w:rsidRPr="00A90CFA">
        <w:rPr>
          <w:rFonts w:cs="Arial"/>
          <w:i/>
        </w:rPr>
        <w:t>responsibility and consequences</w:t>
      </w:r>
      <w:r w:rsidRPr="00777F9D">
        <w:rPr>
          <w:rFonts w:cs="Arial"/>
        </w:rPr>
        <w:t>, Report No 138 (2013)</w:t>
      </w:r>
      <w:r>
        <w:rPr>
          <w:rFonts w:cs="Arial"/>
        </w:rPr>
        <w:t xml:space="preserve"> </w:t>
      </w:r>
      <w:r>
        <w:t xml:space="preserve">15 </w:t>
      </w:r>
      <w:r w:rsidRPr="00777F9D">
        <w:t>(and see the cases cited therein).</w:t>
      </w:r>
    </w:p>
  </w:endnote>
  <w:endnote w:id="122">
    <w:p w14:paraId="41C24899" w14:textId="486E08E4" w:rsidR="003A3F5C" w:rsidRPr="00D84298" w:rsidRDefault="003A3F5C">
      <w:pPr>
        <w:pStyle w:val="EndnoteText"/>
      </w:pPr>
      <w:r w:rsidRPr="00D84298">
        <w:rPr>
          <w:rStyle w:val="EndnoteReference"/>
        </w:rPr>
        <w:endnoteRef/>
      </w:r>
      <w:r w:rsidRPr="00D84298">
        <w:t xml:space="preserve"> </w:t>
      </w:r>
      <w:r w:rsidRPr="00D84298">
        <w:rPr>
          <w:i/>
        </w:rPr>
        <w:t xml:space="preserve">Eastman v The Queen </w:t>
      </w:r>
      <w:r w:rsidRPr="00D84298">
        <w:t>(2000) 203 CLR 1, [24]</w:t>
      </w:r>
      <w:r>
        <w:t xml:space="preserve"> (emphasis added)</w:t>
      </w:r>
      <w:r w:rsidRPr="00D84298">
        <w:t>.</w:t>
      </w:r>
    </w:p>
  </w:endnote>
  <w:endnote w:id="123">
    <w:p w14:paraId="7FE06279" w14:textId="77777777" w:rsidR="003A3F5C" w:rsidRDefault="003A3F5C" w:rsidP="00883B58">
      <w:pPr>
        <w:pStyle w:val="EndnoteText"/>
      </w:pPr>
      <w:r>
        <w:rPr>
          <w:rStyle w:val="EndnoteReference"/>
        </w:rPr>
        <w:endnoteRef/>
      </w:r>
      <w:r>
        <w:t xml:space="preserve"> Mindy Sotiri, Patrick McGee and Eileen Baldry, </w:t>
      </w:r>
      <w:r w:rsidRPr="00F361C6">
        <w:rPr>
          <w:i/>
        </w:rPr>
        <w:t>No End in Sight: The Imprisonment, and indefinite detention of Indigenous Australians with A Cognitive Impairment</w:t>
      </w:r>
      <w:r>
        <w:t xml:space="preserve"> (University of New South Wales, 2012) 36.</w:t>
      </w:r>
    </w:p>
  </w:endnote>
  <w:endnote w:id="124">
    <w:p w14:paraId="03F954A7" w14:textId="532479DC" w:rsidR="003A3F5C" w:rsidRPr="003515DA" w:rsidRDefault="003A3F5C" w:rsidP="00A8074B">
      <w:pPr>
        <w:spacing w:before="0" w:after="0"/>
        <w:rPr>
          <w:sz w:val="20"/>
          <w:szCs w:val="20"/>
        </w:rPr>
      </w:pPr>
      <w:r w:rsidRPr="00D84298">
        <w:rPr>
          <w:rStyle w:val="EndnoteReference"/>
          <w:szCs w:val="20"/>
        </w:rPr>
        <w:endnoteRef/>
      </w:r>
      <w:r w:rsidRPr="00D84298">
        <w:rPr>
          <w:sz w:val="20"/>
          <w:szCs w:val="20"/>
        </w:rPr>
        <w:t xml:space="preserve"> Australian Law Reform Commission, </w:t>
      </w:r>
      <w:r w:rsidRPr="00D84298">
        <w:rPr>
          <w:i/>
          <w:sz w:val="20"/>
          <w:szCs w:val="20"/>
        </w:rPr>
        <w:t>Equality, Capacity and Disability in Commonwealth Laws</w:t>
      </w:r>
      <w:r w:rsidRPr="00D84298">
        <w:rPr>
          <w:sz w:val="20"/>
          <w:szCs w:val="20"/>
        </w:rPr>
        <w:t xml:space="preserve">, Report No 124 </w:t>
      </w:r>
      <w:r w:rsidRPr="003515DA">
        <w:rPr>
          <w:sz w:val="20"/>
          <w:szCs w:val="20"/>
        </w:rPr>
        <w:t>(2014) 208-209.</w:t>
      </w:r>
    </w:p>
  </w:endnote>
  <w:endnote w:id="125">
    <w:p w14:paraId="19332E62" w14:textId="425FE8F0" w:rsidR="003A3F5C" w:rsidRPr="00D84298" w:rsidRDefault="003A3F5C">
      <w:pPr>
        <w:pStyle w:val="EndnoteText"/>
      </w:pPr>
      <w:r w:rsidRPr="003515DA">
        <w:rPr>
          <w:rStyle w:val="EndnoteReference"/>
        </w:rPr>
        <w:endnoteRef/>
      </w:r>
      <w:r w:rsidRPr="003515DA">
        <w:t xml:space="preserve"> Australian Law Reform Commission, </w:t>
      </w:r>
      <w:r w:rsidRPr="003515DA">
        <w:rPr>
          <w:i/>
        </w:rPr>
        <w:t>Equality, Capacity and Disability in Commonwealth Laws</w:t>
      </w:r>
      <w:r w:rsidRPr="003515DA">
        <w:t>, Report No 124 (2014) 209.</w:t>
      </w:r>
    </w:p>
  </w:endnote>
  <w:endnote w:id="126">
    <w:p w14:paraId="6032AC97" w14:textId="714BDEA0" w:rsidR="003A3F5C" w:rsidRDefault="003A3F5C">
      <w:pPr>
        <w:pStyle w:val="EndnoteText"/>
      </w:pPr>
      <w:r>
        <w:rPr>
          <w:rStyle w:val="EndnoteReference"/>
        </w:rPr>
        <w:endnoteRef/>
      </w:r>
      <w:r>
        <w:t xml:space="preserve"> </w:t>
      </w:r>
      <w:r w:rsidRPr="000637F3">
        <w:rPr>
          <w:rFonts w:eastAsia="Times New Roman" w:cs="Arial"/>
          <w:i/>
          <w:iCs/>
        </w:rPr>
        <w:t xml:space="preserve">Mental Health (Forensic Provisions) Act 1990 </w:t>
      </w:r>
      <w:r w:rsidRPr="000637F3">
        <w:rPr>
          <w:rFonts w:eastAsia="Times New Roman" w:cs="Arial"/>
        </w:rPr>
        <w:t>(NSW) s 23</w:t>
      </w:r>
      <w:r>
        <w:rPr>
          <w:rFonts w:eastAsia="Times New Roman" w:cs="Arial"/>
        </w:rPr>
        <w:t xml:space="preserve">; </w:t>
      </w:r>
      <w:r w:rsidRPr="000637F3">
        <w:rPr>
          <w:rFonts w:cs="Arial"/>
          <w:i/>
        </w:rPr>
        <w:t>Criminal Code Act</w:t>
      </w:r>
      <w:r>
        <w:rPr>
          <w:rFonts w:cs="Arial"/>
        </w:rPr>
        <w:t xml:space="preserve"> (NT) s 43ZG; </w:t>
      </w:r>
      <w:r w:rsidRPr="000637F3">
        <w:rPr>
          <w:rFonts w:eastAsia="Times New Roman" w:cs="Arial"/>
          <w:i/>
        </w:rPr>
        <w:t>Crimes (Mental Impairment and Unfitness to be Tried) Act 1997</w:t>
      </w:r>
      <w:r>
        <w:rPr>
          <w:rFonts w:eastAsia="Times New Roman" w:cs="Arial"/>
        </w:rPr>
        <w:t xml:space="preserve"> (Vic) s 28.</w:t>
      </w:r>
    </w:p>
  </w:endnote>
  <w:endnote w:id="127">
    <w:p w14:paraId="3949C6DA" w14:textId="77777777" w:rsidR="003A3F5C" w:rsidRPr="000637F3" w:rsidRDefault="003A3F5C" w:rsidP="00FB3922">
      <w:pPr>
        <w:pStyle w:val="EndnoteText"/>
        <w:rPr>
          <w:rFonts w:cs="Arial"/>
        </w:rPr>
      </w:pPr>
      <w:r w:rsidRPr="000637F3">
        <w:rPr>
          <w:rStyle w:val="EndnoteReference"/>
          <w:rFonts w:cs="Arial"/>
        </w:rPr>
        <w:endnoteRef/>
      </w:r>
      <w:r w:rsidRPr="000637F3">
        <w:rPr>
          <w:rFonts w:cs="Arial"/>
        </w:rPr>
        <w:t xml:space="preserve"> </w:t>
      </w:r>
      <w:r w:rsidRPr="000637F3">
        <w:rPr>
          <w:rFonts w:eastAsia="Times New Roman" w:cs="Arial"/>
          <w:i/>
        </w:rPr>
        <w:t>Crimes (Mental Impairment and Unfitness to be Tried) Act 1997</w:t>
      </w:r>
      <w:r w:rsidRPr="000637F3">
        <w:rPr>
          <w:rFonts w:eastAsia="Times New Roman" w:cs="Arial"/>
        </w:rPr>
        <w:t xml:space="preserve"> (Vic) s 28.</w:t>
      </w:r>
    </w:p>
  </w:endnote>
  <w:endnote w:id="128">
    <w:p w14:paraId="5E5E72E2" w14:textId="1F9536A8" w:rsidR="003A3F5C" w:rsidRPr="000637F3" w:rsidRDefault="003A3F5C" w:rsidP="00FB3922">
      <w:pPr>
        <w:pStyle w:val="EndnoteText"/>
        <w:rPr>
          <w:rFonts w:cs="Arial"/>
        </w:rPr>
      </w:pPr>
      <w:r w:rsidRPr="000637F3">
        <w:rPr>
          <w:rStyle w:val="EndnoteReference"/>
          <w:rFonts w:cs="Arial"/>
        </w:rPr>
        <w:endnoteRef/>
      </w:r>
      <w:r w:rsidRPr="000637F3">
        <w:rPr>
          <w:rFonts w:cs="Arial"/>
        </w:rPr>
        <w:t xml:space="preserve"> </w:t>
      </w:r>
      <w:r w:rsidRPr="000637F3">
        <w:rPr>
          <w:rFonts w:eastAsia="Times New Roman" w:cs="Arial"/>
          <w:i/>
          <w:iCs/>
        </w:rPr>
        <w:t xml:space="preserve">Mental Health (Forensic Provisions) Act 1990 </w:t>
      </w:r>
      <w:r w:rsidRPr="000637F3">
        <w:rPr>
          <w:rFonts w:eastAsia="Times New Roman" w:cs="Arial"/>
        </w:rPr>
        <w:t>(NSW) s 23</w:t>
      </w:r>
      <w:r>
        <w:rPr>
          <w:rFonts w:eastAsia="Times New Roman" w:cs="Arial"/>
        </w:rPr>
        <w:t xml:space="preserve">; </w:t>
      </w:r>
      <w:r w:rsidRPr="000637F3">
        <w:rPr>
          <w:rFonts w:cs="Arial"/>
          <w:i/>
        </w:rPr>
        <w:t>Criminal Code Act</w:t>
      </w:r>
      <w:r w:rsidRPr="000637F3">
        <w:rPr>
          <w:rFonts w:cs="Arial"/>
        </w:rPr>
        <w:t xml:space="preserve"> (NT) s 43ZG(2).</w:t>
      </w:r>
    </w:p>
  </w:endnote>
  <w:endnote w:id="129">
    <w:p w14:paraId="1AF657E7" w14:textId="6EA610A9" w:rsidR="003A3F5C" w:rsidRDefault="003A3F5C">
      <w:pPr>
        <w:pStyle w:val="EndnoteText"/>
      </w:pPr>
      <w:r>
        <w:rPr>
          <w:rStyle w:val="EndnoteReference"/>
        </w:rPr>
        <w:endnoteRef/>
      </w:r>
      <w:r>
        <w:t xml:space="preserve"> </w:t>
      </w:r>
      <w:r w:rsidRPr="00571393">
        <w:rPr>
          <w:rFonts w:cs="Arial"/>
        </w:rPr>
        <w:t xml:space="preserve">Victorian Law Reform Commission, </w:t>
      </w:r>
      <w:r w:rsidRPr="00571393">
        <w:rPr>
          <w:rFonts w:cs="Arial"/>
          <w:i/>
        </w:rPr>
        <w:t>Review of the</w:t>
      </w:r>
      <w:r w:rsidRPr="00571393">
        <w:rPr>
          <w:rFonts w:cs="Arial"/>
        </w:rPr>
        <w:t xml:space="preserve"> Crimes (Mental Impairment and Unfitness to be Tried) Act 1997, Report No 28 (2014)</w:t>
      </w:r>
      <w:r>
        <w:rPr>
          <w:rFonts w:cs="Arial"/>
        </w:rPr>
        <w:t xml:space="preserve"> 361 and 368.</w:t>
      </w:r>
    </w:p>
  </w:endnote>
  <w:endnote w:id="130">
    <w:p w14:paraId="168C0494" w14:textId="2A35A79B" w:rsidR="003A3F5C" w:rsidRPr="000637F3" w:rsidRDefault="003A3F5C" w:rsidP="001357C6">
      <w:pPr>
        <w:pStyle w:val="EndnoteText"/>
        <w:rPr>
          <w:rFonts w:cs="Arial"/>
        </w:rPr>
      </w:pPr>
      <w:r w:rsidRPr="000637F3">
        <w:rPr>
          <w:rStyle w:val="EndnoteReference"/>
          <w:rFonts w:cs="Arial"/>
        </w:rPr>
        <w:endnoteRef/>
      </w:r>
      <w:r w:rsidRPr="000637F3">
        <w:rPr>
          <w:rFonts w:cs="Arial"/>
        </w:rPr>
        <w:t xml:space="preserve"> </w:t>
      </w:r>
      <w:r w:rsidRPr="000637F3">
        <w:rPr>
          <w:rFonts w:eastAsia="Times New Roman" w:cs="Arial"/>
          <w:i/>
        </w:rPr>
        <w:t>Crimes (Mental Impairment and Unfitness to be Tried) Act 1997</w:t>
      </w:r>
      <w:r w:rsidRPr="000637F3">
        <w:rPr>
          <w:rFonts w:eastAsia="Times New Roman" w:cs="Arial"/>
        </w:rPr>
        <w:t xml:space="preserve"> (Vic) </w:t>
      </w:r>
      <w:r w:rsidR="0024241D">
        <w:rPr>
          <w:rFonts w:eastAsia="Times New Roman" w:cs="Arial"/>
        </w:rPr>
        <w:t xml:space="preserve">s </w:t>
      </w:r>
      <w:r w:rsidRPr="000637F3">
        <w:rPr>
          <w:rFonts w:eastAsia="Times New Roman" w:cs="Arial"/>
        </w:rPr>
        <w:t>27</w:t>
      </w:r>
      <w:r>
        <w:rPr>
          <w:rFonts w:eastAsia="Times New Roman" w:cs="Arial"/>
        </w:rPr>
        <w:t xml:space="preserve">(1) and </w:t>
      </w:r>
      <w:r w:rsidRPr="000637F3">
        <w:rPr>
          <w:rFonts w:eastAsia="Times New Roman" w:cs="Arial"/>
        </w:rPr>
        <w:t xml:space="preserve">(2); </w:t>
      </w:r>
      <w:r w:rsidRPr="000637F3">
        <w:rPr>
          <w:rFonts w:cs="Arial"/>
          <w:i/>
        </w:rPr>
        <w:t>Criminal Code Act</w:t>
      </w:r>
      <w:r w:rsidRPr="000637F3">
        <w:rPr>
          <w:rFonts w:cs="Arial"/>
        </w:rPr>
        <w:t xml:space="preserve"> (NT) s</w:t>
      </w:r>
      <w:r>
        <w:rPr>
          <w:rFonts w:cs="Arial"/>
        </w:rPr>
        <w:t>s 43ZC and</w:t>
      </w:r>
      <w:r w:rsidRPr="000637F3">
        <w:rPr>
          <w:rFonts w:cs="Arial"/>
        </w:rPr>
        <w:t xml:space="preserve"> 43ZG.</w:t>
      </w:r>
    </w:p>
  </w:endnote>
  <w:endnote w:id="131">
    <w:p w14:paraId="2DA96576" w14:textId="1B0D8B5F" w:rsidR="003A3F5C" w:rsidRPr="000637F3" w:rsidRDefault="003A3F5C" w:rsidP="00D36B0C">
      <w:pPr>
        <w:pStyle w:val="EndnoteText"/>
        <w:rPr>
          <w:rFonts w:cs="Arial"/>
        </w:rPr>
      </w:pPr>
      <w:r w:rsidRPr="000637F3">
        <w:rPr>
          <w:rStyle w:val="EndnoteReference"/>
          <w:rFonts w:cs="Arial"/>
        </w:rPr>
        <w:endnoteRef/>
      </w:r>
      <w:r w:rsidRPr="000637F3">
        <w:rPr>
          <w:rFonts w:cs="Arial"/>
        </w:rPr>
        <w:t xml:space="preserve"> </w:t>
      </w:r>
      <w:r w:rsidRPr="000637F3">
        <w:rPr>
          <w:rFonts w:eastAsia="Times New Roman" w:cs="Arial"/>
          <w:i/>
          <w:iCs/>
        </w:rPr>
        <w:t xml:space="preserve">Mental Health (Forensic Provisions) Act 1990 </w:t>
      </w:r>
      <w:r w:rsidRPr="000637F3">
        <w:rPr>
          <w:rFonts w:eastAsia="Times New Roman" w:cs="Arial"/>
        </w:rPr>
        <w:t>(NSW) s 52(2).</w:t>
      </w:r>
      <w:r w:rsidR="00E51E3B">
        <w:rPr>
          <w:rFonts w:eastAsia="Times New Roman" w:cs="Arial"/>
        </w:rPr>
        <w:t xml:space="preserve"> </w:t>
      </w:r>
      <w:r>
        <w:rPr>
          <w:rFonts w:eastAsia="Times New Roman" w:cs="Arial"/>
        </w:rPr>
        <w:t xml:space="preserve">Note however that </w:t>
      </w:r>
      <w:r w:rsidR="00E51E3B">
        <w:rPr>
          <w:rFonts w:eastAsia="Times New Roman" w:cs="Arial"/>
        </w:rPr>
        <w:t xml:space="preserve">the </w:t>
      </w:r>
      <w:r>
        <w:rPr>
          <w:rFonts w:cs="Arial"/>
        </w:rPr>
        <w:t>Minister may apply to the Supreme Court for an extension of the order for up to five years, after which a further ex</w:t>
      </w:r>
      <w:r w:rsidR="002F09F3">
        <w:rPr>
          <w:rFonts w:cs="Arial"/>
        </w:rPr>
        <w:t>tension order can be made: see s</w:t>
      </w:r>
      <w:r>
        <w:rPr>
          <w:rFonts w:cs="Arial"/>
        </w:rPr>
        <w:t>ch 1.</w:t>
      </w:r>
    </w:p>
  </w:endnote>
  <w:endnote w:id="132">
    <w:p w14:paraId="6EEA6E5E" w14:textId="77777777" w:rsidR="003A3F5C" w:rsidRPr="000637F3" w:rsidRDefault="003A3F5C" w:rsidP="00D32167">
      <w:pPr>
        <w:pStyle w:val="EndnoteText"/>
        <w:rPr>
          <w:rFonts w:cs="Arial"/>
        </w:rPr>
      </w:pPr>
      <w:r w:rsidRPr="000637F3">
        <w:rPr>
          <w:rStyle w:val="EndnoteReference"/>
          <w:rFonts w:cs="Arial"/>
        </w:rPr>
        <w:endnoteRef/>
      </w:r>
      <w:r w:rsidRPr="000637F3">
        <w:rPr>
          <w:rFonts w:eastAsia="Times New Roman" w:cs="Arial"/>
          <w:i/>
          <w:iCs/>
        </w:rPr>
        <w:t xml:space="preserve">Mental Health (Forensic Provisions) Act 1990 </w:t>
      </w:r>
      <w:r w:rsidRPr="000637F3">
        <w:rPr>
          <w:rFonts w:eastAsia="Times New Roman" w:cs="Arial"/>
        </w:rPr>
        <w:t>(NSW) ss 39 and 51(1).</w:t>
      </w:r>
    </w:p>
  </w:endnote>
  <w:endnote w:id="133">
    <w:p w14:paraId="689CE7BE" w14:textId="41C98CB4" w:rsidR="003A3F5C" w:rsidRPr="00571393" w:rsidRDefault="003A3F5C" w:rsidP="008034A7">
      <w:pPr>
        <w:spacing w:before="0" w:after="0"/>
        <w:rPr>
          <w:rFonts w:cs="Arial"/>
          <w:sz w:val="20"/>
          <w:szCs w:val="20"/>
        </w:rPr>
      </w:pPr>
      <w:r w:rsidRPr="000637F3">
        <w:rPr>
          <w:rStyle w:val="EndnoteReference"/>
          <w:rFonts w:cs="Arial"/>
          <w:szCs w:val="20"/>
        </w:rPr>
        <w:endnoteRef/>
      </w:r>
      <w:r w:rsidRPr="000637F3">
        <w:rPr>
          <w:rFonts w:cs="Arial"/>
          <w:sz w:val="20"/>
          <w:szCs w:val="20"/>
        </w:rPr>
        <w:t xml:space="preserve"> New South Wales Law Reform Commission, </w:t>
      </w:r>
      <w:r w:rsidRPr="000637F3">
        <w:rPr>
          <w:rFonts w:cs="Arial"/>
          <w:i/>
          <w:sz w:val="20"/>
          <w:szCs w:val="20"/>
        </w:rPr>
        <w:t>People with cognitive and mental health impairments in the criminal justice system: Criminal responsibility and consequences</w:t>
      </w:r>
      <w:r w:rsidRPr="000637F3">
        <w:rPr>
          <w:rFonts w:cs="Arial"/>
          <w:sz w:val="20"/>
          <w:szCs w:val="20"/>
        </w:rPr>
        <w:t xml:space="preserve">, </w:t>
      </w:r>
      <w:r w:rsidR="00F57243">
        <w:rPr>
          <w:rFonts w:cs="Arial"/>
          <w:sz w:val="20"/>
          <w:szCs w:val="20"/>
        </w:rPr>
        <w:t>Report No 138 (2013) 174, 180 (the NSWLRC</w:t>
      </w:r>
      <w:r w:rsidRPr="000637F3">
        <w:rPr>
          <w:rFonts w:cs="Arial"/>
          <w:sz w:val="20"/>
          <w:szCs w:val="20"/>
        </w:rPr>
        <w:t xml:space="preserve"> noted that ‘Very few UNA forensic patients have been released prior to the expiry of their limiting terms’</w:t>
      </w:r>
      <w:r>
        <w:rPr>
          <w:rFonts w:cs="Arial"/>
          <w:sz w:val="20"/>
          <w:szCs w:val="20"/>
        </w:rPr>
        <w:t>);</w:t>
      </w:r>
      <w:r w:rsidRPr="000637F3">
        <w:rPr>
          <w:rFonts w:cs="Arial"/>
          <w:sz w:val="20"/>
          <w:szCs w:val="20"/>
        </w:rPr>
        <w:t xml:space="preserve"> Victorian Law Reform Commission, </w:t>
      </w:r>
      <w:r w:rsidRPr="000637F3">
        <w:rPr>
          <w:rFonts w:cs="Arial"/>
          <w:i/>
          <w:sz w:val="20"/>
          <w:szCs w:val="20"/>
        </w:rPr>
        <w:t>Review of the</w:t>
      </w:r>
      <w:r w:rsidRPr="000637F3">
        <w:rPr>
          <w:rFonts w:cs="Arial"/>
          <w:sz w:val="20"/>
          <w:szCs w:val="20"/>
        </w:rPr>
        <w:t xml:space="preserve"> </w:t>
      </w:r>
      <w:r w:rsidRPr="00571393">
        <w:rPr>
          <w:rFonts w:cs="Arial"/>
          <w:sz w:val="20"/>
          <w:szCs w:val="20"/>
        </w:rPr>
        <w:t xml:space="preserve">Crimes (Mental Impairment and Unfitness to be Tried) Act 1997, </w:t>
      </w:r>
      <w:r w:rsidR="003369E3">
        <w:rPr>
          <w:rFonts w:cs="Arial"/>
          <w:sz w:val="20"/>
          <w:szCs w:val="20"/>
        </w:rPr>
        <w:t>Report No 28 (2014) 362</w:t>
      </w:r>
      <w:r w:rsidRPr="00571393">
        <w:rPr>
          <w:rFonts w:cs="Arial"/>
          <w:sz w:val="20"/>
          <w:szCs w:val="20"/>
        </w:rPr>
        <w:t>.</w:t>
      </w:r>
    </w:p>
  </w:endnote>
  <w:endnote w:id="134">
    <w:p w14:paraId="74CBF796" w14:textId="6DFAA76C" w:rsidR="003A3F5C" w:rsidRPr="00571393" w:rsidRDefault="003A3F5C" w:rsidP="008034A7">
      <w:pPr>
        <w:autoSpaceDE w:val="0"/>
        <w:autoSpaceDN w:val="0"/>
        <w:adjustRightInd w:val="0"/>
        <w:spacing w:before="0" w:after="0"/>
        <w:rPr>
          <w:rFonts w:ascii="Frutiger-Light" w:eastAsia="Times New Roman" w:hAnsi="Frutiger-Light" w:cs="Frutiger-Light"/>
          <w:sz w:val="21"/>
          <w:szCs w:val="21"/>
          <w:highlight w:val="yellow"/>
        </w:rPr>
      </w:pPr>
      <w:r w:rsidRPr="00571393">
        <w:rPr>
          <w:rStyle w:val="EndnoteReference"/>
          <w:rFonts w:cs="Arial"/>
          <w:szCs w:val="20"/>
        </w:rPr>
        <w:endnoteRef/>
      </w:r>
      <w:r w:rsidRPr="00571393">
        <w:rPr>
          <w:rFonts w:cs="Arial"/>
          <w:sz w:val="20"/>
          <w:szCs w:val="20"/>
        </w:rPr>
        <w:t xml:space="preserve"> Victorian Law Reform Commission, </w:t>
      </w:r>
      <w:r w:rsidRPr="00571393">
        <w:rPr>
          <w:rFonts w:cs="Arial"/>
          <w:i/>
          <w:sz w:val="20"/>
          <w:szCs w:val="20"/>
        </w:rPr>
        <w:t>Review of the</w:t>
      </w:r>
      <w:r w:rsidRPr="00571393">
        <w:rPr>
          <w:rFonts w:cs="Arial"/>
          <w:sz w:val="20"/>
          <w:szCs w:val="20"/>
        </w:rPr>
        <w:t xml:space="preserve"> Crimes (Mental Impairment and Unfitness to be Tried) Act 1997, Report No 28 (2014) </w:t>
      </w:r>
      <w:r w:rsidRPr="00571393">
        <w:rPr>
          <w:rFonts w:eastAsia="Times New Roman" w:cs="Arial"/>
          <w:sz w:val="20"/>
          <w:szCs w:val="20"/>
        </w:rPr>
        <w:t>368.</w:t>
      </w:r>
    </w:p>
  </w:endnote>
  <w:endnote w:id="135">
    <w:p w14:paraId="46F73D7F" w14:textId="6009BC89" w:rsidR="003A3F5C" w:rsidRDefault="003A3F5C" w:rsidP="008034A7">
      <w:pPr>
        <w:pStyle w:val="EndnoteText"/>
      </w:pPr>
      <w:r w:rsidRPr="002B66B4">
        <w:rPr>
          <w:rStyle w:val="EndnoteReference"/>
        </w:rPr>
        <w:endnoteRef/>
      </w:r>
      <w:r w:rsidRPr="002B66B4">
        <w:t xml:space="preserve"> </w:t>
      </w:r>
      <w:r w:rsidRPr="002B66B4">
        <w:rPr>
          <w:rFonts w:ascii="Frutiger-Light" w:eastAsia="Times New Roman" w:hAnsi="Frutiger-Light" w:cs="Frutiger-Light"/>
          <w:sz w:val="21"/>
          <w:szCs w:val="21"/>
        </w:rPr>
        <w:t xml:space="preserve"> </w:t>
      </w:r>
      <w:r w:rsidRPr="002B66B4">
        <w:rPr>
          <w:rFonts w:cs="Arial"/>
        </w:rPr>
        <w:t xml:space="preserve">New South Wales Law Reform Commission, </w:t>
      </w:r>
      <w:r w:rsidRPr="002B66B4">
        <w:rPr>
          <w:rFonts w:cs="Arial"/>
          <w:i/>
        </w:rPr>
        <w:t>People with cognitive and mental health impairments in the criminal justice system: Criminal responsibility and consequences</w:t>
      </w:r>
      <w:r w:rsidRPr="002B66B4">
        <w:rPr>
          <w:rFonts w:cs="Arial"/>
        </w:rPr>
        <w:t xml:space="preserve">, Report No 138 (2013) </w:t>
      </w:r>
      <w:r w:rsidRPr="002B66B4">
        <w:rPr>
          <w:rFonts w:eastAsia="Times New Roman" w:cs="Arial"/>
          <w:sz w:val="22"/>
          <w:szCs w:val="22"/>
        </w:rPr>
        <w:t xml:space="preserve">174; </w:t>
      </w:r>
      <w:r w:rsidRPr="002B66B4">
        <w:rPr>
          <w:rFonts w:cs="Arial"/>
        </w:rPr>
        <w:t xml:space="preserve">Victorian Law Reform Commission, </w:t>
      </w:r>
      <w:r w:rsidRPr="002B66B4">
        <w:rPr>
          <w:rFonts w:cs="Arial"/>
          <w:i/>
        </w:rPr>
        <w:t>Review of the</w:t>
      </w:r>
      <w:r w:rsidRPr="002B66B4">
        <w:rPr>
          <w:rFonts w:cs="Arial"/>
        </w:rPr>
        <w:t xml:space="preserve"> Crimes (Mental Impairment and Unfitness to be Tried) Act 1997, Report No 28 (2014)</w:t>
      </w:r>
      <w:r w:rsidRPr="002B66B4">
        <w:rPr>
          <w:rFonts w:ascii="Frutiger-Light" w:eastAsia="Times New Roman" w:hAnsi="Frutiger-Light" w:cs="Frutiger-Light"/>
          <w:sz w:val="21"/>
          <w:szCs w:val="21"/>
        </w:rPr>
        <w:t xml:space="preserve"> 369.</w:t>
      </w:r>
    </w:p>
  </w:endnote>
  <w:endnote w:id="136">
    <w:p w14:paraId="19C18FC5" w14:textId="53FC9B61" w:rsidR="003A3F5C" w:rsidRPr="00C43CF4" w:rsidRDefault="003A3F5C" w:rsidP="008034A7">
      <w:pPr>
        <w:pStyle w:val="EndnoteText"/>
        <w:rPr>
          <w:color w:val="000000" w:themeColor="text1"/>
        </w:rPr>
      </w:pPr>
      <w:r w:rsidRPr="00C43CF4">
        <w:rPr>
          <w:rStyle w:val="EndnoteReference"/>
          <w:color w:val="000000" w:themeColor="text1"/>
        </w:rPr>
        <w:endnoteRef/>
      </w:r>
      <w:r w:rsidRPr="00C43CF4">
        <w:rPr>
          <w:color w:val="000000" w:themeColor="text1"/>
        </w:rPr>
        <w:t xml:space="preserve"> See for example, New South Wales Law Reform Commission, </w:t>
      </w:r>
      <w:r w:rsidRPr="00C43CF4">
        <w:rPr>
          <w:i/>
          <w:color w:val="000000" w:themeColor="text1"/>
        </w:rPr>
        <w:t>People with cognitive and mental health impairments in the criminal justice system: criminal responsibility and consequences</w:t>
      </w:r>
      <w:r w:rsidRPr="00C43CF4">
        <w:rPr>
          <w:color w:val="000000" w:themeColor="text1"/>
        </w:rPr>
        <w:t>, Consultation Paper 6 (Januar</w:t>
      </w:r>
      <w:r>
        <w:rPr>
          <w:color w:val="000000" w:themeColor="text1"/>
        </w:rPr>
        <w:t xml:space="preserve">y 2012) 157-158; </w:t>
      </w:r>
      <w:r w:rsidRPr="006F7348">
        <w:rPr>
          <w:rFonts w:cs="Arial"/>
        </w:rPr>
        <w:t xml:space="preserve">New South Wales Law Reform Commission, </w:t>
      </w:r>
      <w:r w:rsidRPr="006F7348">
        <w:rPr>
          <w:rFonts w:cs="Arial"/>
          <w:i/>
        </w:rPr>
        <w:t>People with cognitive and mental health impairments in the criminal justice system: Criminal responsibility and consequences</w:t>
      </w:r>
      <w:r w:rsidR="00631229">
        <w:rPr>
          <w:rFonts w:cs="Arial"/>
        </w:rPr>
        <w:t>, Report No 138 (2013)</w:t>
      </w:r>
      <w:r w:rsidRPr="006F7348">
        <w:rPr>
          <w:rFonts w:cs="Arial"/>
        </w:rPr>
        <w:t xml:space="preserve"> </w:t>
      </w:r>
      <w:r w:rsidRPr="006F7348">
        <w:t>166</w:t>
      </w:r>
      <w:r>
        <w:t xml:space="preserve">; </w:t>
      </w:r>
      <w:r w:rsidRPr="00C43CF4">
        <w:rPr>
          <w:color w:val="000000" w:themeColor="text1"/>
        </w:rPr>
        <w:t xml:space="preserve">Victorian Law Reform Commission, </w:t>
      </w:r>
      <w:r w:rsidRPr="00C43CF4">
        <w:rPr>
          <w:i/>
          <w:color w:val="000000" w:themeColor="text1"/>
        </w:rPr>
        <w:t>Review of the Crimes (Mental Impairment and Unfitness to be Tried) Act 1997: Report</w:t>
      </w:r>
      <w:r>
        <w:rPr>
          <w:color w:val="000000" w:themeColor="text1"/>
        </w:rPr>
        <w:t xml:space="preserve"> (2014</w:t>
      </w:r>
      <w:r w:rsidRPr="006B5CE7">
        <w:rPr>
          <w:color w:val="000000" w:themeColor="text1"/>
        </w:rPr>
        <w:t>) 29.</w:t>
      </w:r>
      <w:r>
        <w:rPr>
          <w:color w:val="000000" w:themeColor="text1"/>
        </w:rPr>
        <w:t xml:space="preserve"> </w:t>
      </w:r>
    </w:p>
  </w:endnote>
  <w:endnote w:id="137">
    <w:p w14:paraId="32BECB6A" w14:textId="39BCC3ED" w:rsidR="003A3F5C" w:rsidRDefault="003A3F5C" w:rsidP="008034A7">
      <w:pPr>
        <w:pStyle w:val="EndnoteText"/>
      </w:pPr>
      <w:r>
        <w:rPr>
          <w:rStyle w:val="EndnoteReference"/>
        </w:rPr>
        <w:endnoteRef/>
      </w:r>
      <w: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xml:space="preserve">, 2515 UNTS 3 (entered into force 3 May 2008) art 14(1); </w:t>
      </w:r>
      <w:r>
        <w:rPr>
          <w:i/>
          <w:color w:val="000000" w:themeColor="text1"/>
        </w:rPr>
        <w:t xml:space="preserve">International Covenant on Civil and Political Rights, </w:t>
      </w:r>
      <w:r w:rsidRPr="006B2415">
        <w:rPr>
          <w:color w:val="000000" w:themeColor="text1"/>
        </w:rPr>
        <w:t>opened for signature 16 December 1966, 999 UNTS 171 (entered into force 23 March 1976)</w:t>
      </w:r>
      <w:r>
        <w:rPr>
          <w:color w:val="000000" w:themeColor="text1"/>
        </w:rPr>
        <w:t xml:space="preserve"> art 9(1)).</w:t>
      </w:r>
    </w:p>
  </w:endnote>
  <w:endnote w:id="138">
    <w:p w14:paraId="050DCB62" w14:textId="01D48133" w:rsidR="003A3F5C" w:rsidRPr="00C43CF4" w:rsidRDefault="003A3F5C" w:rsidP="008034A7">
      <w:pPr>
        <w:pStyle w:val="EndnoteText"/>
        <w:rPr>
          <w:color w:val="000000" w:themeColor="text1"/>
        </w:rPr>
      </w:pPr>
      <w:r w:rsidRPr="00C43CF4">
        <w:rPr>
          <w:rStyle w:val="EndnoteReference"/>
          <w:color w:val="000000" w:themeColor="text1"/>
        </w:rPr>
        <w:endnoteRef/>
      </w:r>
      <w:r w:rsidRPr="00C43CF4">
        <w:rPr>
          <w:color w:val="000000" w:themeColor="text1"/>
        </w:rPr>
        <w:t xml:space="preserve"> See, for example, </w:t>
      </w:r>
      <w:r w:rsidRPr="00C43CF4">
        <w:rPr>
          <w:i/>
          <w:color w:val="000000" w:themeColor="text1"/>
        </w:rPr>
        <w:t>Mental Health (Forensic Provisions) Act 1990</w:t>
      </w:r>
      <w:r w:rsidR="00E03F5E">
        <w:rPr>
          <w:color w:val="000000" w:themeColor="text1"/>
        </w:rPr>
        <w:t xml:space="preserve"> (NSW)</w:t>
      </w:r>
      <w:r w:rsidRPr="00C43CF4">
        <w:rPr>
          <w:color w:val="000000" w:themeColor="text1"/>
        </w:rPr>
        <w:t xml:space="preserve"> s 40; New South Wales Law Refo</w:t>
      </w:r>
      <w:r>
        <w:rPr>
          <w:color w:val="000000" w:themeColor="text1"/>
        </w:rPr>
        <w:t xml:space="preserve">rm Commission, </w:t>
      </w:r>
      <w:r w:rsidRPr="00C43CF4">
        <w:rPr>
          <w:i/>
          <w:color w:val="000000" w:themeColor="text1"/>
        </w:rPr>
        <w:t>People with cognitive and mental health impairments in the criminal justice system: criminal responsibility and consequences</w:t>
      </w:r>
      <w:r w:rsidRPr="00C43CF4">
        <w:rPr>
          <w:color w:val="000000" w:themeColor="text1"/>
        </w:rPr>
        <w:t>, Consultation Paper 6 (Januar</w:t>
      </w:r>
      <w:r>
        <w:rPr>
          <w:color w:val="000000" w:themeColor="text1"/>
        </w:rPr>
        <w:t>y 2012) 157-158</w:t>
      </w:r>
      <w:r w:rsidRPr="00C43CF4">
        <w:rPr>
          <w:color w:val="000000" w:themeColor="text1"/>
        </w:rPr>
        <w:t xml:space="preserve">; Victorian Law Reform Commission, </w:t>
      </w:r>
      <w:r w:rsidRPr="00C43CF4">
        <w:rPr>
          <w:i/>
          <w:color w:val="000000" w:themeColor="text1"/>
        </w:rPr>
        <w:t>Review of the Crimes (Mental Impairment and Unfitness to be Tried) Act 1997: Report</w:t>
      </w:r>
      <w:r>
        <w:rPr>
          <w:color w:val="000000" w:themeColor="text1"/>
        </w:rPr>
        <w:t xml:space="preserve"> (2014</w:t>
      </w:r>
      <w:r w:rsidRPr="006B5CE7">
        <w:rPr>
          <w:color w:val="000000" w:themeColor="text1"/>
        </w:rPr>
        <w:t>)</w:t>
      </w:r>
      <w:r>
        <w:rPr>
          <w:color w:val="000000" w:themeColor="text1"/>
        </w:rPr>
        <w:t xml:space="preserve"> 29-30</w:t>
      </w:r>
      <w:r w:rsidRPr="00C43CF4">
        <w:rPr>
          <w:color w:val="000000" w:themeColor="text1"/>
        </w:rPr>
        <w:t>.</w:t>
      </w:r>
    </w:p>
  </w:endnote>
  <w:endnote w:id="139">
    <w:p w14:paraId="5A6C619A" w14:textId="62E0ACD1" w:rsidR="003A3F5C" w:rsidRPr="009963F0" w:rsidRDefault="003A3F5C" w:rsidP="00047741">
      <w:pPr>
        <w:pStyle w:val="EndnoteText"/>
      </w:pPr>
      <w:r w:rsidRPr="009963F0">
        <w:rPr>
          <w:rStyle w:val="EndnoteReference"/>
        </w:rPr>
        <w:endnoteRef/>
      </w:r>
      <w:r w:rsidRPr="009963F0">
        <w:t xml:space="preserve"> Jonathon Hunyor and Michelle Swift ‘A judge short of a full bench: mental impairment and fitness to plead in the NT criminal legal system’ (Paper presented at the Criminal Lawyers Association Northern Territory Conference, Sanur, Bali, 30 June 2011) 12-13</w:t>
      </w:r>
      <w:r w:rsidR="007A0F12">
        <w:t>.</w:t>
      </w:r>
    </w:p>
  </w:endnote>
  <w:endnote w:id="140">
    <w:p w14:paraId="7DCB25B5" w14:textId="1DC652A9" w:rsidR="003A3F5C" w:rsidRPr="009963F0" w:rsidRDefault="003A3F5C" w:rsidP="003F2BC5">
      <w:pPr>
        <w:pStyle w:val="EndnoteText"/>
      </w:pPr>
      <w:r w:rsidRPr="009963F0">
        <w:rPr>
          <w:rStyle w:val="EndnoteReference"/>
        </w:rPr>
        <w:endnoteRef/>
      </w:r>
      <w:r w:rsidRPr="009963F0">
        <w:t xml:space="preserve"> Jonathon Hunyor and Michelle Swift ‘A judge short of a full bench: mental impairment and fitness to plead in the NT criminal legal system’ (Paper presented at the Criminal Lawyers Association Northern Territory Conference, </w:t>
      </w:r>
      <w:r>
        <w:t>Sanur, Bali, 30 June 2011) 23 (quoting Bernadette McSherry).</w:t>
      </w:r>
    </w:p>
  </w:endnote>
  <w:endnote w:id="141">
    <w:p w14:paraId="7C998E9B" w14:textId="77777777" w:rsidR="003A3F5C" w:rsidRDefault="003A3F5C" w:rsidP="004E5B05">
      <w:pPr>
        <w:pStyle w:val="EndnoteText"/>
      </w:pPr>
      <w:r w:rsidRPr="00685248">
        <w:rPr>
          <w:rStyle w:val="EndnoteReference"/>
        </w:rPr>
        <w:endnoteRef/>
      </w:r>
      <w:r w:rsidRPr="00685248">
        <w:t xml:space="preserve"> </w:t>
      </w:r>
      <w:r w:rsidRPr="00685248">
        <w:rPr>
          <w:rFonts w:cs="Arial"/>
        </w:rPr>
        <w:t xml:space="preserve">UN Human Rights Committee, </w:t>
      </w:r>
      <w:r w:rsidRPr="00685248">
        <w:rPr>
          <w:rFonts w:cs="Arial"/>
          <w:i/>
        </w:rPr>
        <w:t>General Comment No. 35: Article 9 (Liberty and security of person)</w:t>
      </w:r>
      <w:r w:rsidRPr="00685248">
        <w:rPr>
          <w:rFonts w:cs="Arial"/>
        </w:rPr>
        <w:t xml:space="preserve">, UN Doc </w:t>
      </w:r>
      <w:r w:rsidRPr="00685248">
        <w:t>CCPR/C/GC/35 (2014) [</w:t>
      </w:r>
      <w:r w:rsidRPr="00685248">
        <w:rPr>
          <w:rFonts w:cs="Arial"/>
        </w:rPr>
        <w:t>19].</w:t>
      </w:r>
    </w:p>
  </w:endnote>
  <w:endnote w:id="142">
    <w:p w14:paraId="32445E88" w14:textId="77777777" w:rsidR="003A3F5C" w:rsidRDefault="003A3F5C" w:rsidP="00ED5884">
      <w:pPr>
        <w:pStyle w:val="EndnoteText"/>
      </w:pPr>
      <w:r w:rsidRPr="00685248">
        <w:rPr>
          <w:rStyle w:val="EndnoteReference"/>
        </w:rPr>
        <w:endnoteRef/>
      </w:r>
      <w:r w:rsidRPr="00685248">
        <w:t xml:space="preserve"> </w:t>
      </w:r>
      <w:r w:rsidRPr="00685248">
        <w:rPr>
          <w:rFonts w:cs="Arial"/>
        </w:rPr>
        <w:t xml:space="preserve">UN Human Rights Committee, </w:t>
      </w:r>
      <w:r w:rsidRPr="00685248">
        <w:rPr>
          <w:rFonts w:cs="Arial"/>
          <w:i/>
        </w:rPr>
        <w:t>General Comment No. 35: Article 9 (Liberty and security of person)</w:t>
      </w:r>
      <w:r w:rsidRPr="00685248">
        <w:rPr>
          <w:rFonts w:cs="Arial"/>
        </w:rPr>
        <w:t xml:space="preserve">, UN Doc </w:t>
      </w:r>
      <w:r w:rsidRPr="00685248">
        <w:t>CCPR/C/GC/35 (2014) [</w:t>
      </w:r>
      <w:r w:rsidRPr="00685248">
        <w:rPr>
          <w:rFonts w:cs="Arial"/>
        </w:rPr>
        <w:t>19].</w:t>
      </w:r>
    </w:p>
  </w:endnote>
  <w:endnote w:id="143">
    <w:p w14:paraId="10B664BA" w14:textId="4CBFCDF3" w:rsidR="003A3F5C" w:rsidRPr="003375C7" w:rsidRDefault="003A3F5C" w:rsidP="00B807F8">
      <w:pPr>
        <w:spacing w:before="0" w:after="0"/>
        <w:rPr>
          <w:rFonts w:cs="Arial"/>
          <w:sz w:val="20"/>
          <w:szCs w:val="20"/>
        </w:rPr>
      </w:pPr>
      <w:r w:rsidRPr="003375C7">
        <w:rPr>
          <w:rStyle w:val="EndnoteReference"/>
          <w:szCs w:val="20"/>
        </w:rPr>
        <w:endnoteRef/>
      </w:r>
      <w:r w:rsidRPr="003375C7">
        <w:rPr>
          <w:sz w:val="20"/>
          <w:szCs w:val="20"/>
        </w:rPr>
        <w:t xml:space="preserve"> Mindy Sotiri, Patrick McGee and Eileen Baldry, </w:t>
      </w:r>
      <w:r w:rsidRPr="003375C7">
        <w:rPr>
          <w:i/>
          <w:sz w:val="20"/>
          <w:szCs w:val="20"/>
        </w:rPr>
        <w:t>No End in Sight: The Imprisonment, and indefinite detention of Indigenous Australians with A Cognitive Impairment</w:t>
      </w:r>
      <w:r w:rsidRPr="003375C7">
        <w:rPr>
          <w:sz w:val="20"/>
          <w:szCs w:val="20"/>
        </w:rPr>
        <w:t xml:space="preserve"> (University of New South Wales, </w:t>
      </w:r>
      <w:r w:rsidRPr="003375C7">
        <w:rPr>
          <w:rFonts w:cs="Arial"/>
          <w:sz w:val="20"/>
          <w:szCs w:val="20"/>
        </w:rPr>
        <w:t xml:space="preserve">2012) </w:t>
      </w:r>
      <w:r w:rsidRPr="003375C7">
        <w:rPr>
          <w:rFonts w:eastAsia="Times New Roman" w:cs="Arial"/>
          <w:sz w:val="20"/>
          <w:szCs w:val="20"/>
        </w:rPr>
        <w:t xml:space="preserve">46-7. </w:t>
      </w:r>
      <w:r w:rsidRPr="003375C7">
        <w:rPr>
          <w:rFonts w:cs="Arial"/>
          <w:sz w:val="20"/>
          <w:szCs w:val="20"/>
        </w:rPr>
        <w:t xml:space="preserve">New South Wales Law Reform Commission, </w:t>
      </w:r>
      <w:r w:rsidRPr="003375C7">
        <w:rPr>
          <w:rFonts w:cs="Arial"/>
          <w:i/>
          <w:sz w:val="20"/>
          <w:szCs w:val="20"/>
        </w:rPr>
        <w:t>People with cognitive and mental health impairments in the criminal justice system: Criminal responsibility and consequences</w:t>
      </w:r>
      <w:r w:rsidR="00631229">
        <w:rPr>
          <w:rFonts w:cs="Arial"/>
          <w:sz w:val="20"/>
          <w:szCs w:val="20"/>
        </w:rPr>
        <w:t>, Report No 138 (2013)</w:t>
      </w:r>
      <w:r w:rsidRPr="003375C7">
        <w:rPr>
          <w:rFonts w:cs="Arial"/>
          <w:sz w:val="20"/>
          <w:szCs w:val="20"/>
        </w:rPr>
        <w:t xml:space="preserve"> </w:t>
      </w:r>
      <w:r w:rsidRPr="003375C7">
        <w:rPr>
          <w:rFonts w:eastAsia="Times New Roman" w:cs="Arial"/>
          <w:sz w:val="20"/>
          <w:szCs w:val="20"/>
        </w:rPr>
        <w:t>9.</w:t>
      </w:r>
    </w:p>
  </w:endnote>
  <w:endnote w:id="144">
    <w:p w14:paraId="213698B1" w14:textId="1F7551BE" w:rsidR="003A3F5C" w:rsidRPr="00BB7B79" w:rsidRDefault="003A3F5C" w:rsidP="00F02857">
      <w:pPr>
        <w:spacing w:before="0" w:after="0"/>
        <w:rPr>
          <w:rFonts w:cs="Arial"/>
          <w:sz w:val="20"/>
          <w:szCs w:val="20"/>
        </w:rPr>
      </w:pPr>
      <w:r w:rsidRPr="00BB7B79">
        <w:rPr>
          <w:rStyle w:val="EndnoteReference"/>
          <w:szCs w:val="20"/>
        </w:rPr>
        <w:endnoteRef/>
      </w:r>
      <w:r w:rsidRPr="00BB7B79">
        <w:rPr>
          <w:sz w:val="20"/>
          <w:szCs w:val="20"/>
        </w:rPr>
        <w:t xml:space="preserve"> Mindy Sotiri, Patrick McGee and Eileen Baldry, </w:t>
      </w:r>
      <w:r w:rsidRPr="00BB7B79">
        <w:rPr>
          <w:i/>
          <w:sz w:val="20"/>
          <w:szCs w:val="20"/>
        </w:rPr>
        <w:t>No End in Sight: The Imprisonment, and indefinite detention of Indigenous Australians with A Cognitive Impairment</w:t>
      </w:r>
      <w:r w:rsidRPr="00BB7B79">
        <w:rPr>
          <w:sz w:val="20"/>
          <w:szCs w:val="20"/>
        </w:rPr>
        <w:t xml:space="preserve"> (University of New South Wales, </w:t>
      </w:r>
      <w:r w:rsidRPr="00BB7B79">
        <w:rPr>
          <w:rFonts w:cs="Arial"/>
          <w:sz w:val="20"/>
          <w:szCs w:val="20"/>
        </w:rPr>
        <w:t xml:space="preserve">2012) </w:t>
      </w:r>
      <w:r w:rsidRPr="00BB7B79">
        <w:rPr>
          <w:rFonts w:eastAsia="Times New Roman" w:cs="Arial"/>
          <w:sz w:val="20"/>
          <w:szCs w:val="20"/>
        </w:rPr>
        <w:t xml:space="preserve">46-7. See also </w:t>
      </w:r>
      <w:r w:rsidRPr="00BB7B79">
        <w:rPr>
          <w:rFonts w:cs="Arial"/>
          <w:sz w:val="20"/>
          <w:szCs w:val="20"/>
        </w:rPr>
        <w:t xml:space="preserve">New South Wales Law Reform Commission, </w:t>
      </w:r>
      <w:r w:rsidRPr="00BB7B79">
        <w:rPr>
          <w:rFonts w:cs="Arial"/>
          <w:i/>
          <w:sz w:val="20"/>
          <w:szCs w:val="20"/>
        </w:rPr>
        <w:t>People with cognitive and mental health impairments in the criminal justice system: Criminal responsibility and consequences</w:t>
      </w:r>
      <w:r w:rsidR="00631229" w:rsidRPr="00BB7B79">
        <w:rPr>
          <w:rFonts w:cs="Arial"/>
          <w:sz w:val="20"/>
          <w:szCs w:val="20"/>
        </w:rPr>
        <w:t>, Report No 138 (2013)</w:t>
      </w:r>
      <w:r w:rsidRPr="00BB7B79">
        <w:rPr>
          <w:rFonts w:cs="Arial"/>
          <w:sz w:val="20"/>
          <w:szCs w:val="20"/>
        </w:rPr>
        <w:t xml:space="preserve"> </w:t>
      </w:r>
      <w:r w:rsidRPr="00BB7B79">
        <w:rPr>
          <w:rFonts w:eastAsia="Times New Roman" w:cs="Arial"/>
          <w:sz w:val="20"/>
          <w:szCs w:val="20"/>
        </w:rPr>
        <w:t>9.</w:t>
      </w:r>
    </w:p>
  </w:endnote>
  <w:endnote w:id="145">
    <w:p w14:paraId="730BC6D5" w14:textId="14C4DE6E" w:rsidR="003A3F5C" w:rsidRDefault="003A3F5C">
      <w:pPr>
        <w:pStyle w:val="EndnoteText"/>
      </w:pPr>
      <w:r w:rsidRPr="003375C7">
        <w:rPr>
          <w:rStyle w:val="EndnoteReference"/>
          <w:rFonts w:cs="Arial"/>
        </w:rPr>
        <w:endnoteRef/>
      </w:r>
      <w:r w:rsidRPr="003375C7">
        <w:rPr>
          <w:rFonts w:cs="Arial"/>
        </w:rPr>
        <w:t xml:space="preserve"> Mindy Sotiri, Patrick McGee and Eileen Baldry, </w:t>
      </w:r>
      <w:r w:rsidRPr="003375C7">
        <w:rPr>
          <w:rFonts w:cs="Arial"/>
          <w:i/>
        </w:rPr>
        <w:t>No End in Sight: The Imprisonment, and indefinite detention of Indigenous Australians with A Cognitive Impairment</w:t>
      </w:r>
      <w:r w:rsidRPr="003375C7">
        <w:rPr>
          <w:rFonts w:cs="Arial"/>
        </w:rPr>
        <w:t xml:space="preserve"> (University of New South Wales, 2012) </w:t>
      </w:r>
      <w:r w:rsidRPr="003375C7">
        <w:rPr>
          <w:rFonts w:eastAsia="Times New Roman" w:cs="Arial"/>
        </w:rPr>
        <w:t>37.</w:t>
      </w:r>
    </w:p>
  </w:endnote>
  <w:endnote w:id="146">
    <w:p w14:paraId="613359FA" w14:textId="77777777" w:rsidR="003A3F5C" w:rsidRPr="003375C7" w:rsidRDefault="003A3F5C" w:rsidP="00316CCF">
      <w:pPr>
        <w:pStyle w:val="EndnoteText"/>
        <w:rPr>
          <w:rFonts w:cs="Arial"/>
        </w:rPr>
      </w:pPr>
      <w:r w:rsidRPr="003375C7">
        <w:rPr>
          <w:rStyle w:val="EndnoteReference"/>
          <w:rFonts w:cs="Arial"/>
        </w:rPr>
        <w:endnoteRef/>
      </w:r>
      <w:r w:rsidRPr="003375C7">
        <w:rPr>
          <w:rFonts w:cs="Arial"/>
        </w:rPr>
        <w:t xml:space="preserve"> Victorian Law Reform Commission, </w:t>
      </w:r>
      <w:r w:rsidRPr="003375C7">
        <w:rPr>
          <w:rFonts w:cs="Arial"/>
          <w:i/>
        </w:rPr>
        <w:t>Review of the</w:t>
      </w:r>
      <w:r w:rsidRPr="003375C7">
        <w:rPr>
          <w:rFonts w:cs="Arial"/>
        </w:rPr>
        <w:t xml:space="preserve"> Crimes (Mental Impairment and Unfitness to be Tried) Act 1997, Report No 28 (2014) </w:t>
      </w:r>
      <w:r w:rsidRPr="003375C7">
        <w:rPr>
          <w:rFonts w:eastAsia="Times New Roman" w:cs="Arial"/>
        </w:rPr>
        <w:t>434.</w:t>
      </w:r>
    </w:p>
  </w:endnote>
  <w:endnote w:id="147">
    <w:p w14:paraId="67094E40" w14:textId="7F61F5D6" w:rsidR="003A3F5C" w:rsidRDefault="003A3F5C" w:rsidP="00436022">
      <w:pPr>
        <w:pStyle w:val="EndnoteText"/>
      </w:pPr>
      <w:r w:rsidRPr="00B377A9">
        <w:rPr>
          <w:rStyle w:val="EndnoteReference"/>
        </w:rPr>
        <w:endnoteRef/>
      </w:r>
      <w:r w:rsidRPr="00B377A9">
        <w:t xml:space="preserve"> Australian Law Reform Commission, </w:t>
      </w:r>
      <w:r w:rsidRPr="00B377A9">
        <w:rPr>
          <w:i/>
        </w:rPr>
        <w:t>Equality, Capacity and Disability in Commonwealth Laws</w:t>
      </w:r>
      <w:r w:rsidRPr="00B377A9">
        <w:t>, Rep</w:t>
      </w:r>
      <w:r w:rsidR="00F06E64">
        <w:t>ort No 124 (2014) 208 (rec 7-2)</w:t>
      </w:r>
      <w:r>
        <w:rPr>
          <w:rFonts w:cs="Arial"/>
        </w:rPr>
        <w:t>.</w:t>
      </w:r>
    </w:p>
  </w:endnote>
  <w:endnote w:id="148">
    <w:p w14:paraId="4A7192FD" w14:textId="546B267D" w:rsidR="003A3F5C" w:rsidRDefault="003A3F5C">
      <w:pPr>
        <w:pStyle w:val="EndnoteText"/>
      </w:pPr>
      <w:r>
        <w:rPr>
          <w:rStyle w:val="EndnoteReference"/>
        </w:rPr>
        <w:endnoteRef/>
      </w:r>
      <w:r>
        <w:t xml:space="preserve"> </w:t>
      </w:r>
      <w:r w:rsidR="00750EC5">
        <w:t xml:space="preserve">See </w:t>
      </w:r>
      <w:r w:rsidRPr="00BC66F8">
        <w:rPr>
          <w:i/>
        </w:rPr>
        <w:t>Crimes Act 1914</w:t>
      </w:r>
      <w:r>
        <w:t xml:space="preserve"> (Cth) s 20BD; </w:t>
      </w:r>
      <w:r w:rsidRPr="007773B2">
        <w:rPr>
          <w:i/>
        </w:rPr>
        <w:t>Mental Health Act 2000</w:t>
      </w:r>
      <w:r>
        <w:t xml:space="preserve"> (Qld) s 200.</w:t>
      </w:r>
    </w:p>
  </w:endnote>
  <w:endnote w:id="149">
    <w:p w14:paraId="05BD0DC4" w14:textId="2DF42A43" w:rsidR="003A3F5C" w:rsidRPr="00ED607D" w:rsidRDefault="003A3F5C" w:rsidP="00E51C34">
      <w:pPr>
        <w:pStyle w:val="EndnoteText"/>
        <w:rPr>
          <w:color w:val="000000" w:themeColor="text1"/>
        </w:rPr>
      </w:pPr>
      <w:r>
        <w:rPr>
          <w:rStyle w:val="EndnoteReference"/>
        </w:rPr>
        <w:endnoteRef/>
      </w:r>
      <w:r>
        <w:t xml:space="preserve"> </w:t>
      </w:r>
      <w:r>
        <w:rPr>
          <w:i/>
          <w:color w:val="000000" w:themeColor="text1"/>
        </w:rPr>
        <w:t xml:space="preserve">Convention on the Rights of Persons with Disabilities, </w:t>
      </w:r>
      <w:r>
        <w:rPr>
          <w:color w:val="000000" w:themeColor="text1"/>
        </w:rPr>
        <w:t xml:space="preserve">opened for signature </w:t>
      </w:r>
      <w:r w:rsidRPr="005065DD">
        <w:rPr>
          <w:color w:val="000000" w:themeColor="text1"/>
        </w:rPr>
        <w:t>13 December 2006</w:t>
      </w:r>
      <w:r>
        <w:rPr>
          <w:color w:val="000000" w:themeColor="text1"/>
        </w:rPr>
        <w:t xml:space="preserve">, 2515 UNTS 3 (entered into force 3 May 2008) art 14(2). See also </w:t>
      </w:r>
      <w:r>
        <w:rPr>
          <w:i/>
          <w:color w:val="000000" w:themeColor="text1"/>
        </w:rPr>
        <w:t xml:space="preserve">International Covenant on Civil and Political Rights, </w:t>
      </w:r>
      <w:r w:rsidRPr="006B2415">
        <w:rPr>
          <w:color w:val="000000" w:themeColor="text1"/>
        </w:rPr>
        <w:t>opened for signature 16 December 1966, 999 UNTS 171 (entered into force 23 March 1976)</w:t>
      </w:r>
      <w:r>
        <w:rPr>
          <w:color w:val="000000" w:themeColor="text1"/>
        </w:rPr>
        <w:t xml:space="preserve"> art 10; </w:t>
      </w:r>
      <w:r>
        <w:rPr>
          <w:i/>
          <w:color w:val="000000" w:themeColor="text1"/>
        </w:rPr>
        <w:t>Convention on the Rights of the Child</w:t>
      </w:r>
      <w:r>
        <w:rPr>
          <w:color w:val="000000" w:themeColor="text1"/>
        </w:rPr>
        <w:t xml:space="preserve">, </w:t>
      </w:r>
      <w:r w:rsidRPr="00C16028">
        <w:rPr>
          <w:color w:val="000000" w:themeColor="text1"/>
        </w:rPr>
        <w:t>opened for signature 20 November 1989, 1577 UNTS 3, entered into force 2 September 1990)</w:t>
      </w:r>
      <w:r>
        <w:rPr>
          <w:color w:val="000000" w:themeColor="text1"/>
        </w:rPr>
        <w:t xml:space="preserve"> art 37(c).</w:t>
      </w:r>
    </w:p>
  </w:endnote>
  <w:endnote w:id="150">
    <w:p w14:paraId="3FC06C04" w14:textId="6BF74C4C" w:rsidR="003A3F5C" w:rsidRDefault="003A3F5C">
      <w:pPr>
        <w:pStyle w:val="EndnoteText"/>
      </w:pPr>
      <w:r>
        <w:rPr>
          <w:rStyle w:val="EndnoteReference"/>
        </w:rPr>
        <w:endnoteRef/>
      </w:r>
      <w:r>
        <w:t xml:space="preserve"> </w:t>
      </w:r>
      <w:r w:rsidRPr="006342BC">
        <w:rPr>
          <w:i/>
        </w:rPr>
        <w:t>International Covenant on Civil and Political Rights</w:t>
      </w:r>
      <w:r w:rsidRPr="00FC4275">
        <w:t>, opened for signature 16 December 1966, 999 UNTS 171 (entered into force 23 March 1976)</w:t>
      </w:r>
      <w:r>
        <w:t xml:space="preserve"> art 10(1).</w:t>
      </w:r>
    </w:p>
  </w:endnote>
  <w:endnote w:id="151">
    <w:p w14:paraId="40C5D5B8" w14:textId="67E39482" w:rsidR="003A3F5C" w:rsidRDefault="003A3F5C" w:rsidP="00E51C34">
      <w:pPr>
        <w:pStyle w:val="EndnoteText"/>
        <w:ind w:left="284" w:hanging="284"/>
        <w:rPr>
          <w:color w:val="000000" w:themeColor="text1"/>
        </w:rPr>
      </w:pPr>
      <w:r>
        <w:rPr>
          <w:rStyle w:val="EndnoteReference"/>
          <w:color w:val="000000" w:themeColor="text1"/>
        </w:rPr>
        <w:endnoteRef/>
      </w:r>
      <w:r>
        <w:rPr>
          <w:color w:val="000000" w:themeColor="text1"/>
        </w:rPr>
        <w:t xml:space="preserve"> </w:t>
      </w:r>
      <w:r>
        <w:rPr>
          <w:color w:val="000000" w:themeColor="text1"/>
        </w:rPr>
        <w:tab/>
      </w:r>
      <w:r>
        <w:rPr>
          <w:i/>
          <w:color w:val="000000" w:themeColor="text1"/>
        </w:rPr>
        <w:t xml:space="preserve">Convention on the Rights of Persons with Disabilities, </w:t>
      </w:r>
      <w:r>
        <w:rPr>
          <w:color w:val="000000" w:themeColor="text1"/>
        </w:rPr>
        <w:t xml:space="preserve">opened for signature </w:t>
      </w:r>
      <w:r w:rsidRPr="005065DD">
        <w:rPr>
          <w:color w:val="000000" w:themeColor="text1"/>
        </w:rPr>
        <w:t>13 December 2006</w:t>
      </w:r>
      <w:r>
        <w:rPr>
          <w:color w:val="000000" w:themeColor="text1"/>
        </w:rPr>
        <w:t>, 2515 UNTS 3 (entered into force 3 May 2008) arts 25 and 26.</w:t>
      </w:r>
    </w:p>
  </w:endnote>
  <w:endnote w:id="152">
    <w:p w14:paraId="2E29B93D" w14:textId="69AB679F" w:rsidR="003A3F5C" w:rsidRDefault="003A3F5C" w:rsidP="00E51C34">
      <w:pPr>
        <w:pStyle w:val="EndnoteText"/>
      </w:pPr>
      <w:r>
        <w:rPr>
          <w:rStyle w:val="EndnoteReference"/>
        </w:rPr>
        <w:endnoteRef/>
      </w:r>
      <w:r>
        <w:t xml:space="preserve"> </w:t>
      </w:r>
      <w:r w:rsidRPr="00691A6F">
        <w:rPr>
          <w:rFonts w:cs="Arial"/>
        </w:rPr>
        <w:t xml:space="preserve">New South Wales Law Reform Commission, </w:t>
      </w:r>
      <w:r w:rsidRPr="00691A6F">
        <w:rPr>
          <w:rFonts w:cs="Arial"/>
          <w:i/>
        </w:rPr>
        <w:t>People with cognitive and mental health impairments in the criminal justice system: Criminal responsibility and consequences</w:t>
      </w:r>
      <w:r w:rsidRPr="00691A6F">
        <w:rPr>
          <w:rFonts w:cs="Arial"/>
        </w:rPr>
        <w:t xml:space="preserve">, Report No 138 (2013) </w:t>
      </w:r>
      <w:r w:rsidRPr="00691A6F">
        <w:t>309-311.</w:t>
      </w:r>
    </w:p>
  </w:endnote>
  <w:endnote w:id="153">
    <w:p w14:paraId="41802930" w14:textId="7316E2DD" w:rsidR="003A3F5C" w:rsidRPr="00523F9A" w:rsidRDefault="003A3F5C" w:rsidP="00523F9A">
      <w:pPr>
        <w:autoSpaceDE w:val="0"/>
        <w:autoSpaceDN w:val="0"/>
        <w:adjustRightInd w:val="0"/>
        <w:spacing w:before="0" w:after="0"/>
        <w:rPr>
          <w:rFonts w:eastAsia="Times New Roman" w:cs="Arial"/>
          <w:sz w:val="20"/>
          <w:szCs w:val="20"/>
        </w:rPr>
      </w:pPr>
      <w:r w:rsidRPr="00523F9A">
        <w:rPr>
          <w:rStyle w:val="EndnoteReference"/>
          <w:rFonts w:cs="Arial"/>
          <w:szCs w:val="20"/>
        </w:rPr>
        <w:endnoteRef/>
      </w:r>
      <w:r w:rsidRPr="00523F9A">
        <w:rPr>
          <w:rFonts w:cs="Arial"/>
          <w:sz w:val="20"/>
          <w:szCs w:val="20"/>
        </w:rPr>
        <w:t xml:space="preserve"> </w:t>
      </w:r>
      <w:r w:rsidRPr="00523F9A">
        <w:rPr>
          <w:rFonts w:eastAsia="Times New Roman" w:cs="Arial"/>
          <w:i/>
          <w:iCs/>
          <w:sz w:val="20"/>
          <w:szCs w:val="20"/>
        </w:rPr>
        <w:t xml:space="preserve">Crimes Act 1900 </w:t>
      </w:r>
      <w:r w:rsidRPr="00523F9A">
        <w:rPr>
          <w:rFonts w:eastAsia="Times New Roman" w:cs="Arial"/>
          <w:sz w:val="20"/>
          <w:szCs w:val="20"/>
        </w:rPr>
        <w:t>(ACT) s</w:t>
      </w:r>
      <w:r w:rsidR="00A749D4">
        <w:rPr>
          <w:rFonts w:eastAsia="Times New Roman" w:cs="Arial"/>
          <w:sz w:val="20"/>
          <w:szCs w:val="20"/>
        </w:rPr>
        <w:t xml:space="preserve">s 308(d), 318-9, </w:t>
      </w:r>
      <w:r w:rsidRPr="00523F9A">
        <w:rPr>
          <w:rFonts w:eastAsia="Times New Roman" w:cs="Arial"/>
          <w:sz w:val="20"/>
          <w:szCs w:val="20"/>
        </w:rPr>
        <w:t xml:space="preserve">323-4; </w:t>
      </w:r>
      <w:r w:rsidRPr="00523F9A">
        <w:rPr>
          <w:rFonts w:eastAsia="Times New Roman" w:cs="Arial"/>
          <w:i/>
          <w:iCs/>
          <w:sz w:val="20"/>
          <w:szCs w:val="20"/>
        </w:rPr>
        <w:t xml:space="preserve">Criminal Code </w:t>
      </w:r>
      <w:r w:rsidRPr="00523F9A">
        <w:rPr>
          <w:rFonts w:eastAsia="Times New Roman" w:cs="Arial"/>
          <w:sz w:val="20"/>
          <w:szCs w:val="20"/>
        </w:rPr>
        <w:t>(NT) s</w:t>
      </w:r>
      <w:r w:rsidR="00A749D4">
        <w:rPr>
          <w:rFonts w:eastAsia="Times New Roman" w:cs="Arial"/>
          <w:sz w:val="20"/>
          <w:szCs w:val="20"/>
        </w:rPr>
        <w:t>s 43ZA(1)(a)(i) and</w:t>
      </w:r>
      <w:r w:rsidRPr="00523F9A">
        <w:rPr>
          <w:rFonts w:eastAsia="Times New Roman" w:cs="Arial"/>
          <w:sz w:val="20"/>
          <w:szCs w:val="20"/>
        </w:rPr>
        <w:t xml:space="preserve"> 43ZA(2); </w:t>
      </w:r>
      <w:r w:rsidRPr="00523F9A">
        <w:rPr>
          <w:rFonts w:eastAsia="Times New Roman" w:cs="Arial"/>
          <w:i/>
          <w:iCs/>
          <w:sz w:val="20"/>
          <w:szCs w:val="20"/>
        </w:rPr>
        <w:t xml:space="preserve">Criminal Law Consolidation Act 1935 </w:t>
      </w:r>
      <w:r w:rsidRPr="00523F9A">
        <w:rPr>
          <w:rFonts w:eastAsia="Times New Roman" w:cs="Arial"/>
          <w:sz w:val="20"/>
          <w:szCs w:val="20"/>
        </w:rPr>
        <w:t>(SA) s</w:t>
      </w:r>
      <w:r w:rsidR="00A749D4">
        <w:rPr>
          <w:rFonts w:eastAsia="Times New Roman" w:cs="Arial"/>
          <w:sz w:val="20"/>
          <w:szCs w:val="20"/>
        </w:rPr>
        <w:t>s 269O and</w:t>
      </w:r>
      <w:r w:rsidRPr="00523F9A">
        <w:rPr>
          <w:rFonts w:eastAsia="Times New Roman" w:cs="Arial"/>
          <w:sz w:val="20"/>
          <w:szCs w:val="20"/>
        </w:rPr>
        <w:t xml:space="preserve"> 269V; </w:t>
      </w:r>
      <w:r w:rsidRPr="00523F9A">
        <w:rPr>
          <w:rFonts w:eastAsia="Times New Roman" w:cs="Arial"/>
          <w:i/>
          <w:iCs/>
          <w:sz w:val="20"/>
          <w:szCs w:val="20"/>
        </w:rPr>
        <w:t xml:space="preserve">Crimes (Mental Impairment and Unfitness to be Tried) Act 1997 </w:t>
      </w:r>
      <w:r w:rsidRPr="00523F9A">
        <w:rPr>
          <w:rFonts w:eastAsia="Times New Roman" w:cs="Arial"/>
          <w:sz w:val="20"/>
          <w:szCs w:val="20"/>
        </w:rPr>
        <w:t>(Vic) s</w:t>
      </w:r>
      <w:r w:rsidR="00A749D4">
        <w:rPr>
          <w:rFonts w:eastAsia="Times New Roman" w:cs="Arial"/>
          <w:sz w:val="20"/>
          <w:szCs w:val="20"/>
        </w:rPr>
        <w:t>s 26(2)(a)(ii) and</w:t>
      </w:r>
      <w:r w:rsidRPr="00523F9A">
        <w:rPr>
          <w:rFonts w:eastAsia="Times New Roman" w:cs="Arial"/>
          <w:sz w:val="20"/>
          <w:szCs w:val="20"/>
        </w:rPr>
        <w:t xml:space="preserve"> 26(4).</w:t>
      </w:r>
    </w:p>
  </w:endnote>
  <w:endnote w:id="154">
    <w:p w14:paraId="646856CB" w14:textId="1C7C1E50" w:rsidR="003A3F5C" w:rsidRDefault="003A3F5C" w:rsidP="00E51C34">
      <w:pPr>
        <w:pStyle w:val="EndnoteText"/>
      </w:pPr>
      <w:r>
        <w:rPr>
          <w:rStyle w:val="EndnoteReference"/>
        </w:rPr>
        <w:endnoteRef/>
      </w:r>
      <w:r>
        <w:t xml:space="preserve"> </w:t>
      </w:r>
      <w:r w:rsidRPr="009C32A7">
        <w:rPr>
          <w:rFonts w:cs="Arial"/>
        </w:rPr>
        <w:t xml:space="preserve">New South Wales Law Reform Commission, </w:t>
      </w:r>
      <w:r w:rsidRPr="009C32A7">
        <w:rPr>
          <w:rFonts w:cs="Arial"/>
          <w:i/>
        </w:rPr>
        <w:t>People with cognitive and mental health impairments in the criminal justice system: Criminal responsibility and consequences</w:t>
      </w:r>
      <w:r w:rsidRPr="009C32A7">
        <w:rPr>
          <w:rFonts w:cs="Arial"/>
        </w:rPr>
        <w:t xml:space="preserve">, Report No 138 (2013) </w:t>
      </w:r>
      <w:r w:rsidRPr="009C32A7">
        <w:rPr>
          <w:rFonts w:eastAsia="Times New Roman" w:cs="Arial"/>
        </w:rPr>
        <w:t xml:space="preserve">xxiii-xxiv; </w:t>
      </w:r>
      <w:r w:rsidRPr="009C32A7">
        <w:t xml:space="preserve">Victorian Law Reform Commission, </w:t>
      </w:r>
      <w:r w:rsidRPr="009C32A7">
        <w:rPr>
          <w:i/>
        </w:rPr>
        <w:t>Review of the</w:t>
      </w:r>
      <w:r w:rsidRPr="009C32A7">
        <w:t xml:space="preserve"> Crimes (Mental Impairment and Unfitness to be Tried) Act 1997, Report No 28 (2014) </w:t>
      </w:r>
      <w:r w:rsidRPr="009C32A7">
        <w:rPr>
          <w:rFonts w:ascii="Frutiger-Light" w:eastAsia="Times New Roman" w:hAnsi="Frutiger-Light" w:cs="Frutiger-Light"/>
        </w:rPr>
        <w:t xml:space="preserve">415; see also </w:t>
      </w:r>
      <w:r w:rsidRPr="009C32A7">
        <w:rPr>
          <w:rFonts w:ascii="Frutiger-Light" w:eastAsia="Times New Roman" w:hAnsi="Frutiger-Light" w:cs="Frutiger-Light"/>
          <w:i/>
        </w:rPr>
        <w:t>KA, KB, KC and KD v Commonwealth of Australia</w:t>
      </w:r>
      <w:r w:rsidRPr="009C32A7">
        <w:rPr>
          <w:rFonts w:ascii="Frutiger-Light" w:eastAsia="Times New Roman" w:hAnsi="Frutiger-Light" w:cs="Frutiger-Light"/>
        </w:rPr>
        <w:t xml:space="preserve"> [2014] AusHRC 80.</w:t>
      </w:r>
    </w:p>
  </w:endnote>
  <w:endnote w:id="155">
    <w:p w14:paraId="38564F97" w14:textId="720006B1" w:rsidR="003A3F5C" w:rsidRPr="00E226BA" w:rsidRDefault="003A3F5C" w:rsidP="006B090B">
      <w:pPr>
        <w:pStyle w:val="EndnoteText"/>
      </w:pPr>
      <w:r>
        <w:rPr>
          <w:rStyle w:val="EndnoteReference"/>
        </w:rPr>
        <w:endnoteRef/>
      </w:r>
      <w:r>
        <w:t xml:space="preserve"> </w:t>
      </w:r>
      <w:r w:rsidRPr="00691A6F">
        <w:rPr>
          <w:rFonts w:cs="Arial"/>
        </w:rPr>
        <w:t xml:space="preserve">New South Wales Law Reform Commission, </w:t>
      </w:r>
      <w:r w:rsidRPr="00691A6F">
        <w:rPr>
          <w:rFonts w:cs="Arial"/>
          <w:i/>
        </w:rPr>
        <w:t>People with cognitive and mental health impairments in the criminal justice system: Criminal responsibility and consequences</w:t>
      </w:r>
      <w:r w:rsidRPr="00691A6F">
        <w:rPr>
          <w:rFonts w:cs="Arial"/>
        </w:rPr>
        <w:t>, Report No 138 (</w:t>
      </w:r>
      <w:r w:rsidRPr="00E226BA">
        <w:rPr>
          <w:rFonts w:cs="Arial"/>
        </w:rPr>
        <w:t xml:space="preserve">2013) </w:t>
      </w:r>
      <w:r w:rsidRPr="00E226BA">
        <w:rPr>
          <w:rFonts w:eastAsia="Times New Roman" w:cs="Arial"/>
        </w:rPr>
        <w:t>9</w:t>
      </w:r>
      <w:r w:rsidRPr="00E226BA">
        <w:rPr>
          <w:rFonts w:eastAsia="Times New Roman" w:cs="Arial"/>
          <w:color w:val="000000"/>
        </w:rPr>
        <w:t>.</w:t>
      </w:r>
    </w:p>
  </w:endnote>
  <w:endnote w:id="156">
    <w:p w14:paraId="66FDAF43" w14:textId="2973242C" w:rsidR="003A3F5C" w:rsidRDefault="003A3F5C">
      <w:pPr>
        <w:pStyle w:val="EndnoteText"/>
      </w:pPr>
      <w:r w:rsidRPr="00E226BA">
        <w:rPr>
          <w:rStyle w:val="EndnoteReference"/>
        </w:rPr>
        <w:endnoteRef/>
      </w:r>
      <w:r w:rsidRPr="00E226BA">
        <w:t xml:space="preserve"> </w:t>
      </w:r>
      <w:r w:rsidRPr="00E226BA">
        <w:rPr>
          <w:rFonts w:cs="Arial"/>
        </w:rPr>
        <w:t xml:space="preserve">New South Wales Law Reform Commission, </w:t>
      </w:r>
      <w:r w:rsidRPr="00E226BA">
        <w:rPr>
          <w:rFonts w:cs="Arial"/>
          <w:i/>
        </w:rPr>
        <w:t>People with cognitive and mental health impairments in the criminal justice system: Criminal responsibility and consequences</w:t>
      </w:r>
      <w:r w:rsidRPr="00E226BA">
        <w:rPr>
          <w:rFonts w:cs="Arial"/>
        </w:rPr>
        <w:t>, Report No 138 (2013)</w:t>
      </w:r>
      <w:r w:rsidRPr="00E226BA">
        <w:rPr>
          <w:rFonts w:eastAsia="Times New Roman" w:cs="Arial"/>
        </w:rPr>
        <w:t xml:space="preserve"> 299.</w:t>
      </w:r>
      <w:r>
        <w:rPr>
          <w:rFonts w:eastAsia="Times New Roman" w:cs="Arial"/>
          <w:sz w:val="14"/>
          <w:szCs w:val="14"/>
        </w:rPr>
        <w:t xml:space="preserve"> </w:t>
      </w:r>
    </w:p>
  </w:endnote>
  <w:endnote w:id="157">
    <w:p w14:paraId="2EF4C99A" w14:textId="0A7CFD18" w:rsidR="003A3F5C" w:rsidRPr="00B44FE6" w:rsidRDefault="003A3F5C">
      <w:pPr>
        <w:pStyle w:val="EndnoteText"/>
      </w:pPr>
      <w:r w:rsidRPr="00B44FE6">
        <w:rPr>
          <w:rStyle w:val="EndnoteReference"/>
        </w:rPr>
        <w:endnoteRef/>
      </w:r>
      <w:r w:rsidRPr="00B44FE6">
        <w:t xml:space="preserve"> </w:t>
      </w:r>
      <w:r w:rsidRPr="00691A6F">
        <w:rPr>
          <w:rFonts w:cs="Arial"/>
        </w:rPr>
        <w:t xml:space="preserve">New South Wales Law Reform Commission, </w:t>
      </w:r>
      <w:r w:rsidRPr="00691A6F">
        <w:rPr>
          <w:rFonts w:cs="Arial"/>
          <w:i/>
        </w:rPr>
        <w:t>People with cognitive and mental health impairments in the criminal justice system: Criminal responsibility and consequences</w:t>
      </w:r>
      <w:r w:rsidRPr="00691A6F">
        <w:rPr>
          <w:rFonts w:cs="Arial"/>
        </w:rPr>
        <w:t>, Report No 138 (2013</w:t>
      </w:r>
      <w:r>
        <w:rPr>
          <w:rFonts w:cs="Arial"/>
        </w:rPr>
        <w:t xml:space="preserve">) </w:t>
      </w:r>
      <w:r>
        <w:rPr>
          <w:rFonts w:eastAsia="Times New Roman" w:cs="Arial"/>
        </w:rPr>
        <w:t>312</w:t>
      </w:r>
      <w:r w:rsidRPr="00B44FE6">
        <w:rPr>
          <w:rFonts w:eastAsia="Times New Roman" w:cs="Arial"/>
        </w:rPr>
        <w:t>.</w:t>
      </w:r>
    </w:p>
  </w:endnote>
  <w:endnote w:id="158">
    <w:p w14:paraId="1E6C8215" w14:textId="1F424736" w:rsidR="003A3F5C" w:rsidRPr="00B44FE6" w:rsidRDefault="003A3F5C">
      <w:pPr>
        <w:pStyle w:val="EndnoteText"/>
      </w:pPr>
      <w:r w:rsidRPr="00B44FE6">
        <w:rPr>
          <w:rStyle w:val="EndnoteReference"/>
        </w:rPr>
        <w:endnoteRef/>
      </w:r>
      <w:r w:rsidRPr="00B44FE6">
        <w:t xml:space="preserve"> </w:t>
      </w:r>
      <w:r w:rsidRPr="00691A6F">
        <w:rPr>
          <w:rFonts w:cs="Arial"/>
        </w:rPr>
        <w:t xml:space="preserve">New South Wales Law Reform Commission, </w:t>
      </w:r>
      <w:r w:rsidRPr="00691A6F">
        <w:rPr>
          <w:rFonts w:cs="Arial"/>
          <w:i/>
        </w:rPr>
        <w:t>People with cognitive and mental health impairments in the criminal justice system: Criminal responsibility and consequences</w:t>
      </w:r>
      <w:r w:rsidRPr="00691A6F">
        <w:rPr>
          <w:rFonts w:cs="Arial"/>
        </w:rPr>
        <w:t>, Report No 138 (2013</w:t>
      </w:r>
      <w:r>
        <w:rPr>
          <w:rFonts w:cs="Arial"/>
        </w:rPr>
        <w:t xml:space="preserve">) </w:t>
      </w:r>
      <w:r>
        <w:rPr>
          <w:rFonts w:eastAsia="Times New Roman" w:cs="Arial"/>
        </w:rPr>
        <w:t>312</w:t>
      </w:r>
      <w:r w:rsidRPr="00B44FE6">
        <w:rPr>
          <w:rFonts w:eastAsia="Times New Roman" w:cs="Arial"/>
        </w:rPr>
        <w:t>.</w:t>
      </w:r>
    </w:p>
  </w:endnote>
  <w:endnote w:id="159">
    <w:p w14:paraId="01DCD7C4" w14:textId="7D82025E" w:rsidR="003A3F5C" w:rsidRPr="00B44FE6" w:rsidRDefault="003A3F5C">
      <w:pPr>
        <w:pStyle w:val="EndnoteText"/>
      </w:pPr>
      <w:r w:rsidRPr="00B44FE6">
        <w:rPr>
          <w:rStyle w:val="EndnoteReference"/>
        </w:rPr>
        <w:endnoteRef/>
      </w:r>
      <w:r w:rsidRPr="00B44FE6">
        <w:t xml:space="preserve"> </w:t>
      </w:r>
      <w:r w:rsidRPr="00691A6F">
        <w:rPr>
          <w:rFonts w:cs="Arial"/>
        </w:rPr>
        <w:t xml:space="preserve">New South Wales Law Reform Commission, </w:t>
      </w:r>
      <w:r w:rsidRPr="00691A6F">
        <w:rPr>
          <w:rFonts w:cs="Arial"/>
          <w:i/>
        </w:rPr>
        <w:t>People with cognitive and mental health impairments in the criminal justice system: Criminal responsibility and consequences</w:t>
      </w:r>
      <w:r w:rsidRPr="00691A6F">
        <w:rPr>
          <w:rFonts w:cs="Arial"/>
        </w:rPr>
        <w:t>, Report No 138 (2013</w:t>
      </w:r>
      <w:r>
        <w:rPr>
          <w:rFonts w:cs="Arial"/>
        </w:rPr>
        <w:t xml:space="preserve">) </w:t>
      </w:r>
      <w:r>
        <w:rPr>
          <w:rFonts w:eastAsia="Times New Roman" w:cs="Arial"/>
        </w:rPr>
        <w:t>298.</w:t>
      </w:r>
    </w:p>
  </w:endnote>
  <w:endnote w:id="160">
    <w:p w14:paraId="584750A1" w14:textId="28FE10A9" w:rsidR="003A3F5C" w:rsidRDefault="003A3F5C">
      <w:pPr>
        <w:pStyle w:val="EndnoteText"/>
      </w:pPr>
      <w:r w:rsidRPr="00B44FE6">
        <w:rPr>
          <w:rStyle w:val="EndnoteReference"/>
        </w:rPr>
        <w:endnoteRef/>
      </w:r>
      <w:r w:rsidRPr="00B44FE6">
        <w:t xml:space="preserve"> </w:t>
      </w:r>
      <w:r w:rsidRPr="00691A6F">
        <w:rPr>
          <w:rFonts w:cs="Arial"/>
        </w:rPr>
        <w:t xml:space="preserve">New South Wales Law Reform Commission, </w:t>
      </w:r>
      <w:r w:rsidRPr="00691A6F">
        <w:rPr>
          <w:rFonts w:cs="Arial"/>
          <w:i/>
        </w:rPr>
        <w:t>People with cognitive and mental health impairments in the criminal justice system: Criminal responsibility and consequences</w:t>
      </w:r>
      <w:r w:rsidRPr="00691A6F">
        <w:rPr>
          <w:rFonts w:cs="Arial"/>
        </w:rPr>
        <w:t>, Report No 138 (2013</w:t>
      </w:r>
      <w:r>
        <w:rPr>
          <w:rFonts w:cs="Arial"/>
        </w:rPr>
        <w:t xml:space="preserve">) </w:t>
      </w:r>
      <w:r>
        <w:rPr>
          <w:rFonts w:eastAsia="Times New Roman" w:cs="Arial"/>
        </w:rPr>
        <w:t>298.</w:t>
      </w:r>
    </w:p>
  </w:endnote>
  <w:endnote w:id="161">
    <w:p w14:paraId="4E365DB2" w14:textId="739D698F" w:rsidR="003A3F5C" w:rsidRPr="003B6CD6" w:rsidRDefault="003A3F5C">
      <w:pPr>
        <w:pStyle w:val="EndnoteText"/>
      </w:pPr>
      <w:r w:rsidRPr="003B6CD6">
        <w:rPr>
          <w:rStyle w:val="EndnoteReference"/>
        </w:rPr>
        <w:endnoteRef/>
      </w:r>
      <w:r w:rsidRPr="003B6CD6">
        <w:t xml:space="preserve"> </w:t>
      </w:r>
      <w:r w:rsidRPr="003375C7">
        <w:rPr>
          <w:rFonts w:cs="Arial"/>
        </w:rPr>
        <w:t xml:space="preserve">Mindy Sotiri, Patrick McGee and Eileen Baldry, </w:t>
      </w:r>
      <w:r w:rsidRPr="003375C7">
        <w:rPr>
          <w:rFonts w:cs="Arial"/>
          <w:i/>
        </w:rPr>
        <w:t>No End in Sight: The Imprisonment, and indefinite detention of Indigenous Australians with A Cognitive Impairment</w:t>
      </w:r>
      <w:r w:rsidRPr="003375C7">
        <w:rPr>
          <w:rFonts w:cs="Arial"/>
        </w:rPr>
        <w:t xml:space="preserve"> (University of New South Wales, 2012) </w:t>
      </w:r>
      <w:r>
        <w:rPr>
          <w:rFonts w:eastAsia="Times New Roman" w:cs="Arial"/>
        </w:rPr>
        <w:t>38</w:t>
      </w:r>
      <w:r w:rsidRPr="003B6CD6">
        <w:rPr>
          <w:rFonts w:eastAsia="Times New Roman" w:cs="Arial"/>
        </w:rPr>
        <w:t>.</w:t>
      </w:r>
    </w:p>
  </w:endnote>
  <w:endnote w:id="162">
    <w:p w14:paraId="7517BE08" w14:textId="6B170FA4" w:rsidR="003A3F5C" w:rsidRPr="003B6CD6" w:rsidRDefault="003A3F5C" w:rsidP="00917396">
      <w:pPr>
        <w:pStyle w:val="EndnoteText"/>
        <w:rPr>
          <w:rFonts w:cs="Arial"/>
        </w:rPr>
      </w:pPr>
      <w:r w:rsidRPr="003B6CD6">
        <w:rPr>
          <w:rStyle w:val="EndnoteReference"/>
        </w:rPr>
        <w:endnoteRef/>
      </w:r>
      <w:r w:rsidRPr="003B6CD6">
        <w:rPr>
          <w:rFonts w:cs="Arial"/>
        </w:rPr>
        <w:t xml:space="preserve"> Royal Commission into Aboriginal Deaths in Custody, </w:t>
      </w:r>
      <w:r>
        <w:rPr>
          <w:rFonts w:cs="Arial"/>
          <w:i/>
        </w:rPr>
        <w:t xml:space="preserve">National Report: Volume 5 </w:t>
      </w:r>
      <w:r w:rsidRPr="00F440F3">
        <w:rPr>
          <w:rFonts w:cs="Arial"/>
        </w:rPr>
        <w:t>(1991)</w:t>
      </w:r>
      <w:r>
        <w:rPr>
          <w:rFonts w:cs="Arial"/>
          <w:i/>
        </w:rPr>
        <w:t xml:space="preserve"> </w:t>
      </w:r>
      <w:r>
        <w:rPr>
          <w:rFonts w:cs="Arial"/>
        </w:rPr>
        <w:t>rec</w:t>
      </w:r>
      <w:r w:rsidRPr="003B6CD6">
        <w:rPr>
          <w:rFonts w:cs="Arial"/>
        </w:rPr>
        <w:t xml:space="preserve"> 92. At </w:t>
      </w:r>
      <w:hyperlink r:id="rId8" w:history="1">
        <w:r w:rsidRPr="003B6CD6">
          <w:rPr>
            <w:rStyle w:val="Hyperlink"/>
            <w:rFonts w:cs="Arial"/>
          </w:rPr>
          <w:t>http://www.austlii.edu.au/au/other/IndigLRes/rciadic/</w:t>
        </w:r>
      </w:hyperlink>
      <w:r>
        <w:rPr>
          <w:rFonts w:cs="Arial"/>
        </w:rPr>
        <w:t xml:space="preserve"> (viewed 24 February 2016</w:t>
      </w:r>
      <w:r w:rsidRPr="003B6CD6">
        <w:rPr>
          <w:rFonts w:cs="Arial"/>
        </w:rPr>
        <w:t xml:space="preserve">). </w:t>
      </w:r>
    </w:p>
  </w:endnote>
  <w:endnote w:id="163">
    <w:p w14:paraId="004D2561" w14:textId="283BDA19" w:rsidR="003A3F5C" w:rsidRPr="00185B48" w:rsidRDefault="003A3F5C" w:rsidP="009535D2">
      <w:pPr>
        <w:pStyle w:val="SubmissionNormal"/>
        <w:numPr>
          <w:ilvl w:val="0"/>
          <w:numId w:val="0"/>
        </w:numPr>
        <w:spacing w:before="0" w:after="0"/>
        <w:rPr>
          <w:sz w:val="20"/>
          <w:szCs w:val="20"/>
        </w:rPr>
      </w:pPr>
      <w:r w:rsidRPr="00185B48">
        <w:rPr>
          <w:rStyle w:val="EndnoteReference"/>
          <w:szCs w:val="20"/>
        </w:rPr>
        <w:endnoteRef/>
      </w:r>
      <w:r>
        <w:rPr>
          <w:sz w:val="20"/>
          <w:szCs w:val="20"/>
        </w:rPr>
        <w:t xml:space="preserve"> </w:t>
      </w:r>
      <w:r w:rsidRPr="00A55B97">
        <w:rPr>
          <w:sz w:val="20"/>
          <w:szCs w:val="20"/>
        </w:rPr>
        <w:t xml:space="preserve">See </w:t>
      </w:r>
      <w:r w:rsidRPr="00A55B97">
        <w:rPr>
          <w:rFonts w:cs="Arial"/>
          <w:i/>
          <w:sz w:val="20"/>
          <w:szCs w:val="20"/>
        </w:rPr>
        <w:t>Disability Rights Now: Civil Society Report to the United Nations Committee on the Rights of Persons with Disabilities</w:t>
      </w:r>
      <w:r w:rsidRPr="00A55B97">
        <w:rPr>
          <w:rFonts w:cs="Arial"/>
          <w:sz w:val="20"/>
          <w:szCs w:val="20"/>
        </w:rPr>
        <w:t xml:space="preserve"> (2012) </w:t>
      </w:r>
      <w:r w:rsidRPr="00A55B97">
        <w:rPr>
          <w:sz w:val="20"/>
          <w:szCs w:val="20"/>
        </w:rPr>
        <w:t>97.</w:t>
      </w:r>
    </w:p>
  </w:endnote>
  <w:endnote w:id="164">
    <w:p w14:paraId="25EB1BF1" w14:textId="76AC0FED" w:rsidR="003A3F5C" w:rsidRDefault="003A3F5C" w:rsidP="009535D2">
      <w:pPr>
        <w:pStyle w:val="EndnoteText"/>
      </w:pPr>
      <w:r w:rsidRPr="00185B48">
        <w:rPr>
          <w:rStyle w:val="EndnoteReference"/>
        </w:rPr>
        <w:endnoteRef/>
      </w:r>
      <w:r w:rsidRPr="00185B48">
        <w:t xml:space="preserve"> </w:t>
      </w:r>
      <w:r w:rsidRPr="00185B48">
        <w:rPr>
          <w:rFonts w:cs="Arial"/>
          <w:bCs/>
          <w:i/>
          <w:color w:val="000000"/>
        </w:rPr>
        <w:t>KA, KB, KC and KD v Commonwealth of Australia</w:t>
      </w:r>
      <w:r w:rsidRPr="00185B48">
        <w:rPr>
          <w:rFonts w:cs="Arial"/>
          <w:b/>
          <w:bCs/>
          <w:color w:val="000000"/>
        </w:rPr>
        <w:t xml:space="preserve"> </w:t>
      </w:r>
      <w:r w:rsidRPr="00185B48">
        <w:rPr>
          <w:rFonts w:cs="Arial"/>
          <w:color w:val="000000"/>
        </w:rPr>
        <w:t>[2014] AusHRC 80, [264]-[267].</w:t>
      </w:r>
    </w:p>
  </w:endnote>
  <w:endnote w:id="165">
    <w:p w14:paraId="03D08F02" w14:textId="276858A5" w:rsidR="003A3F5C" w:rsidRDefault="003A3F5C" w:rsidP="009535D2">
      <w:pPr>
        <w:pStyle w:val="EndnoteText"/>
        <w:ind w:left="284" w:hanging="284"/>
        <w:rPr>
          <w:color w:val="000000" w:themeColor="text1"/>
        </w:rPr>
      </w:pPr>
      <w:r w:rsidRPr="003B6CD6">
        <w:rPr>
          <w:rStyle w:val="EndnoteReference"/>
          <w:color w:val="000000" w:themeColor="text1"/>
        </w:rPr>
        <w:endnoteRef/>
      </w:r>
      <w:r w:rsidRPr="003B6CD6">
        <w:rPr>
          <w:color w:val="000000" w:themeColor="text1"/>
        </w:rPr>
        <w:t xml:space="preserve"> </w:t>
      </w:r>
      <w:r w:rsidRPr="003B6CD6">
        <w:rPr>
          <w:color w:val="000000" w:themeColor="text1"/>
        </w:rPr>
        <w:tab/>
        <w:t xml:space="preserve">UN Committee on the Rights of Persons with Disabilities, </w:t>
      </w:r>
      <w:r w:rsidRPr="003B6CD6">
        <w:rPr>
          <w:i/>
          <w:color w:val="000000" w:themeColor="text1"/>
        </w:rPr>
        <w:t>Concluding Observations on the initial report of Australia, adopted by the Committee at its tenth session (2–13 September 2013)</w:t>
      </w:r>
      <w:r w:rsidRPr="003B6CD6">
        <w:rPr>
          <w:color w:val="000000" w:themeColor="text1"/>
        </w:rPr>
        <w:t>, UN</w:t>
      </w:r>
      <w:r>
        <w:rPr>
          <w:color w:val="000000" w:themeColor="text1"/>
        </w:rPr>
        <w:t xml:space="preserve"> Doc CRPD/C/AUS/CO/1 (2013) [32].</w:t>
      </w:r>
    </w:p>
  </w:endnote>
  <w:endnote w:id="166">
    <w:p w14:paraId="11BE8928" w14:textId="7BA3AF2D" w:rsidR="003A3F5C" w:rsidRDefault="003A3F5C" w:rsidP="009535D2">
      <w:pPr>
        <w:pStyle w:val="EndnoteText"/>
      </w:pPr>
      <w:r w:rsidRPr="006A7BE7">
        <w:rPr>
          <w:rStyle w:val="EndnoteReference"/>
        </w:rPr>
        <w:endnoteRef/>
      </w:r>
      <w:r w:rsidRPr="006A7BE7">
        <w:t xml:space="preserve"> </w:t>
      </w:r>
      <w:r w:rsidRPr="006A7BE7">
        <w:rPr>
          <w:rFonts w:cs="Arial"/>
        </w:rPr>
        <w:t xml:space="preserve">UN Human Rights Committee, </w:t>
      </w:r>
      <w:r w:rsidRPr="006A7BE7">
        <w:rPr>
          <w:rFonts w:cs="Arial"/>
          <w:i/>
        </w:rPr>
        <w:t>General Comment No. 35: Article 9 (Liberty and security of person)</w:t>
      </w:r>
      <w:r w:rsidRPr="006A7BE7">
        <w:rPr>
          <w:rFonts w:cs="Arial"/>
        </w:rPr>
        <w:t xml:space="preserve">, UN Doc </w:t>
      </w:r>
      <w:r w:rsidRPr="006A7BE7">
        <w:t>CCPR/C/GC/35 (2014) [</w:t>
      </w:r>
      <w:r w:rsidRPr="006A7BE7">
        <w:rPr>
          <w:rFonts w:cs="Arial"/>
        </w:rPr>
        <w:t>19].</w:t>
      </w:r>
    </w:p>
  </w:endnote>
  <w:endnote w:id="167">
    <w:p w14:paraId="031AA18D" w14:textId="66C52519" w:rsidR="003A3F5C" w:rsidRDefault="003A3F5C">
      <w:pPr>
        <w:pStyle w:val="EndnoteText"/>
      </w:pPr>
      <w:r>
        <w:rPr>
          <w:rStyle w:val="EndnoteReference"/>
        </w:rPr>
        <w:endnoteRef/>
      </w:r>
      <w:r>
        <w:t xml:space="preserve"> </w:t>
      </w:r>
      <w:r w:rsidRPr="009963F0">
        <w:t>Jonathon Hunyor and Michelle Swift ‘A judge short of a full bench: mental impairment and fitness to plead in the NT criminal legal system’ (Paper presented at the Criminal Lawyers Association Northern Territory Conference, Sanur, Bali, 30 June 2011)</w:t>
      </w:r>
      <w:r>
        <w:t xml:space="preserve"> 24.</w:t>
      </w:r>
    </w:p>
  </w:endnote>
  <w:endnote w:id="168">
    <w:p w14:paraId="46E0713A" w14:textId="5BA603BE" w:rsidR="003A3F5C" w:rsidRDefault="003A3F5C" w:rsidP="009535D2">
      <w:pPr>
        <w:pStyle w:val="EndnoteText"/>
      </w:pPr>
      <w:r>
        <w:rPr>
          <w:rStyle w:val="EndnoteReference"/>
        </w:rPr>
        <w:endnoteRef/>
      </w:r>
      <w:r>
        <w:t xml:space="preserve"> </w:t>
      </w:r>
      <w:r>
        <w:rPr>
          <w:color w:val="000000" w:themeColor="text1"/>
        </w:rPr>
        <w:t xml:space="preserve">UN Committee on the Rights of Persons with Disabilities, </w:t>
      </w:r>
      <w:r>
        <w:rPr>
          <w:i/>
          <w:color w:val="000000" w:themeColor="text1"/>
        </w:rPr>
        <w:t>Concluding Observations on the initial report of Australia, adopted by the Committee at its tenth session (2–13 September 2013)</w:t>
      </w:r>
      <w:r>
        <w:rPr>
          <w:color w:val="000000" w:themeColor="text1"/>
        </w:rPr>
        <w:t xml:space="preserve">, UN Doc CRPD/C/AUS/CO/1 (2013), </w:t>
      </w:r>
      <w:r>
        <w:t>[35].</w:t>
      </w:r>
    </w:p>
  </w:endnote>
  <w:endnote w:id="169">
    <w:p w14:paraId="29F97105" w14:textId="77777777" w:rsidR="003A3F5C" w:rsidRDefault="003A3F5C" w:rsidP="009535D2">
      <w:pPr>
        <w:pStyle w:val="EndnoteText"/>
      </w:pPr>
      <w:r>
        <w:rPr>
          <w:rStyle w:val="EndnoteReference"/>
        </w:rPr>
        <w:endnoteRef/>
      </w:r>
      <w:r>
        <w:t xml:space="preserve"> </w:t>
      </w:r>
      <w:r w:rsidRPr="007B75DF">
        <w:rPr>
          <w:rFonts w:cs="Arial"/>
          <w:bCs/>
          <w:i/>
          <w:color w:val="000000"/>
        </w:rPr>
        <w:t>KA, KB, KC and KD v Commonwealth of Australia</w:t>
      </w:r>
      <w:r w:rsidRPr="007B75DF">
        <w:rPr>
          <w:rFonts w:cs="Arial"/>
          <w:b/>
          <w:bCs/>
          <w:color w:val="000000"/>
        </w:rPr>
        <w:t xml:space="preserve"> </w:t>
      </w:r>
      <w:r w:rsidRPr="007B75DF">
        <w:rPr>
          <w:rFonts w:cs="Arial"/>
          <w:color w:val="000000"/>
        </w:rPr>
        <w:t>[2014] AusHRC 80</w:t>
      </w:r>
      <w:r>
        <w:rPr>
          <w:rFonts w:cs="Arial"/>
          <w:color w:val="000000"/>
        </w:rPr>
        <w:t>, [264]-[267].</w:t>
      </w:r>
    </w:p>
    <w:p w14:paraId="2D191E9C" w14:textId="04C93E29" w:rsidR="003A3F5C" w:rsidRDefault="003A3F5C" w:rsidP="009535D2">
      <w:pPr>
        <w:pStyle w:val="EndnoteText"/>
      </w:pPr>
      <w:r>
        <w:rPr>
          <w:rStyle w:val="EndnoteReference"/>
        </w:rPr>
        <w:endnoteRef/>
      </w:r>
      <w:r>
        <w:t xml:space="preserve"> </w:t>
      </w:r>
      <w:r>
        <w:rPr>
          <w:color w:val="000000" w:themeColor="text1"/>
        </w:rPr>
        <w:t xml:space="preserve">UN Committee on the Rights of Persons with Disabilities, </w:t>
      </w:r>
      <w:r>
        <w:rPr>
          <w:i/>
          <w:color w:val="000000" w:themeColor="text1"/>
        </w:rPr>
        <w:t>Concluding Observations on the initial report of Australia, adopted by the Committee at its tenth session (2–13 September 2013)</w:t>
      </w:r>
      <w:r>
        <w:rPr>
          <w:color w:val="000000" w:themeColor="text1"/>
        </w:rPr>
        <w:t xml:space="preserve">, UN Doc CRPD/C/AUS/CO/1 (2013), </w:t>
      </w:r>
      <w:r>
        <w:t>[36].</w:t>
      </w:r>
    </w:p>
  </w:endnote>
  <w:endnote w:id="170">
    <w:p w14:paraId="629A6B3C" w14:textId="2DCF6314" w:rsidR="003A3F5C" w:rsidRDefault="003A3F5C">
      <w:pPr>
        <w:pStyle w:val="EndnoteText"/>
      </w:pPr>
      <w:r>
        <w:rPr>
          <w:rStyle w:val="EndnoteReference"/>
        </w:rPr>
        <w:endnoteRef/>
      </w:r>
      <w:r>
        <w:t xml:space="preserve"> </w:t>
      </w:r>
      <w:r w:rsidRPr="00084520">
        <w:rPr>
          <w:i/>
        </w:rPr>
        <w:t xml:space="preserve">Optional Protocol to the Convention against Torture and Other Cruel, Inhuman or Degrading Treatment or Punishment, </w:t>
      </w:r>
      <w:r w:rsidRPr="00084520">
        <w:t>opened for signature 18 December 2002, 2375 UNTS 237 (entered into force 22 June 2006).</w:t>
      </w:r>
    </w:p>
  </w:endnote>
  <w:endnote w:id="171">
    <w:p w14:paraId="2DFC7719" w14:textId="4F0AAD3E" w:rsidR="003A3F5C" w:rsidRDefault="003A3F5C">
      <w:pPr>
        <w:pStyle w:val="EndnoteText"/>
      </w:pPr>
      <w:r>
        <w:rPr>
          <w:rStyle w:val="EndnoteReference"/>
        </w:rPr>
        <w:endnoteRef/>
      </w:r>
      <w:r>
        <w:t xml:space="preserve"> </w:t>
      </w:r>
      <w:r w:rsidRPr="00805DFB">
        <w:t>[2014] AusHRC 80</w:t>
      </w:r>
      <w:r w:rsidR="00B06AFE">
        <w:t>.</w:t>
      </w:r>
    </w:p>
  </w:endnote>
  <w:endnote w:id="172">
    <w:p w14:paraId="51859EDA" w14:textId="77777777" w:rsidR="003A3F5C" w:rsidRDefault="003A3F5C" w:rsidP="00EF6128">
      <w:pPr>
        <w:pStyle w:val="EndnoteText"/>
        <w:rPr>
          <w:rFonts w:cs="Arial"/>
        </w:rPr>
      </w:pPr>
      <w:r>
        <w:rPr>
          <w:rStyle w:val="EndnoteReference"/>
        </w:rPr>
        <w:endnoteRef/>
      </w:r>
      <w:r>
        <w:rPr>
          <w:rFonts w:cs="Arial"/>
        </w:rPr>
        <w:t xml:space="preserve"> </w:t>
      </w:r>
      <w:r>
        <w:rPr>
          <w:rFonts w:cs="Arial"/>
          <w:bCs/>
          <w:i/>
          <w:iCs/>
        </w:rPr>
        <w:t xml:space="preserve">Criminal Law (Mentally Impaired Accused) Act 1996 </w:t>
      </w:r>
      <w:r>
        <w:rPr>
          <w:rFonts w:cs="Arial"/>
          <w:bCs/>
          <w:iCs/>
        </w:rPr>
        <w:t>(WA),</w:t>
      </w:r>
      <w:r>
        <w:rPr>
          <w:rFonts w:cs="Arial"/>
          <w:bCs/>
          <w:i/>
          <w:iCs/>
        </w:rPr>
        <w:t xml:space="preserve"> </w:t>
      </w:r>
      <w:r>
        <w:rPr>
          <w:rFonts w:cs="Arial"/>
          <w:bCs/>
          <w:iCs/>
        </w:rPr>
        <w:t xml:space="preserve">s 24. </w:t>
      </w:r>
    </w:p>
  </w:endnote>
  <w:endnote w:id="173">
    <w:p w14:paraId="5A9E6157" w14:textId="3D207660" w:rsidR="00A71C1E" w:rsidRDefault="00A71C1E">
      <w:pPr>
        <w:pStyle w:val="EndnoteText"/>
      </w:pPr>
      <w:r>
        <w:rPr>
          <w:rStyle w:val="EndnoteReference"/>
        </w:rPr>
        <w:endnoteRef/>
      </w:r>
      <w:r>
        <w:t xml:space="preserve"> Available at </w:t>
      </w:r>
      <w:hyperlink r:id="rId9" w:history="1">
        <w:r w:rsidRPr="00A71C1E">
          <w:rPr>
            <w:rStyle w:val="Hyperlink"/>
          </w:rPr>
          <w:t>https://www.humanrights.gov.au/our-work/legal/publications/ka-kb-kc-and-kd-v-commonwealth-australia</w:t>
        </w:r>
      </w:hyperlink>
      <w:r>
        <w:t>.</w:t>
      </w:r>
    </w:p>
  </w:endnote>
  <w:endnote w:id="174">
    <w:p w14:paraId="7FBD146A" w14:textId="77777777" w:rsidR="002534BE" w:rsidRPr="00F44D70" w:rsidRDefault="002534BE" w:rsidP="002534BE">
      <w:pPr>
        <w:pStyle w:val="EndnoteText"/>
        <w:rPr>
          <w:rFonts w:cs="Arial"/>
        </w:rPr>
      </w:pPr>
      <w:r>
        <w:rPr>
          <w:rStyle w:val="EndnoteReference"/>
        </w:rPr>
        <w:endnoteRef/>
      </w:r>
      <w:r>
        <w:t xml:space="preserve"> </w:t>
      </w:r>
      <w:r w:rsidRPr="007B75DF">
        <w:rPr>
          <w:rFonts w:cs="Arial"/>
          <w:bCs/>
          <w:i/>
          <w:color w:val="000000"/>
        </w:rPr>
        <w:t>KA, KB, KC and KD v Commonwealth of Australia</w:t>
      </w:r>
      <w:r w:rsidRPr="007B75DF">
        <w:rPr>
          <w:rFonts w:cs="Arial"/>
          <w:b/>
          <w:bCs/>
          <w:color w:val="000000"/>
        </w:rPr>
        <w:t xml:space="preserve"> </w:t>
      </w:r>
      <w:r w:rsidRPr="007B75DF">
        <w:rPr>
          <w:rFonts w:cs="Arial"/>
          <w:color w:val="000000"/>
        </w:rPr>
        <w:t>[2014] AusHRC 80, [</w:t>
      </w:r>
      <w:r>
        <w:rPr>
          <w:rFonts w:cs="Arial"/>
          <w:color w:val="000000"/>
        </w:rPr>
        <w:t>265]-[266</w:t>
      </w:r>
      <w:r w:rsidRPr="007B75DF">
        <w:rPr>
          <w:rFonts w:cs="Arial"/>
          <w:color w:val="000000"/>
        </w:rPr>
        <w:t>].</w:t>
      </w:r>
    </w:p>
  </w:endnote>
  <w:endnote w:id="175">
    <w:p w14:paraId="5DFFF84F" w14:textId="77777777" w:rsidR="003A3F5C" w:rsidRPr="00F44D70" w:rsidRDefault="003A3F5C" w:rsidP="00E93207">
      <w:pPr>
        <w:pStyle w:val="EndnoteText"/>
        <w:rPr>
          <w:rFonts w:cs="Arial"/>
        </w:rPr>
      </w:pPr>
      <w:r>
        <w:rPr>
          <w:rStyle w:val="EndnoteReference"/>
        </w:rPr>
        <w:endnoteRef/>
      </w:r>
      <w:r>
        <w:t xml:space="preserve"> </w:t>
      </w:r>
      <w:r w:rsidRPr="007B75DF">
        <w:rPr>
          <w:rFonts w:cs="Arial"/>
          <w:bCs/>
          <w:i/>
          <w:color w:val="000000"/>
        </w:rPr>
        <w:t>KA, KB, KC and KD v Commonwealth of Australia</w:t>
      </w:r>
      <w:r w:rsidRPr="007B75DF">
        <w:rPr>
          <w:rFonts w:cs="Arial"/>
          <w:b/>
          <w:bCs/>
          <w:color w:val="000000"/>
        </w:rPr>
        <w:t xml:space="preserve"> </w:t>
      </w:r>
      <w:r w:rsidRPr="007B75DF">
        <w:rPr>
          <w:rFonts w:cs="Arial"/>
          <w:color w:val="000000"/>
        </w:rPr>
        <w:t>[2014] AusHRC 80, [</w:t>
      </w:r>
      <w:r>
        <w:rPr>
          <w:rFonts w:cs="Arial"/>
          <w:color w:val="000000"/>
        </w:rPr>
        <w:t>265]-[266</w:t>
      </w:r>
      <w:r w:rsidRPr="007B75DF">
        <w:rPr>
          <w:rFonts w:cs="Arial"/>
          <w:color w:val="000000"/>
        </w:rPr>
        <w:t>].</w:t>
      </w:r>
    </w:p>
  </w:endnote>
  <w:endnote w:id="176">
    <w:p w14:paraId="3FE5CA4F" w14:textId="77777777" w:rsidR="003A3F5C" w:rsidRDefault="003A3F5C" w:rsidP="00E93207">
      <w:pPr>
        <w:pStyle w:val="EndnoteText"/>
      </w:pPr>
      <w:r>
        <w:rPr>
          <w:rStyle w:val="EndnoteReference"/>
        </w:rPr>
        <w:endnoteRef/>
      </w:r>
      <w:r>
        <w:t xml:space="preserve"> </w:t>
      </w:r>
      <w:r w:rsidRPr="007B75DF">
        <w:rPr>
          <w:rFonts w:cs="Arial"/>
          <w:bCs/>
          <w:i/>
          <w:color w:val="000000"/>
        </w:rPr>
        <w:t>KA, KB, KC and KD v Commonwealth of Australia</w:t>
      </w:r>
      <w:r w:rsidRPr="007B75DF">
        <w:rPr>
          <w:rFonts w:cs="Arial"/>
          <w:b/>
          <w:bCs/>
          <w:color w:val="000000"/>
        </w:rPr>
        <w:t xml:space="preserve"> </w:t>
      </w:r>
      <w:r w:rsidRPr="007B75DF">
        <w:rPr>
          <w:rFonts w:cs="Arial"/>
          <w:color w:val="000000"/>
        </w:rPr>
        <w:t>[2014] AusHRC 80, [</w:t>
      </w:r>
      <w:r>
        <w:rPr>
          <w:rFonts w:cs="Arial"/>
          <w:color w:val="000000"/>
        </w:rPr>
        <w:t>267].</w:t>
      </w:r>
    </w:p>
  </w:endnote>
  <w:endnote w:id="177">
    <w:p w14:paraId="6D8F10BD" w14:textId="77777777" w:rsidR="003A3F5C" w:rsidRDefault="003A3F5C" w:rsidP="00E93207">
      <w:pPr>
        <w:pStyle w:val="EndnoteText"/>
      </w:pPr>
      <w:r>
        <w:rPr>
          <w:rStyle w:val="EndnoteReference"/>
        </w:rPr>
        <w:endnoteRef/>
      </w:r>
      <w:r>
        <w:t xml:space="preserve"> </w:t>
      </w:r>
      <w:r w:rsidRPr="007B75DF">
        <w:rPr>
          <w:rFonts w:cs="Arial"/>
          <w:bCs/>
          <w:i/>
          <w:color w:val="000000"/>
        </w:rPr>
        <w:t>KA, KB, KC and KD v Commonwealth of Australia</w:t>
      </w:r>
      <w:r w:rsidRPr="007B75DF">
        <w:rPr>
          <w:rFonts w:cs="Arial"/>
          <w:b/>
          <w:bCs/>
          <w:color w:val="000000"/>
        </w:rPr>
        <w:t xml:space="preserve"> </w:t>
      </w:r>
      <w:r w:rsidRPr="007B75DF">
        <w:rPr>
          <w:rFonts w:cs="Arial"/>
          <w:color w:val="000000"/>
        </w:rPr>
        <w:t>[2014] AusHRC 80, [</w:t>
      </w:r>
      <w:r>
        <w:rPr>
          <w:rFonts w:cs="Arial"/>
          <w:color w:val="000000"/>
        </w:rPr>
        <w:t>258]-[263].</w:t>
      </w:r>
    </w:p>
  </w:endnote>
  <w:endnote w:id="178">
    <w:p w14:paraId="24820CE9" w14:textId="77777777" w:rsidR="003A3F5C" w:rsidRDefault="003A3F5C" w:rsidP="00E93207">
      <w:pPr>
        <w:pStyle w:val="EndnoteText"/>
      </w:pPr>
      <w:r>
        <w:rPr>
          <w:rStyle w:val="EndnoteReference"/>
        </w:rPr>
        <w:endnoteRef/>
      </w:r>
      <w:r>
        <w:t xml:space="preserve"> </w:t>
      </w:r>
      <w:r w:rsidRPr="007B75DF">
        <w:rPr>
          <w:rFonts w:cs="Arial"/>
          <w:bCs/>
          <w:i/>
          <w:color w:val="000000"/>
        </w:rPr>
        <w:t>KA, KB, KC and KD v Commonwealth of Australia</w:t>
      </w:r>
      <w:r w:rsidRPr="007B75DF">
        <w:rPr>
          <w:rFonts w:cs="Arial"/>
          <w:b/>
          <w:bCs/>
          <w:color w:val="000000"/>
        </w:rPr>
        <w:t xml:space="preserve"> </w:t>
      </w:r>
      <w:r w:rsidRPr="007B75DF">
        <w:rPr>
          <w:rFonts w:cs="Arial"/>
          <w:color w:val="000000"/>
        </w:rPr>
        <w:t>[2014] AusHRC 80, [</w:t>
      </w:r>
      <w:r>
        <w:rPr>
          <w:rFonts w:cs="Arial"/>
          <w:color w:val="000000"/>
        </w:rPr>
        <w:t>258]-[263].</w:t>
      </w:r>
    </w:p>
  </w:endnote>
  <w:endnote w:id="179">
    <w:p w14:paraId="2C361000" w14:textId="77777777" w:rsidR="003A3F5C" w:rsidRDefault="003A3F5C" w:rsidP="00E93207">
      <w:pPr>
        <w:pStyle w:val="EndnoteText"/>
      </w:pPr>
      <w:r>
        <w:rPr>
          <w:rStyle w:val="EndnoteReference"/>
        </w:rPr>
        <w:endnoteRef/>
      </w:r>
      <w:r>
        <w:t xml:space="preserve"> </w:t>
      </w:r>
      <w:r w:rsidRPr="007B75DF">
        <w:rPr>
          <w:rFonts w:cs="Arial"/>
          <w:bCs/>
          <w:i/>
          <w:color w:val="000000"/>
        </w:rPr>
        <w:t>KA, KB, KC and KD v Commonwealth of Australia</w:t>
      </w:r>
      <w:r w:rsidRPr="007B75DF">
        <w:rPr>
          <w:rFonts w:cs="Arial"/>
          <w:b/>
          <w:bCs/>
          <w:color w:val="000000"/>
        </w:rPr>
        <w:t xml:space="preserve"> </w:t>
      </w:r>
      <w:r w:rsidRPr="007B75DF">
        <w:rPr>
          <w:rFonts w:cs="Arial"/>
          <w:color w:val="000000"/>
        </w:rPr>
        <w:t>[2014] AusHRC 80, [</w:t>
      </w:r>
      <w:r>
        <w:rPr>
          <w:rFonts w:cs="Arial"/>
          <w:color w:val="000000"/>
        </w:rPr>
        <w:t>161].</w:t>
      </w:r>
    </w:p>
  </w:endnote>
  <w:endnote w:id="180">
    <w:p w14:paraId="3110A32C" w14:textId="77777777" w:rsidR="003A3F5C" w:rsidRDefault="003A3F5C" w:rsidP="00E93207">
      <w:pPr>
        <w:pStyle w:val="EndnoteText"/>
      </w:pPr>
      <w:r>
        <w:rPr>
          <w:rStyle w:val="EndnoteReference"/>
        </w:rPr>
        <w:endnoteRef/>
      </w:r>
      <w:r>
        <w:t xml:space="preserve"> </w:t>
      </w:r>
      <w:r w:rsidRPr="007B75DF">
        <w:rPr>
          <w:rFonts w:cs="Arial"/>
          <w:bCs/>
          <w:i/>
          <w:color w:val="000000"/>
        </w:rPr>
        <w:t>KA, KB, KC and KD v Commonwealth of Australia</w:t>
      </w:r>
      <w:r w:rsidRPr="007B75DF">
        <w:rPr>
          <w:rFonts w:cs="Arial"/>
          <w:b/>
          <w:bCs/>
          <w:color w:val="000000"/>
        </w:rPr>
        <w:t xml:space="preserve"> </w:t>
      </w:r>
      <w:r w:rsidRPr="007B75DF">
        <w:rPr>
          <w:rFonts w:cs="Arial"/>
          <w:color w:val="000000"/>
        </w:rPr>
        <w:t>[2014] AusHRC 80</w:t>
      </w:r>
      <w:r>
        <w:rPr>
          <w:rFonts w:cs="Arial"/>
          <w:color w:val="000000"/>
        </w:rPr>
        <w:t>, [164]-[165].</w:t>
      </w:r>
    </w:p>
  </w:endnote>
  <w:endnote w:id="181">
    <w:p w14:paraId="66509A49" w14:textId="77777777" w:rsidR="003A3F5C" w:rsidRDefault="003A3F5C" w:rsidP="00E93207">
      <w:pPr>
        <w:pStyle w:val="EndnoteText"/>
      </w:pPr>
      <w:r>
        <w:rPr>
          <w:rStyle w:val="EndnoteReference"/>
        </w:rPr>
        <w:endnoteRef/>
      </w:r>
      <w:r>
        <w:t xml:space="preserve"> </w:t>
      </w:r>
      <w:r w:rsidRPr="007B75DF">
        <w:rPr>
          <w:rFonts w:cs="Arial"/>
          <w:bCs/>
          <w:i/>
          <w:color w:val="000000"/>
        </w:rPr>
        <w:t>KA, KB, KC and KD v Commonwealth of Australia</w:t>
      </w:r>
      <w:r w:rsidRPr="007B75DF">
        <w:rPr>
          <w:rFonts w:cs="Arial"/>
          <w:b/>
          <w:bCs/>
          <w:color w:val="000000"/>
        </w:rPr>
        <w:t xml:space="preserve"> </w:t>
      </w:r>
      <w:r w:rsidRPr="007B75DF">
        <w:rPr>
          <w:rFonts w:cs="Arial"/>
          <w:color w:val="000000"/>
        </w:rPr>
        <w:t>[2014] AusHRC 80</w:t>
      </w:r>
      <w:r>
        <w:rPr>
          <w:rFonts w:cs="Arial"/>
          <w:color w:val="000000"/>
        </w:rPr>
        <w:t>, [264]-[265] (citation omitted).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cher Book">
    <w:altName w:val="Archer Book"/>
    <w:panose1 w:val="00000000000000000000"/>
    <w:charset w:val="00"/>
    <w:family w:val="roman"/>
    <w:notTrueType/>
    <w:pitch w:val="default"/>
    <w:sig w:usb0="00000003" w:usb1="00000000" w:usb2="00000000" w:usb3="00000000" w:csb0="00000001" w:csb1="00000000"/>
  </w:font>
  <w:font w:name="STZhongsong">
    <w:altName w:val="Arial Unicode MS"/>
    <w:charset w:val="86"/>
    <w:family w:val="auto"/>
    <w:pitch w:val="variable"/>
    <w:sig w:usb0="00000287" w:usb1="080F0000" w:usb2="00000010" w:usb3="00000000" w:csb0="000400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3" w:usb1="08080000" w:usb2="00000010" w:usb3="00000000" w:csb0="00100001" w:csb1="00000000"/>
  </w:font>
  <w:font w:name="Times-Roman">
    <w:altName w:val="Times New Roman"/>
    <w:panose1 w:val="00000000000000000000"/>
    <w:charset w:val="CC"/>
    <w:family w:val="auto"/>
    <w:notTrueType/>
    <w:pitch w:val="default"/>
    <w:sig w:usb0="00000201" w:usb1="00000000" w:usb2="00000000" w:usb3="00000000" w:csb0="00000004" w:csb1="00000000"/>
  </w:font>
  <w:font w:name="Frutiger-Light">
    <w:panose1 w:val="00000000000000000000"/>
    <w:charset w:val="00"/>
    <w:family w:val="swiss"/>
    <w:notTrueType/>
    <w:pitch w:val="default"/>
    <w:sig w:usb0="00000003" w:usb1="00000000" w:usb2="00000000" w:usb3="00000000" w:csb0="00000001" w:csb1="00000000"/>
  </w:font>
  <w:font w:name="FZPTZL+Helvetica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626170"/>
      <w:docPartObj>
        <w:docPartGallery w:val="Page Numbers (Bottom of Page)"/>
        <w:docPartUnique/>
      </w:docPartObj>
    </w:sdtPr>
    <w:sdtEndPr>
      <w:rPr>
        <w:noProof/>
      </w:rPr>
    </w:sdtEndPr>
    <w:sdtContent>
      <w:p w14:paraId="7B12C6FF" w14:textId="4BDCFEB3" w:rsidR="003A3F5C" w:rsidRDefault="003A3F5C">
        <w:pPr>
          <w:pStyle w:val="Footer"/>
          <w:jc w:val="center"/>
        </w:pPr>
        <w:r>
          <w:fldChar w:fldCharType="begin"/>
        </w:r>
        <w:r>
          <w:instrText xml:space="preserve"> PAGE   \* MERGEFORMAT </w:instrText>
        </w:r>
        <w:r>
          <w:fldChar w:fldCharType="separate"/>
        </w:r>
        <w:r w:rsidR="000219E4">
          <w:rPr>
            <w:noProof/>
          </w:rPr>
          <w:t>22</w:t>
        </w:r>
        <w:r>
          <w:rPr>
            <w:noProof/>
          </w:rPr>
          <w:fldChar w:fldCharType="end"/>
        </w:r>
      </w:p>
    </w:sdtContent>
  </w:sdt>
  <w:p w14:paraId="39683581" w14:textId="77777777" w:rsidR="003A3F5C" w:rsidRPr="0090165F" w:rsidRDefault="003A3F5C"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4ED19" w14:textId="77777777" w:rsidR="003A3F5C" w:rsidRPr="004A187B" w:rsidRDefault="003A3F5C" w:rsidP="008B23BC">
    <w:pPr>
      <w:pStyle w:val="Footer"/>
    </w:pPr>
    <w:r>
      <w:rPr>
        <w:noProof/>
      </w:rPr>
      <mc:AlternateContent>
        <mc:Choice Requires="wps">
          <w:drawing>
            <wp:anchor distT="0" distB="0" distL="114300" distR="114300" simplePos="0" relativeHeight="251660288" behindDoc="0" locked="0" layoutInCell="1" allowOverlap="1" wp14:anchorId="1D599FE3" wp14:editId="12578702">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533F5D14" w14:textId="77777777" w:rsidR="003A3F5C" w:rsidRPr="0003606D" w:rsidRDefault="003A3F5C" w:rsidP="0003606D">
                          <w:pPr>
                            <w:pStyle w:val="coveraddresses"/>
                          </w:pPr>
                          <w:r w:rsidRPr="0003606D">
                            <w:t>ABN 47 996 232 602</w:t>
                          </w:r>
                        </w:p>
                        <w:p w14:paraId="40E2A6D3" w14:textId="77777777" w:rsidR="003A3F5C" w:rsidRPr="0003606D" w:rsidRDefault="003A3F5C" w:rsidP="0003606D">
                          <w:pPr>
                            <w:pStyle w:val="coveraddresses"/>
                          </w:pPr>
                          <w:r w:rsidRPr="0003606D">
                            <w:t>Level 3, 175 Pitt Street, Sydney NSW 2000</w:t>
                          </w:r>
                        </w:p>
                        <w:p w14:paraId="5226CF55" w14:textId="77777777" w:rsidR="003A3F5C" w:rsidRPr="0003606D" w:rsidRDefault="003A3F5C" w:rsidP="0003606D">
                          <w:pPr>
                            <w:pStyle w:val="coveraddresses"/>
                          </w:pPr>
                          <w:r w:rsidRPr="0003606D">
                            <w:t>GPO Box 5218, Sydney NSW 2001</w:t>
                          </w:r>
                        </w:p>
                        <w:p w14:paraId="35ECD230" w14:textId="77777777" w:rsidR="003A3F5C" w:rsidRPr="0003606D" w:rsidRDefault="003A3F5C" w:rsidP="0003606D">
                          <w:pPr>
                            <w:pStyle w:val="coveraddresses"/>
                          </w:pPr>
                          <w:r w:rsidRPr="0003606D">
                            <w:t>General enquiries 1300 369 711</w:t>
                          </w:r>
                        </w:p>
                        <w:p w14:paraId="59483AE7" w14:textId="77777777" w:rsidR="003A3F5C" w:rsidRPr="0003606D" w:rsidRDefault="003A3F5C" w:rsidP="0003606D">
                          <w:pPr>
                            <w:pStyle w:val="coveraddresses"/>
                          </w:pPr>
                          <w:r w:rsidRPr="0003606D">
                            <w:t>Complaints info line 1300 656 419</w:t>
                          </w:r>
                        </w:p>
                        <w:p w14:paraId="430883FD" w14:textId="77777777" w:rsidR="003A3F5C" w:rsidRPr="0003606D" w:rsidRDefault="003A3F5C" w:rsidP="0003606D">
                          <w:pPr>
                            <w:pStyle w:val="coveraddresses"/>
                          </w:pPr>
                          <w:r w:rsidRPr="0003606D">
                            <w:t>TTY 1800 620 241</w:t>
                          </w:r>
                        </w:p>
                        <w:p w14:paraId="38BC531B" w14:textId="77777777" w:rsidR="003A3F5C" w:rsidRPr="00B63D24" w:rsidRDefault="003A3F5C"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99FE3"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533F5D14" w14:textId="77777777" w:rsidR="003A3F5C" w:rsidRPr="0003606D" w:rsidRDefault="003A3F5C" w:rsidP="0003606D">
                    <w:pPr>
                      <w:pStyle w:val="coveraddresses"/>
                    </w:pPr>
                    <w:r w:rsidRPr="0003606D">
                      <w:t>ABN 47 996 232 602</w:t>
                    </w:r>
                  </w:p>
                  <w:p w14:paraId="40E2A6D3" w14:textId="77777777" w:rsidR="003A3F5C" w:rsidRPr="0003606D" w:rsidRDefault="003A3F5C" w:rsidP="0003606D">
                    <w:pPr>
                      <w:pStyle w:val="coveraddresses"/>
                    </w:pPr>
                    <w:r w:rsidRPr="0003606D">
                      <w:t>Level 3, 175 Pitt Street, Sydney NSW 2000</w:t>
                    </w:r>
                  </w:p>
                  <w:p w14:paraId="5226CF55" w14:textId="77777777" w:rsidR="003A3F5C" w:rsidRPr="0003606D" w:rsidRDefault="003A3F5C" w:rsidP="0003606D">
                    <w:pPr>
                      <w:pStyle w:val="coveraddresses"/>
                    </w:pPr>
                    <w:r w:rsidRPr="0003606D">
                      <w:t>GPO Box 5218, Sydney NSW 2001</w:t>
                    </w:r>
                  </w:p>
                  <w:p w14:paraId="35ECD230" w14:textId="77777777" w:rsidR="003A3F5C" w:rsidRPr="0003606D" w:rsidRDefault="003A3F5C" w:rsidP="0003606D">
                    <w:pPr>
                      <w:pStyle w:val="coveraddresses"/>
                    </w:pPr>
                    <w:r w:rsidRPr="0003606D">
                      <w:t>General enquiries 1300 369 711</w:t>
                    </w:r>
                  </w:p>
                  <w:p w14:paraId="59483AE7" w14:textId="77777777" w:rsidR="003A3F5C" w:rsidRPr="0003606D" w:rsidRDefault="003A3F5C" w:rsidP="0003606D">
                    <w:pPr>
                      <w:pStyle w:val="coveraddresses"/>
                    </w:pPr>
                    <w:r w:rsidRPr="0003606D">
                      <w:t>Complaints info line 1300 656 419</w:t>
                    </w:r>
                  </w:p>
                  <w:p w14:paraId="430883FD" w14:textId="77777777" w:rsidR="003A3F5C" w:rsidRPr="0003606D" w:rsidRDefault="003A3F5C" w:rsidP="0003606D">
                    <w:pPr>
                      <w:pStyle w:val="coveraddresses"/>
                    </w:pPr>
                    <w:r w:rsidRPr="0003606D">
                      <w:t>TTY 1800 620 241</w:t>
                    </w:r>
                  </w:p>
                  <w:p w14:paraId="38BC531B" w14:textId="77777777" w:rsidR="003A3F5C" w:rsidRPr="00B63D24" w:rsidRDefault="003A3F5C"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270F" w14:textId="77777777" w:rsidR="003A3F5C" w:rsidRPr="0090165F" w:rsidRDefault="003A3F5C"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0219E4">
      <w:rPr>
        <w:rStyle w:val="PageNumber"/>
        <w:noProof/>
      </w:rPr>
      <w:t>36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94A86" w14:textId="77777777" w:rsidR="003A3F5C" w:rsidRDefault="003A3F5C" w:rsidP="00F14C6D">
      <w:r>
        <w:separator/>
      </w:r>
    </w:p>
  </w:footnote>
  <w:footnote w:type="continuationSeparator" w:id="0">
    <w:p w14:paraId="4B4D4CE2" w14:textId="77777777" w:rsidR="003A3F5C" w:rsidRDefault="003A3F5C"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5E50" w14:textId="77777777" w:rsidR="003A3F5C" w:rsidRDefault="003A3F5C">
    <w:pPr>
      <w:pStyle w:val="Header"/>
    </w:pPr>
    <w:r>
      <w:rPr>
        <w:noProof/>
      </w:rPr>
      <w:pict w14:anchorId="66DAB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276E0" w14:textId="77777777" w:rsidR="003A3F5C" w:rsidRPr="00D27262" w:rsidRDefault="003A3F5C" w:rsidP="002B1B65">
    <w:pPr>
      <w:spacing w:before="0" w:after="0"/>
      <w:jc w:val="right"/>
      <w:rPr>
        <w:sz w:val="22"/>
        <w:szCs w:val="22"/>
      </w:rPr>
    </w:pPr>
    <w:r>
      <w:rPr>
        <w:noProof/>
        <w:sz w:val="22"/>
        <w:szCs w:val="22"/>
      </w:rPr>
      <w:pict w14:anchorId="6F588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14:paraId="6EA76250" w14:textId="77777777" w:rsidR="003A3F5C" w:rsidRDefault="003A3F5C"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3A3F5C" w:rsidRPr="00B85DD4" w14:paraId="1533D417" w14:textId="77777777" w:rsidTr="00165E3C">
      <w:trPr>
        <w:trHeight w:val="1276"/>
      </w:trPr>
      <w:tc>
        <w:tcPr>
          <w:tcW w:w="1508" w:type="dxa"/>
        </w:tcPr>
        <w:p w14:paraId="4A7C741B" w14:textId="77777777" w:rsidR="003A3F5C" w:rsidRPr="00B85DD4" w:rsidRDefault="003A3F5C" w:rsidP="00B520BC">
          <w:pPr>
            <w:pStyle w:val="Header"/>
            <w:tabs>
              <w:tab w:val="left" w:pos="4686"/>
              <w:tab w:val="left" w:pos="7088"/>
              <w:tab w:val="left" w:pos="7242"/>
            </w:tabs>
            <w:ind w:left="-108"/>
            <w:rPr>
              <w:rFonts w:cs="ArialMT"/>
              <w:b/>
              <w:spacing w:val="-20"/>
            </w:rPr>
          </w:pPr>
        </w:p>
      </w:tc>
      <w:tc>
        <w:tcPr>
          <w:tcW w:w="2688" w:type="dxa"/>
          <w:vAlign w:val="center"/>
        </w:tcPr>
        <w:p w14:paraId="237EFEDC" w14:textId="77777777" w:rsidR="003A3F5C" w:rsidRPr="00B85DD4" w:rsidRDefault="003A3F5C" w:rsidP="002B1B65">
          <w:pPr>
            <w:spacing w:before="0" w:after="0"/>
            <w:rPr>
              <w:rFonts w:cs="ArialMT"/>
              <w:i/>
              <w:color w:val="808080"/>
              <w:sz w:val="17"/>
            </w:rPr>
          </w:pPr>
        </w:p>
      </w:tc>
      <w:tc>
        <w:tcPr>
          <w:tcW w:w="2302" w:type="dxa"/>
        </w:tcPr>
        <w:p w14:paraId="5A040999" w14:textId="77777777" w:rsidR="003A3F5C" w:rsidRPr="00B85DD4" w:rsidRDefault="003A3F5C" w:rsidP="00B520BC">
          <w:pPr>
            <w:pStyle w:val="HeaderFooter"/>
            <w:rPr>
              <w:b/>
              <w:spacing w:val="-20"/>
              <w:sz w:val="40"/>
            </w:rPr>
          </w:pPr>
        </w:p>
      </w:tc>
      <w:tc>
        <w:tcPr>
          <w:tcW w:w="2130" w:type="dxa"/>
        </w:tcPr>
        <w:p w14:paraId="67F11DF4" w14:textId="77777777" w:rsidR="003A3F5C" w:rsidRPr="00B85DD4" w:rsidRDefault="003A3F5C" w:rsidP="00B520BC">
          <w:pPr>
            <w:pStyle w:val="HeaderFooter"/>
            <w:rPr>
              <w:b/>
              <w:spacing w:val="-20"/>
              <w:sz w:val="40"/>
            </w:rPr>
          </w:pPr>
        </w:p>
      </w:tc>
      <w:tc>
        <w:tcPr>
          <w:tcW w:w="1721" w:type="dxa"/>
        </w:tcPr>
        <w:p w14:paraId="2816FEA5" w14:textId="77777777" w:rsidR="003A3F5C" w:rsidRPr="00B85DD4" w:rsidRDefault="003A3F5C" w:rsidP="00B520BC">
          <w:pPr>
            <w:pStyle w:val="HeaderFooter"/>
            <w:spacing w:before="227" w:after="340"/>
            <w:rPr>
              <w:b/>
              <w:spacing w:val="-20"/>
              <w:sz w:val="40"/>
            </w:rPr>
          </w:pPr>
        </w:p>
      </w:tc>
    </w:tr>
  </w:tbl>
  <w:p w14:paraId="005C2929" w14:textId="77777777" w:rsidR="003A3F5C" w:rsidRDefault="003A3F5C">
    <w:pPr>
      <w:pStyle w:val="Header"/>
    </w:pPr>
    <w:r>
      <w:rPr>
        <w:rFonts w:cs="ArialMT"/>
        <w:b/>
        <w:noProof/>
        <w:spacing w:val="-20"/>
      </w:rPr>
      <w:pict w14:anchorId="31582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F4E62" w14:textId="77777777" w:rsidR="003238D4" w:rsidRPr="00D27262" w:rsidRDefault="003238D4" w:rsidP="003238D4">
    <w:pPr>
      <w:spacing w:before="0" w:after="60"/>
      <w:jc w:val="right"/>
      <w:rPr>
        <w:sz w:val="22"/>
        <w:szCs w:val="22"/>
      </w:rPr>
    </w:pPr>
    <w:r w:rsidRPr="00D27262">
      <w:rPr>
        <w:sz w:val="22"/>
        <w:szCs w:val="22"/>
      </w:rPr>
      <w:t>Au</w:t>
    </w:r>
    <w:r>
      <w:rPr>
        <w:sz w:val="22"/>
        <w:szCs w:val="22"/>
      </w:rPr>
      <w:t>stralian Human Rights Commission</w:t>
    </w:r>
  </w:p>
  <w:p w14:paraId="1C7EDB79" w14:textId="4D9CD637" w:rsidR="003238D4" w:rsidRPr="00D729AD" w:rsidRDefault="003238D4" w:rsidP="003238D4">
    <w:pPr>
      <w:pStyle w:val="Footer"/>
      <w:spacing w:after="240"/>
      <w:jc w:val="right"/>
      <w:rPr>
        <w:i/>
        <w:szCs w:val="18"/>
      </w:rPr>
    </w:pPr>
    <w:r>
      <w:rPr>
        <w:b/>
        <w:i/>
        <w:szCs w:val="18"/>
      </w:rPr>
      <w:t>Indefinite detention</w:t>
    </w:r>
    <w:r w:rsidRPr="00D729AD">
      <w:rPr>
        <w:i/>
        <w:szCs w:val="18"/>
      </w:rPr>
      <w:t xml:space="preserve">, </w:t>
    </w:r>
    <w:r>
      <w:rPr>
        <w:i/>
        <w:szCs w:val="18"/>
      </w:rPr>
      <w:t>Senate Inquiry – March 2016</w:t>
    </w:r>
  </w:p>
  <w:p w14:paraId="17A19CE6" w14:textId="77777777" w:rsidR="003A3F5C" w:rsidRDefault="003A3F5C">
    <w:pPr>
      <w:pStyle w:val="Header"/>
      <w:rPr>
        <w:rFonts w:cs="Calibr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8AAAD" w14:textId="757CB433" w:rsidR="003A3F5C" w:rsidRDefault="003A3F5C">
    <w:pPr>
      <w:pBdr>
        <w:bottom w:val="single" w:sz="4" w:space="1" w:color="auto"/>
      </w:pBdr>
      <w:rPr>
        <w:rFonts w:ascii="Calibri" w:hAnsi="Calibri" w:cs="Calibri"/>
        <w:sz w:val="8"/>
        <w:szCs w:val="4"/>
      </w:rPr>
    </w:pPr>
    <w:r>
      <w:rPr>
        <w:rFonts w:ascii="Calibri" w:hAnsi="Calibri" w:cs="Calibri"/>
      </w:rPr>
      <w:br/>
    </w:r>
  </w:p>
  <w:p w14:paraId="6078AE00" w14:textId="77777777" w:rsidR="003A3F5C" w:rsidRDefault="003A3F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77D70" w14:textId="77777777" w:rsidR="003A3F5C" w:rsidRDefault="003A3F5C">
    <w:pPr>
      <w:pStyle w:val="Header"/>
    </w:pPr>
    <w:r>
      <w:rPr>
        <w:noProof/>
      </w:rPr>
      <w:pict w14:anchorId="42E30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CC96B" w14:textId="42432164" w:rsidR="003A3F5C" w:rsidRPr="00D729AD" w:rsidRDefault="003A3F5C" w:rsidP="002F4CE1">
    <w:pPr>
      <w:pStyle w:val="Footer"/>
      <w:spacing w:after="240"/>
      <w:jc w:val="right"/>
      <w:rPr>
        <w:i/>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3A3F5C" w:rsidRPr="00B85DD4" w14:paraId="6FF5269A" w14:textId="77777777" w:rsidTr="002B1B65">
      <w:trPr>
        <w:trHeight w:val="1603"/>
      </w:trPr>
      <w:tc>
        <w:tcPr>
          <w:tcW w:w="1508" w:type="dxa"/>
        </w:tcPr>
        <w:p w14:paraId="17469B77" w14:textId="77777777" w:rsidR="003A3F5C" w:rsidRPr="00B85DD4" w:rsidRDefault="003A3F5C"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1B5F997F" wp14:editId="3D905AF4">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0AC6F11D" w14:textId="77777777" w:rsidR="003A3F5C" w:rsidRPr="00D36BB2" w:rsidRDefault="003A3F5C" w:rsidP="002B1B65">
          <w:pPr>
            <w:pStyle w:val="LogoType"/>
            <w:pBdr>
              <w:bottom w:val="single" w:sz="4" w:space="1" w:color="808080"/>
            </w:pBdr>
            <w:spacing w:line="240" w:lineRule="auto"/>
          </w:pPr>
          <w:r w:rsidRPr="00D36BB2">
            <w:t>Australian</w:t>
          </w:r>
        </w:p>
        <w:p w14:paraId="0D1C9797" w14:textId="77777777" w:rsidR="003A3F5C" w:rsidRPr="00D36BB2" w:rsidRDefault="003A3F5C" w:rsidP="002B1B65">
          <w:pPr>
            <w:pStyle w:val="LogoType"/>
            <w:pBdr>
              <w:bottom w:val="single" w:sz="4" w:space="1" w:color="808080"/>
            </w:pBdr>
            <w:spacing w:line="240" w:lineRule="auto"/>
          </w:pPr>
          <w:r w:rsidRPr="00D36BB2">
            <w:t>Human Rights</w:t>
          </w:r>
        </w:p>
        <w:p w14:paraId="1CF03C39" w14:textId="77777777" w:rsidR="003A3F5C" w:rsidRPr="00D36BB2" w:rsidRDefault="003A3F5C" w:rsidP="002B1B65">
          <w:pPr>
            <w:pStyle w:val="LogoType"/>
            <w:pBdr>
              <w:bottom w:val="single" w:sz="4" w:space="1" w:color="808080"/>
            </w:pBdr>
            <w:spacing w:line="240" w:lineRule="auto"/>
          </w:pPr>
          <w:r w:rsidRPr="00D36BB2">
            <w:t>Commission</w:t>
          </w:r>
        </w:p>
        <w:p w14:paraId="47430B4E" w14:textId="77777777" w:rsidR="003A3F5C" w:rsidRPr="00B85DD4" w:rsidRDefault="003A3F5C"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72159CCE" w14:textId="77777777" w:rsidR="003A3F5C" w:rsidRPr="00B85DD4" w:rsidRDefault="003A3F5C" w:rsidP="00B520BC">
          <w:pPr>
            <w:pStyle w:val="HeaderFooter"/>
            <w:rPr>
              <w:b/>
              <w:spacing w:val="-20"/>
              <w:sz w:val="40"/>
            </w:rPr>
          </w:pPr>
        </w:p>
      </w:tc>
      <w:tc>
        <w:tcPr>
          <w:tcW w:w="2130" w:type="dxa"/>
        </w:tcPr>
        <w:p w14:paraId="422D7323" w14:textId="77777777" w:rsidR="003A3F5C" w:rsidRPr="00B85DD4" w:rsidRDefault="003A3F5C" w:rsidP="00B520BC">
          <w:pPr>
            <w:pStyle w:val="HeaderFooter"/>
            <w:rPr>
              <w:b/>
              <w:spacing w:val="-20"/>
              <w:sz w:val="40"/>
            </w:rPr>
          </w:pPr>
        </w:p>
      </w:tc>
      <w:tc>
        <w:tcPr>
          <w:tcW w:w="1721" w:type="dxa"/>
        </w:tcPr>
        <w:p w14:paraId="64A6D98F" w14:textId="77777777" w:rsidR="003A3F5C" w:rsidRPr="00B85DD4" w:rsidRDefault="003A3F5C" w:rsidP="00B520BC">
          <w:pPr>
            <w:pStyle w:val="HeaderFooter"/>
            <w:spacing w:before="227" w:after="340"/>
            <w:rPr>
              <w:b/>
              <w:spacing w:val="-20"/>
              <w:sz w:val="40"/>
            </w:rPr>
          </w:pPr>
        </w:p>
      </w:tc>
    </w:tr>
  </w:tbl>
  <w:p w14:paraId="2AD6D21D" w14:textId="77777777" w:rsidR="003A3F5C" w:rsidRDefault="003A3F5C">
    <w:pPr>
      <w:pStyle w:val="Header"/>
    </w:pPr>
    <w:r>
      <w:rPr>
        <w:rFonts w:cs="ArialMT"/>
        <w:b/>
        <w:noProof/>
        <w:spacing w:val="-20"/>
      </w:rPr>
      <w:pict w14:anchorId="65FE1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80822F7"/>
    <w:multiLevelType w:val="hybridMultilevel"/>
    <w:tmpl w:val="2E9683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DCB237C"/>
    <w:multiLevelType w:val="hybridMultilevel"/>
    <w:tmpl w:val="4B965058"/>
    <w:lvl w:ilvl="0" w:tplc="76BEEFD2">
      <w:start w:val="1"/>
      <w:numFmt w:val="decimal"/>
      <w:pStyle w:val="SubmissionNormal"/>
      <w:lvlText w:val="%1."/>
      <w:lvlJc w:val="left"/>
      <w:pPr>
        <w:tabs>
          <w:tab w:val="num" w:pos="720"/>
        </w:tabs>
        <w:ind w:left="720" w:hanging="360"/>
      </w:pPr>
      <w:rPr>
        <w:rFonts w:ascii="Arial" w:hAnsi="Arial" w:hint="default"/>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55309BC"/>
    <w:multiLevelType w:val="hybridMultilevel"/>
    <w:tmpl w:val="27DA2C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BEE179D"/>
    <w:multiLevelType w:val="hybridMultilevel"/>
    <w:tmpl w:val="F5901670"/>
    <w:lvl w:ilvl="0" w:tplc="B9382028">
      <w:start w:val="1"/>
      <w:numFmt w:val="decimal"/>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4D71EA"/>
    <w:multiLevelType w:val="singleLevel"/>
    <w:tmpl w:val="C8DC4C3E"/>
    <w:lvl w:ilvl="0">
      <w:start w:val="1"/>
      <w:numFmt w:val="upperLetter"/>
      <w:pStyle w:val="PFBackgroundNum"/>
      <w:lvlText w:val="%1"/>
      <w:lvlJc w:val="left"/>
      <w:pPr>
        <w:tabs>
          <w:tab w:val="num" w:pos="924"/>
        </w:tabs>
        <w:ind w:left="924" w:hanging="924"/>
      </w:pPr>
    </w:lvl>
  </w:abstractNum>
  <w:abstractNum w:abstractNumId="19" w15:restartNumberingAfterBreak="0">
    <w:nsid w:val="49062195"/>
    <w:multiLevelType w:val="hybridMultilevel"/>
    <w:tmpl w:val="27ECDD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1" w15:restartNumberingAfterBreak="0">
    <w:nsid w:val="4D1E3B6C"/>
    <w:multiLevelType w:val="multilevel"/>
    <w:tmpl w:val="7376E89A"/>
    <w:lvl w:ilvl="0">
      <w:start w:val="10"/>
      <w:numFmt w:val="decimal"/>
      <w:lvlText w:val="%1."/>
      <w:lvlJc w:val="left"/>
      <w:pPr>
        <w:ind w:left="360" w:hanging="360"/>
      </w:pPr>
      <w:rPr>
        <w:rFonts w:hint="default"/>
      </w:rPr>
    </w:lvl>
    <w:lvl w:ilvl="1">
      <w:start w:val="1"/>
      <w:numFmt w:val="bullet"/>
      <w:pStyle w:val="PFBulletMargin"/>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49F0E9D"/>
    <w:multiLevelType w:val="multilevel"/>
    <w:tmpl w:val="19CACF82"/>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24" w15:restartNumberingAfterBreak="0">
    <w:nsid w:val="57367A5E"/>
    <w:multiLevelType w:val="hybridMultilevel"/>
    <w:tmpl w:val="56A6AD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A8D0A5F"/>
    <w:multiLevelType w:val="hybridMultilevel"/>
    <w:tmpl w:val="16ECBD0A"/>
    <w:lvl w:ilvl="0" w:tplc="A8CE786A">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803A6"/>
    <w:multiLevelType w:val="hybridMultilevel"/>
    <w:tmpl w:val="3A065040"/>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start w:val="1"/>
      <w:numFmt w:val="bullet"/>
      <w:lvlText w:val=""/>
      <w:lvlJc w:val="left"/>
      <w:pPr>
        <w:ind w:left="2943" w:hanging="360"/>
      </w:pPr>
      <w:rPr>
        <w:rFonts w:ascii="Symbol" w:hAnsi="Symbol" w:hint="default"/>
      </w:rPr>
    </w:lvl>
    <w:lvl w:ilvl="4" w:tplc="0C090003">
      <w:start w:val="1"/>
      <w:numFmt w:val="bullet"/>
      <w:lvlText w:val="o"/>
      <w:lvlJc w:val="left"/>
      <w:pPr>
        <w:ind w:left="3663" w:hanging="360"/>
      </w:pPr>
      <w:rPr>
        <w:rFonts w:ascii="Courier New" w:hAnsi="Courier New" w:cs="Courier New" w:hint="default"/>
      </w:rPr>
    </w:lvl>
    <w:lvl w:ilvl="5" w:tplc="0C090005">
      <w:start w:val="1"/>
      <w:numFmt w:val="bullet"/>
      <w:lvlText w:val=""/>
      <w:lvlJc w:val="left"/>
      <w:pPr>
        <w:ind w:left="4383" w:hanging="360"/>
      </w:pPr>
      <w:rPr>
        <w:rFonts w:ascii="Wingdings" w:hAnsi="Wingdings" w:hint="default"/>
      </w:rPr>
    </w:lvl>
    <w:lvl w:ilvl="6" w:tplc="0C090001">
      <w:start w:val="1"/>
      <w:numFmt w:val="bullet"/>
      <w:lvlText w:val=""/>
      <w:lvlJc w:val="left"/>
      <w:pPr>
        <w:ind w:left="5103" w:hanging="360"/>
      </w:pPr>
      <w:rPr>
        <w:rFonts w:ascii="Symbol" w:hAnsi="Symbol" w:hint="default"/>
      </w:rPr>
    </w:lvl>
    <w:lvl w:ilvl="7" w:tplc="0C090003">
      <w:start w:val="1"/>
      <w:numFmt w:val="bullet"/>
      <w:lvlText w:val="o"/>
      <w:lvlJc w:val="left"/>
      <w:pPr>
        <w:ind w:left="5823" w:hanging="360"/>
      </w:pPr>
      <w:rPr>
        <w:rFonts w:ascii="Courier New" w:hAnsi="Courier New" w:cs="Courier New" w:hint="default"/>
      </w:rPr>
    </w:lvl>
    <w:lvl w:ilvl="8" w:tplc="0C090005">
      <w:start w:val="1"/>
      <w:numFmt w:val="bullet"/>
      <w:lvlText w:val=""/>
      <w:lvlJc w:val="left"/>
      <w:pPr>
        <w:ind w:left="6543" w:hanging="360"/>
      </w:pPr>
      <w:rPr>
        <w:rFonts w:ascii="Wingdings" w:hAnsi="Wingdings" w:hint="default"/>
      </w:rPr>
    </w:lvl>
  </w:abstractNum>
  <w:abstractNum w:abstractNumId="27" w15:restartNumberingAfterBreak="0">
    <w:nsid w:val="6914606F"/>
    <w:multiLevelType w:val="singleLevel"/>
    <w:tmpl w:val="ED22CE6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28" w15:restartNumberingAfterBreak="0">
    <w:nsid w:val="6C536F95"/>
    <w:multiLevelType w:val="hybridMultilevel"/>
    <w:tmpl w:val="04E056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D0369E6"/>
    <w:multiLevelType w:val="hybridMultilevel"/>
    <w:tmpl w:val="4D064B56"/>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68B0145"/>
    <w:multiLevelType w:val="hybridMultilevel"/>
    <w:tmpl w:val="F5901670"/>
    <w:lvl w:ilvl="0" w:tplc="B9382028">
      <w:start w:val="1"/>
      <w:numFmt w:val="decimal"/>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1" w15:restartNumberingAfterBreak="0">
    <w:nsid w:val="79CE1627"/>
    <w:multiLevelType w:val="hybridMultilevel"/>
    <w:tmpl w:val="F5901670"/>
    <w:lvl w:ilvl="0" w:tplc="B9382028">
      <w:start w:val="1"/>
      <w:numFmt w:val="decimal"/>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2" w15:restartNumberingAfterBreak="0">
    <w:nsid w:val="7A2649CC"/>
    <w:multiLevelType w:val="hybridMultilevel"/>
    <w:tmpl w:val="F5901670"/>
    <w:lvl w:ilvl="0" w:tplc="B9382028">
      <w:start w:val="1"/>
      <w:numFmt w:val="decimal"/>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3" w15:restartNumberingAfterBreak="0">
    <w:nsid w:val="7FF959AE"/>
    <w:multiLevelType w:val="hybridMultilevel"/>
    <w:tmpl w:val="872AC67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start w:val="1"/>
      <w:numFmt w:val="lowerRoman"/>
      <w:lvlText w:val="%3."/>
      <w:lvlJc w:val="right"/>
      <w:pPr>
        <w:tabs>
          <w:tab w:val="num" w:pos="2160"/>
        </w:tabs>
        <w:ind w:left="2160" w:hanging="180"/>
      </w:pPr>
    </w:lvl>
    <w:lvl w:ilvl="3" w:tplc="2BF82588">
      <w:numFmt w:val="bullet"/>
      <w:lvlText w:val="·"/>
      <w:lvlJc w:val="left"/>
      <w:pPr>
        <w:ind w:left="2880" w:hanging="360"/>
      </w:pPr>
      <w:rPr>
        <w:rFonts w:ascii="Arial" w:eastAsia="Times New Roman" w:hAnsi="Arial" w:cs="Arial"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2"/>
  </w:num>
  <w:num w:numId="13">
    <w:abstractNumId w:val="17"/>
  </w:num>
  <w:num w:numId="14">
    <w:abstractNumId w:val="14"/>
  </w:num>
  <w:num w:numId="15">
    <w:abstractNumId w:val="13"/>
  </w:num>
  <w:num w:numId="16">
    <w:abstractNumId w:val="10"/>
  </w:num>
  <w:num w:numId="17">
    <w:abstractNumId w:val="15"/>
  </w:num>
  <w:num w:numId="18">
    <w:abstractNumId w:val="27"/>
  </w:num>
  <w:num w:numId="19">
    <w:abstractNumId w:val="12"/>
  </w:num>
  <w:num w:numId="20">
    <w:abstractNumId w:val="18"/>
  </w:num>
  <w:num w:numId="21">
    <w:abstractNumId w:val="23"/>
  </w:num>
  <w:num w:numId="22">
    <w:abstractNumId w:val="21"/>
  </w:num>
  <w:num w:numId="23">
    <w:abstractNumId w:val="29"/>
  </w:num>
  <w:num w:numId="24">
    <w:abstractNumId w:val="33"/>
  </w:num>
  <w:num w:numId="25">
    <w:abstractNumId w:val="26"/>
  </w:num>
  <w:num w:numId="26">
    <w:abstractNumId w:val="31"/>
  </w:num>
  <w:num w:numId="27">
    <w:abstractNumId w:val="25"/>
  </w:num>
  <w:num w:numId="28">
    <w:abstractNumId w:val="32"/>
  </w:num>
  <w:num w:numId="29">
    <w:abstractNumId w:val="19"/>
  </w:num>
  <w:num w:numId="30">
    <w:abstractNumId w:val="28"/>
  </w:num>
  <w:num w:numId="31">
    <w:abstractNumId w:val="11"/>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lvlOverride w:ilvl="0">
      <w:startOverride w:val="1"/>
    </w:lvlOverride>
  </w:num>
  <w:num w:numId="40">
    <w:abstractNumId w:val="13"/>
  </w:num>
  <w:num w:numId="41">
    <w:abstractNumId w:val="24"/>
  </w:num>
  <w:num w:numId="42">
    <w:abstractNumId w:val="13"/>
  </w:num>
  <w:num w:numId="43">
    <w:abstractNumId w:val="16"/>
  </w:num>
  <w:num w:numId="44">
    <w:abstractNumId w:val="13"/>
  </w:num>
  <w:num w:numId="45">
    <w:abstractNumId w:val="30"/>
  </w:num>
  <w:num w:numId="46">
    <w:abstractNumId w:val="13"/>
  </w:num>
  <w:num w:numId="47">
    <w:abstractNumId w:val="13"/>
  </w:num>
  <w:num w:numId="48">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EC"/>
    <w:rsid w:val="00000741"/>
    <w:rsid w:val="000008B3"/>
    <w:rsid w:val="00000CB3"/>
    <w:rsid w:val="0000273B"/>
    <w:rsid w:val="00003784"/>
    <w:rsid w:val="00003855"/>
    <w:rsid w:val="00005526"/>
    <w:rsid w:val="00005ABC"/>
    <w:rsid w:val="000067B7"/>
    <w:rsid w:val="00007946"/>
    <w:rsid w:val="00010154"/>
    <w:rsid w:val="0001066B"/>
    <w:rsid w:val="00010733"/>
    <w:rsid w:val="0001076C"/>
    <w:rsid w:val="0001098A"/>
    <w:rsid w:val="00010EA9"/>
    <w:rsid w:val="000111C0"/>
    <w:rsid w:val="00011AB7"/>
    <w:rsid w:val="0001215B"/>
    <w:rsid w:val="00012AF7"/>
    <w:rsid w:val="000140BF"/>
    <w:rsid w:val="0001435F"/>
    <w:rsid w:val="00014A65"/>
    <w:rsid w:val="00015545"/>
    <w:rsid w:val="0001586D"/>
    <w:rsid w:val="000158BD"/>
    <w:rsid w:val="00015BB1"/>
    <w:rsid w:val="00015E40"/>
    <w:rsid w:val="00016299"/>
    <w:rsid w:val="000162CD"/>
    <w:rsid w:val="00016A99"/>
    <w:rsid w:val="00016BC6"/>
    <w:rsid w:val="00016C2A"/>
    <w:rsid w:val="00017355"/>
    <w:rsid w:val="00017A4A"/>
    <w:rsid w:val="00017C98"/>
    <w:rsid w:val="00017FE1"/>
    <w:rsid w:val="00020030"/>
    <w:rsid w:val="000205A0"/>
    <w:rsid w:val="00020850"/>
    <w:rsid w:val="00020D4F"/>
    <w:rsid w:val="00020EC9"/>
    <w:rsid w:val="00021323"/>
    <w:rsid w:val="000219E4"/>
    <w:rsid w:val="00021ED7"/>
    <w:rsid w:val="000220F1"/>
    <w:rsid w:val="0002281B"/>
    <w:rsid w:val="00022A5B"/>
    <w:rsid w:val="000233DA"/>
    <w:rsid w:val="000237CF"/>
    <w:rsid w:val="00023CC9"/>
    <w:rsid w:val="00024015"/>
    <w:rsid w:val="0002407C"/>
    <w:rsid w:val="0002420F"/>
    <w:rsid w:val="000249CE"/>
    <w:rsid w:val="00024B39"/>
    <w:rsid w:val="000250DE"/>
    <w:rsid w:val="0002551D"/>
    <w:rsid w:val="00026651"/>
    <w:rsid w:val="00026D71"/>
    <w:rsid w:val="000274C6"/>
    <w:rsid w:val="0002796C"/>
    <w:rsid w:val="00027CC5"/>
    <w:rsid w:val="00027CEB"/>
    <w:rsid w:val="00030131"/>
    <w:rsid w:val="00030278"/>
    <w:rsid w:val="0003030A"/>
    <w:rsid w:val="000303B1"/>
    <w:rsid w:val="00030B54"/>
    <w:rsid w:val="00030EC9"/>
    <w:rsid w:val="00030ECC"/>
    <w:rsid w:val="00030EDA"/>
    <w:rsid w:val="00031841"/>
    <w:rsid w:val="00031A00"/>
    <w:rsid w:val="00031BFE"/>
    <w:rsid w:val="00031C90"/>
    <w:rsid w:val="000326BE"/>
    <w:rsid w:val="00032BD7"/>
    <w:rsid w:val="00032FAD"/>
    <w:rsid w:val="000341C0"/>
    <w:rsid w:val="0003477F"/>
    <w:rsid w:val="00034B81"/>
    <w:rsid w:val="000352F1"/>
    <w:rsid w:val="00036031"/>
    <w:rsid w:val="0003606D"/>
    <w:rsid w:val="0003647B"/>
    <w:rsid w:val="00036A0F"/>
    <w:rsid w:val="00036AB6"/>
    <w:rsid w:val="00036B04"/>
    <w:rsid w:val="00037082"/>
    <w:rsid w:val="0004072D"/>
    <w:rsid w:val="00040C51"/>
    <w:rsid w:val="00040C9C"/>
    <w:rsid w:val="00040D55"/>
    <w:rsid w:val="00042B18"/>
    <w:rsid w:val="00042C93"/>
    <w:rsid w:val="00042D14"/>
    <w:rsid w:val="00042D4F"/>
    <w:rsid w:val="00043A3D"/>
    <w:rsid w:val="00044575"/>
    <w:rsid w:val="000446C7"/>
    <w:rsid w:val="0004486E"/>
    <w:rsid w:val="00044A1B"/>
    <w:rsid w:val="000465FB"/>
    <w:rsid w:val="0004692C"/>
    <w:rsid w:val="000475AE"/>
    <w:rsid w:val="00047741"/>
    <w:rsid w:val="00047B72"/>
    <w:rsid w:val="00050236"/>
    <w:rsid w:val="0005083B"/>
    <w:rsid w:val="00050E9F"/>
    <w:rsid w:val="00050EAF"/>
    <w:rsid w:val="000525A6"/>
    <w:rsid w:val="00052879"/>
    <w:rsid w:val="00052C63"/>
    <w:rsid w:val="00052D1D"/>
    <w:rsid w:val="00053036"/>
    <w:rsid w:val="00053920"/>
    <w:rsid w:val="00053A64"/>
    <w:rsid w:val="00053C59"/>
    <w:rsid w:val="00054BD2"/>
    <w:rsid w:val="00054F6C"/>
    <w:rsid w:val="0005532A"/>
    <w:rsid w:val="000558DB"/>
    <w:rsid w:val="0005662F"/>
    <w:rsid w:val="00056D2C"/>
    <w:rsid w:val="00057057"/>
    <w:rsid w:val="000579B1"/>
    <w:rsid w:val="00057A5D"/>
    <w:rsid w:val="00057B21"/>
    <w:rsid w:val="00057BFD"/>
    <w:rsid w:val="00057D78"/>
    <w:rsid w:val="0006018E"/>
    <w:rsid w:val="000603B9"/>
    <w:rsid w:val="000612E9"/>
    <w:rsid w:val="0006158A"/>
    <w:rsid w:val="00061C83"/>
    <w:rsid w:val="00061F45"/>
    <w:rsid w:val="0006222A"/>
    <w:rsid w:val="00063034"/>
    <w:rsid w:val="000637F3"/>
    <w:rsid w:val="00063F02"/>
    <w:rsid w:val="00065367"/>
    <w:rsid w:val="00065442"/>
    <w:rsid w:val="00065D82"/>
    <w:rsid w:val="0006690F"/>
    <w:rsid w:val="00067840"/>
    <w:rsid w:val="0007008C"/>
    <w:rsid w:val="0007058E"/>
    <w:rsid w:val="000707EC"/>
    <w:rsid w:val="00070FDD"/>
    <w:rsid w:val="000716C5"/>
    <w:rsid w:val="00071951"/>
    <w:rsid w:val="00071D34"/>
    <w:rsid w:val="000723C7"/>
    <w:rsid w:val="00072402"/>
    <w:rsid w:val="00072770"/>
    <w:rsid w:val="00072A84"/>
    <w:rsid w:val="00072D2F"/>
    <w:rsid w:val="000731B9"/>
    <w:rsid w:val="00073877"/>
    <w:rsid w:val="00074319"/>
    <w:rsid w:val="00074BEA"/>
    <w:rsid w:val="000751D0"/>
    <w:rsid w:val="00075664"/>
    <w:rsid w:val="00075961"/>
    <w:rsid w:val="00076A52"/>
    <w:rsid w:val="0007732F"/>
    <w:rsid w:val="00077B7D"/>
    <w:rsid w:val="000809F8"/>
    <w:rsid w:val="00080ABC"/>
    <w:rsid w:val="000812A1"/>
    <w:rsid w:val="000812D7"/>
    <w:rsid w:val="000812E1"/>
    <w:rsid w:val="000814FE"/>
    <w:rsid w:val="00081DDC"/>
    <w:rsid w:val="00082222"/>
    <w:rsid w:val="000827C0"/>
    <w:rsid w:val="00082ED7"/>
    <w:rsid w:val="00083585"/>
    <w:rsid w:val="00083B7B"/>
    <w:rsid w:val="00083D55"/>
    <w:rsid w:val="00084520"/>
    <w:rsid w:val="00086861"/>
    <w:rsid w:val="00086959"/>
    <w:rsid w:val="00086DA2"/>
    <w:rsid w:val="00086F13"/>
    <w:rsid w:val="00087E28"/>
    <w:rsid w:val="00087F87"/>
    <w:rsid w:val="00087FB6"/>
    <w:rsid w:val="0009034C"/>
    <w:rsid w:val="000906A6"/>
    <w:rsid w:val="00090705"/>
    <w:rsid w:val="000911FF"/>
    <w:rsid w:val="000915B8"/>
    <w:rsid w:val="000916B0"/>
    <w:rsid w:val="000916E5"/>
    <w:rsid w:val="000930C3"/>
    <w:rsid w:val="00093660"/>
    <w:rsid w:val="0009476E"/>
    <w:rsid w:val="0009487A"/>
    <w:rsid w:val="000948B3"/>
    <w:rsid w:val="00094A39"/>
    <w:rsid w:val="00094E1F"/>
    <w:rsid w:val="00094E5C"/>
    <w:rsid w:val="00094FB1"/>
    <w:rsid w:val="00095DC7"/>
    <w:rsid w:val="0009609F"/>
    <w:rsid w:val="00096227"/>
    <w:rsid w:val="00096EE0"/>
    <w:rsid w:val="000974FC"/>
    <w:rsid w:val="00097827"/>
    <w:rsid w:val="00097E9D"/>
    <w:rsid w:val="00097F88"/>
    <w:rsid w:val="000A08C2"/>
    <w:rsid w:val="000A08D1"/>
    <w:rsid w:val="000A1BC0"/>
    <w:rsid w:val="000A1DB8"/>
    <w:rsid w:val="000A29B4"/>
    <w:rsid w:val="000A2B49"/>
    <w:rsid w:val="000A4177"/>
    <w:rsid w:val="000A47AA"/>
    <w:rsid w:val="000A48AC"/>
    <w:rsid w:val="000A4E54"/>
    <w:rsid w:val="000A5492"/>
    <w:rsid w:val="000A612A"/>
    <w:rsid w:val="000A64EB"/>
    <w:rsid w:val="000A650F"/>
    <w:rsid w:val="000A679A"/>
    <w:rsid w:val="000A72B1"/>
    <w:rsid w:val="000A7588"/>
    <w:rsid w:val="000A7BFA"/>
    <w:rsid w:val="000A7F0B"/>
    <w:rsid w:val="000B07A3"/>
    <w:rsid w:val="000B0A5D"/>
    <w:rsid w:val="000B0DEC"/>
    <w:rsid w:val="000B192E"/>
    <w:rsid w:val="000B1CF0"/>
    <w:rsid w:val="000B24E6"/>
    <w:rsid w:val="000B2700"/>
    <w:rsid w:val="000B320B"/>
    <w:rsid w:val="000B35E9"/>
    <w:rsid w:val="000B4194"/>
    <w:rsid w:val="000B4769"/>
    <w:rsid w:val="000B4B8A"/>
    <w:rsid w:val="000B5509"/>
    <w:rsid w:val="000B5CC3"/>
    <w:rsid w:val="000B6310"/>
    <w:rsid w:val="000B65C0"/>
    <w:rsid w:val="000B69CB"/>
    <w:rsid w:val="000B6B74"/>
    <w:rsid w:val="000B6BD3"/>
    <w:rsid w:val="000B6F09"/>
    <w:rsid w:val="000B6F28"/>
    <w:rsid w:val="000B7599"/>
    <w:rsid w:val="000B7CFE"/>
    <w:rsid w:val="000B7D55"/>
    <w:rsid w:val="000C0102"/>
    <w:rsid w:val="000C0385"/>
    <w:rsid w:val="000C070C"/>
    <w:rsid w:val="000C0E03"/>
    <w:rsid w:val="000C0E08"/>
    <w:rsid w:val="000C12E4"/>
    <w:rsid w:val="000C1574"/>
    <w:rsid w:val="000C20EF"/>
    <w:rsid w:val="000C22A2"/>
    <w:rsid w:val="000C2B92"/>
    <w:rsid w:val="000C2C0F"/>
    <w:rsid w:val="000C2CB2"/>
    <w:rsid w:val="000C2CDD"/>
    <w:rsid w:val="000C3999"/>
    <w:rsid w:val="000C4214"/>
    <w:rsid w:val="000C45A6"/>
    <w:rsid w:val="000C4E29"/>
    <w:rsid w:val="000C4E9B"/>
    <w:rsid w:val="000C4EC5"/>
    <w:rsid w:val="000C4F72"/>
    <w:rsid w:val="000C4FF8"/>
    <w:rsid w:val="000C5140"/>
    <w:rsid w:val="000C571C"/>
    <w:rsid w:val="000C6522"/>
    <w:rsid w:val="000C6602"/>
    <w:rsid w:val="000C67FE"/>
    <w:rsid w:val="000C7CE2"/>
    <w:rsid w:val="000C7FC8"/>
    <w:rsid w:val="000D09FC"/>
    <w:rsid w:val="000D0AF0"/>
    <w:rsid w:val="000D12EC"/>
    <w:rsid w:val="000D1CE4"/>
    <w:rsid w:val="000D2000"/>
    <w:rsid w:val="000D2105"/>
    <w:rsid w:val="000D2574"/>
    <w:rsid w:val="000D2C04"/>
    <w:rsid w:val="000D2D9C"/>
    <w:rsid w:val="000D34BF"/>
    <w:rsid w:val="000D36AE"/>
    <w:rsid w:val="000D47F0"/>
    <w:rsid w:val="000D4853"/>
    <w:rsid w:val="000D4BE1"/>
    <w:rsid w:val="000D4D72"/>
    <w:rsid w:val="000D4DDE"/>
    <w:rsid w:val="000D5A30"/>
    <w:rsid w:val="000D60DB"/>
    <w:rsid w:val="000D6C5E"/>
    <w:rsid w:val="000D6CF7"/>
    <w:rsid w:val="000D7CFD"/>
    <w:rsid w:val="000E0A42"/>
    <w:rsid w:val="000E0FD3"/>
    <w:rsid w:val="000E130A"/>
    <w:rsid w:val="000E14CC"/>
    <w:rsid w:val="000E1E6E"/>
    <w:rsid w:val="000E2004"/>
    <w:rsid w:val="000E2255"/>
    <w:rsid w:val="000E28F3"/>
    <w:rsid w:val="000E2A82"/>
    <w:rsid w:val="000E30D5"/>
    <w:rsid w:val="000E34C3"/>
    <w:rsid w:val="000E4306"/>
    <w:rsid w:val="000E44D5"/>
    <w:rsid w:val="000E4AB1"/>
    <w:rsid w:val="000E4BBD"/>
    <w:rsid w:val="000E5065"/>
    <w:rsid w:val="000E518D"/>
    <w:rsid w:val="000E52D7"/>
    <w:rsid w:val="000E5625"/>
    <w:rsid w:val="000E6000"/>
    <w:rsid w:val="000E676B"/>
    <w:rsid w:val="000E6985"/>
    <w:rsid w:val="000E6BE6"/>
    <w:rsid w:val="000E6C00"/>
    <w:rsid w:val="000E7832"/>
    <w:rsid w:val="000E7CB2"/>
    <w:rsid w:val="000F00A1"/>
    <w:rsid w:val="000F0172"/>
    <w:rsid w:val="000F06A8"/>
    <w:rsid w:val="000F2F19"/>
    <w:rsid w:val="000F4E50"/>
    <w:rsid w:val="000F5206"/>
    <w:rsid w:val="000F55C8"/>
    <w:rsid w:val="000F5EE7"/>
    <w:rsid w:val="000F6102"/>
    <w:rsid w:val="001004DA"/>
    <w:rsid w:val="001017CA"/>
    <w:rsid w:val="00101E25"/>
    <w:rsid w:val="00102204"/>
    <w:rsid w:val="0010245C"/>
    <w:rsid w:val="0010278A"/>
    <w:rsid w:val="00102CA1"/>
    <w:rsid w:val="00103F32"/>
    <w:rsid w:val="0010401E"/>
    <w:rsid w:val="00104249"/>
    <w:rsid w:val="00104737"/>
    <w:rsid w:val="00104C0F"/>
    <w:rsid w:val="00105117"/>
    <w:rsid w:val="00105270"/>
    <w:rsid w:val="0010548E"/>
    <w:rsid w:val="00106A61"/>
    <w:rsid w:val="00106DD8"/>
    <w:rsid w:val="00106EFD"/>
    <w:rsid w:val="0010715C"/>
    <w:rsid w:val="00107721"/>
    <w:rsid w:val="001100FE"/>
    <w:rsid w:val="00110BCA"/>
    <w:rsid w:val="0011120D"/>
    <w:rsid w:val="00111D70"/>
    <w:rsid w:val="00111D9A"/>
    <w:rsid w:val="001123B3"/>
    <w:rsid w:val="00112F88"/>
    <w:rsid w:val="00113128"/>
    <w:rsid w:val="00113167"/>
    <w:rsid w:val="001142BA"/>
    <w:rsid w:val="00114F6C"/>
    <w:rsid w:val="00115BD2"/>
    <w:rsid w:val="00115BEF"/>
    <w:rsid w:val="00115E14"/>
    <w:rsid w:val="001162A6"/>
    <w:rsid w:val="001169EE"/>
    <w:rsid w:val="0011755D"/>
    <w:rsid w:val="001176E6"/>
    <w:rsid w:val="001178D9"/>
    <w:rsid w:val="0011791A"/>
    <w:rsid w:val="00120022"/>
    <w:rsid w:val="00120118"/>
    <w:rsid w:val="0012023A"/>
    <w:rsid w:val="00121008"/>
    <w:rsid w:val="001210AC"/>
    <w:rsid w:val="001210FF"/>
    <w:rsid w:val="00121232"/>
    <w:rsid w:val="00121B1E"/>
    <w:rsid w:val="001223DC"/>
    <w:rsid w:val="00122677"/>
    <w:rsid w:val="00122B5F"/>
    <w:rsid w:val="00122B8C"/>
    <w:rsid w:val="001232CA"/>
    <w:rsid w:val="00123325"/>
    <w:rsid w:val="00123985"/>
    <w:rsid w:val="00124536"/>
    <w:rsid w:val="0012487A"/>
    <w:rsid w:val="0012579A"/>
    <w:rsid w:val="00125A91"/>
    <w:rsid w:val="00126E96"/>
    <w:rsid w:val="00130B4A"/>
    <w:rsid w:val="0013151B"/>
    <w:rsid w:val="00131641"/>
    <w:rsid w:val="0013183B"/>
    <w:rsid w:val="001320E0"/>
    <w:rsid w:val="00132565"/>
    <w:rsid w:val="001327D5"/>
    <w:rsid w:val="001328E0"/>
    <w:rsid w:val="0013358A"/>
    <w:rsid w:val="00133959"/>
    <w:rsid w:val="00133D19"/>
    <w:rsid w:val="001340B8"/>
    <w:rsid w:val="0013454B"/>
    <w:rsid w:val="00134774"/>
    <w:rsid w:val="00134A04"/>
    <w:rsid w:val="00134C8A"/>
    <w:rsid w:val="00135121"/>
    <w:rsid w:val="001357C6"/>
    <w:rsid w:val="00135ACF"/>
    <w:rsid w:val="00135C18"/>
    <w:rsid w:val="0013617B"/>
    <w:rsid w:val="00136667"/>
    <w:rsid w:val="00136778"/>
    <w:rsid w:val="00136813"/>
    <w:rsid w:val="00137481"/>
    <w:rsid w:val="00137D84"/>
    <w:rsid w:val="00137E24"/>
    <w:rsid w:val="00140274"/>
    <w:rsid w:val="00140C46"/>
    <w:rsid w:val="00140E8E"/>
    <w:rsid w:val="0014134C"/>
    <w:rsid w:val="001416BE"/>
    <w:rsid w:val="00141CDE"/>
    <w:rsid w:val="001422C3"/>
    <w:rsid w:val="001424E5"/>
    <w:rsid w:val="00142580"/>
    <w:rsid w:val="00142700"/>
    <w:rsid w:val="001428B6"/>
    <w:rsid w:val="001438CC"/>
    <w:rsid w:val="00143B1A"/>
    <w:rsid w:val="00143DAF"/>
    <w:rsid w:val="00143E6A"/>
    <w:rsid w:val="001442A6"/>
    <w:rsid w:val="0014439E"/>
    <w:rsid w:val="00144A58"/>
    <w:rsid w:val="00144F8E"/>
    <w:rsid w:val="001452BA"/>
    <w:rsid w:val="0014558F"/>
    <w:rsid w:val="001457B9"/>
    <w:rsid w:val="001459FF"/>
    <w:rsid w:val="001461EE"/>
    <w:rsid w:val="001469DE"/>
    <w:rsid w:val="00147301"/>
    <w:rsid w:val="0014794C"/>
    <w:rsid w:val="00147D6D"/>
    <w:rsid w:val="0015038D"/>
    <w:rsid w:val="00151263"/>
    <w:rsid w:val="001515A0"/>
    <w:rsid w:val="00152124"/>
    <w:rsid w:val="00152533"/>
    <w:rsid w:val="00152EAF"/>
    <w:rsid w:val="001537FA"/>
    <w:rsid w:val="001538DC"/>
    <w:rsid w:val="00153AE0"/>
    <w:rsid w:val="00153BB5"/>
    <w:rsid w:val="00154A05"/>
    <w:rsid w:val="00154EF0"/>
    <w:rsid w:val="00155315"/>
    <w:rsid w:val="00155549"/>
    <w:rsid w:val="001556C4"/>
    <w:rsid w:val="00155A74"/>
    <w:rsid w:val="00155E96"/>
    <w:rsid w:val="001561F1"/>
    <w:rsid w:val="00156296"/>
    <w:rsid w:val="00156454"/>
    <w:rsid w:val="001566B0"/>
    <w:rsid w:val="0015673E"/>
    <w:rsid w:val="001568C6"/>
    <w:rsid w:val="0015694D"/>
    <w:rsid w:val="00157A86"/>
    <w:rsid w:val="0016022B"/>
    <w:rsid w:val="001609FB"/>
    <w:rsid w:val="00160D00"/>
    <w:rsid w:val="0016127B"/>
    <w:rsid w:val="001613CC"/>
    <w:rsid w:val="001614D0"/>
    <w:rsid w:val="001621C8"/>
    <w:rsid w:val="00162419"/>
    <w:rsid w:val="00162A8D"/>
    <w:rsid w:val="00162B88"/>
    <w:rsid w:val="0016410D"/>
    <w:rsid w:val="0016498A"/>
    <w:rsid w:val="00164A75"/>
    <w:rsid w:val="00164ACB"/>
    <w:rsid w:val="00165114"/>
    <w:rsid w:val="00165538"/>
    <w:rsid w:val="00165608"/>
    <w:rsid w:val="00165706"/>
    <w:rsid w:val="00165E3C"/>
    <w:rsid w:val="00166498"/>
    <w:rsid w:val="001672E9"/>
    <w:rsid w:val="00167E21"/>
    <w:rsid w:val="001702D6"/>
    <w:rsid w:val="00170460"/>
    <w:rsid w:val="00170AC1"/>
    <w:rsid w:val="001718DB"/>
    <w:rsid w:val="00171C7A"/>
    <w:rsid w:val="00171CD6"/>
    <w:rsid w:val="00171FDB"/>
    <w:rsid w:val="001721CF"/>
    <w:rsid w:val="001723C4"/>
    <w:rsid w:val="001727F2"/>
    <w:rsid w:val="001732D3"/>
    <w:rsid w:val="00173365"/>
    <w:rsid w:val="00173F3B"/>
    <w:rsid w:val="00173FB5"/>
    <w:rsid w:val="00174175"/>
    <w:rsid w:val="001747E6"/>
    <w:rsid w:val="00174AC6"/>
    <w:rsid w:val="0017572B"/>
    <w:rsid w:val="0017606E"/>
    <w:rsid w:val="001766BA"/>
    <w:rsid w:val="0017688C"/>
    <w:rsid w:val="00176A3E"/>
    <w:rsid w:val="00176FA6"/>
    <w:rsid w:val="00177504"/>
    <w:rsid w:val="001775B8"/>
    <w:rsid w:val="00177B12"/>
    <w:rsid w:val="0018089C"/>
    <w:rsid w:val="0018206A"/>
    <w:rsid w:val="001821D9"/>
    <w:rsid w:val="001822C1"/>
    <w:rsid w:val="00182331"/>
    <w:rsid w:val="0018274E"/>
    <w:rsid w:val="00183199"/>
    <w:rsid w:val="0018322E"/>
    <w:rsid w:val="00183B1B"/>
    <w:rsid w:val="00183BE3"/>
    <w:rsid w:val="0018411C"/>
    <w:rsid w:val="00184403"/>
    <w:rsid w:val="00185174"/>
    <w:rsid w:val="00185B48"/>
    <w:rsid w:val="0018605D"/>
    <w:rsid w:val="001861F2"/>
    <w:rsid w:val="00186697"/>
    <w:rsid w:val="0018771C"/>
    <w:rsid w:val="00187911"/>
    <w:rsid w:val="00187C5E"/>
    <w:rsid w:val="0019052E"/>
    <w:rsid w:val="0019076B"/>
    <w:rsid w:val="00190A45"/>
    <w:rsid w:val="00191C6B"/>
    <w:rsid w:val="00191E99"/>
    <w:rsid w:val="00191F46"/>
    <w:rsid w:val="00192379"/>
    <w:rsid w:val="001925B5"/>
    <w:rsid w:val="00192880"/>
    <w:rsid w:val="00192EDD"/>
    <w:rsid w:val="00193314"/>
    <w:rsid w:val="0019342C"/>
    <w:rsid w:val="001934AD"/>
    <w:rsid w:val="0019370C"/>
    <w:rsid w:val="00193CBD"/>
    <w:rsid w:val="00194B50"/>
    <w:rsid w:val="00194D93"/>
    <w:rsid w:val="00194FFE"/>
    <w:rsid w:val="0019512E"/>
    <w:rsid w:val="0019564E"/>
    <w:rsid w:val="00195CC9"/>
    <w:rsid w:val="001962DF"/>
    <w:rsid w:val="00196417"/>
    <w:rsid w:val="00196698"/>
    <w:rsid w:val="001967FF"/>
    <w:rsid w:val="00197A02"/>
    <w:rsid w:val="001A0248"/>
    <w:rsid w:val="001A0BD6"/>
    <w:rsid w:val="001A157F"/>
    <w:rsid w:val="001A25A3"/>
    <w:rsid w:val="001A2AA8"/>
    <w:rsid w:val="001A396C"/>
    <w:rsid w:val="001A4511"/>
    <w:rsid w:val="001A4719"/>
    <w:rsid w:val="001A5561"/>
    <w:rsid w:val="001A5818"/>
    <w:rsid w:val="001A6546"/>
    <w:rsid w:val="001A6A49"/>
    <w:rsid w:val="001A6CD2"/>
    <w:rsid w:val="001A6ED5"/>
    <w:rsid w:val="001A6FE7"/>
    <w:rsid w:val="001A76EF"/>
    <w:rsid w:val="001A7BB4"/>
    <w:rsid w:val="001B02D4"/>
    <w:rsid w:val="001B0353"/>
    <w:rsid w:val="001B0464"/>
    <w:rsid w:val="001B0807"/>
    <w:rsid w:val="001B0B26"/>
    <w:rsid w:val="001B11DB"/>
    <w:rsid w:val="001B1557"/>
    <w:rsid w:val="001B1573"/>
    <w:rsid w:val="001B18ED"/>
    <w:rsid w:val="001B1CD2"/>
    <w:rsid w:val="001B2AB9"/>
    <w:rsid w:val="001B3B86"/>
    <w:rsid w:val="001B402E"/>
    <w:rsid w:val="001B4422"/>
    <w:rsid w:val="001B4B72"/>
    <w:rsid w:val="001B56BC"/>
    <w:rsid w:val="001B59D4"/>
    <w:rsid w:val="001B5A86"/>
    <w:rsid w:val="001B67A9"/>
    <w:rsid w:val="001B7377"/>
    <w:rsid w:val="001B7BFD"/>
    <w:rsid w:val="001C008D"/>
    <w:rsid w:val="001C0943"/>
    <w:rsid w:val="001C1124"/>
    <w:rsid w:val="001C1D8C"/>
    <w:rsid w:val="001C1F8B"/>
    <w:rsid w:val="001C24E2"/>
    <w:rsid w:val="001C2A8B"/>
    <w:rsid w:val="001C2F92"/>
    <w:rsid w:val="001C359D"/>
    <w:rsid w:val="001C3622"/>
    <w:rsid w:val="001C383F"/>
    <w:rsid w:val="001C3A9E"/>
    <w:rsid w:val="001C3F5D"/>
    <w:rsid w:val="001C4A94"/>
    <w:rsid w:val="001C76EF"/>
    <w:rsid w:val="001C78B5"/>
    <w:rsid w:val="001C7AC2"/>
    <w:rsid w:val="001D04DC"/>
    <w:rsid w:val="001D14B8"/>
    <w:rsid w:val="001D17C6"/>
    <w:rsid w:val="001D19C3"/>
    <w:rsid w:val="001D1EED"/>
    <w:rsid w:val="001D2FDB"/>
    <w:rsid w:val="001D34C9"/>
    <w:rsid w:val="001D37C9"/>
    <w:rsid w:val="001D3EF2"/>
    <w:rsid w:val="001D41E1"/>
    <w:rsid w:val="001D479F"/>
    <w:rsid w:val="001D4B58"/>
    <w:rsid w:val="001D4C69"/>
    <w:rsid w:val="001D6197"/>
    <w:rsid w:val="001D62E8"/>
    <w:rsid w:val="001D6447"/>
    <w:rsid w:val="001D6866"/>
    <w:rsid w:val="001D7968"/>
    <w:rsid w:val="001E0177"/>
    <w:rsid w:val="001E0C0B"/>
    <w:rsid w:val="001E0FD7"/>
    <w:rsid w:val="001E131A"/>
    <w:rsid w:val="001E1BEA"/>
    <w:rsid w:val="001E2B7A"/>
    <w:rsid w:val="001E3BAE"/>
    <w:rsid w:val="001E4041"/>
    <w:rsid w:val="001E404C"/>
    <w:rsid w:val="001E45A2"/>
    <w:rsid w:val="001E45A9"/>
    <w:rsid w:val="001E46DF"/>
    <w:rsid w:val="001E58B1"/>
    <w:rsid w:val="001E58C6"/>
    <w:rsid w:val="001E598B"/>
    <w:rsid w:val="001E5EE9"/>
    <w:rsid w:val="001E6ED0"/>
    <w:rsid w:val="001E6F84"/>
    <w:rsid w:val="001E791B"/>
    <w:rsid w:val="001E7F81"/>
    <w:rsid w:val="001F09A1"/>
    <w:rsid w:val="001F0D39"/>
    <w:rsid w:val="001F148E"/>
    <w:rsid w:val="001F164C"/>
    <w:rsid w:val="001F1D2E"/>
    <w:rsid w:val="001F203A"/>
    <w:rsid w:val="001F21D2"/>
    <w:rsid w:val="001F2972"/>
    <w:rsid w:val="001F2BBB"/>
    <w:rsid w:val="001F2E67"/>
    <w:rsid w:val="001F30C9"/>
    <w:rsid w:val="001F37CA"/>
    <w:rsid w:val="001F4095"/>
    <w:rsid w:val="001F480E"/>
    <w:rsid w:val="001F48A9"/>
    <w:rsid w:val="001F4946"/>
    <w:rsid w:val="001F4D2B"/>
    <w:rsid w:val="001F52C6"/>
    <w:rsid w:val="001F596C"/>
    <w:rsid w:val="001F5EBC"/>
    <w:rsid w:val="001F6736"/>
    <w:rsid w:val="001F6743"/>
    <w:rsid w:val="001F6CDA"/>
    <w:rsid w:val="001F70F5"/>
    <w:rsid w:val="001F7369"/>
    <w:rsid w:val="001F73D6"/>
    <w:rsid w:val="001F741F"/>
    <w:rsid w:val="001F74CE"/>
    <w:rsid w:val="001F74D9"/>
    <w:rsid w:val="001F77ED"/>
    <w:rsid w:val="001F789E"/>
    <w:rsid w:val="001F7B9A"/>
    <w:rsid w:val="002000F8"/>
    <w:rsid w:val="00200100"/>
    <w:rsid w:val="002002CF"/>
    <w:rsid w:val="0020038F"/>
    <w:rsid w:val="00200677"/>
    <w:rsid w:val="00200F83"/>
    <w:rsid w:val="0020147A"/>
    <w:rsid w:val="00201B3E"/>
    <w:rsid w:val="00202084"/>
    <w:rsid w:val="00202204"/>
    <w:rsid w:val="00202422"/>
    <w:rsid w:val="00202564"/>
    <w:rsid w:val="002028BD"/>
    <w:rsid w:val="00202B4E"/>
    <w:rsid w:val="002034AC"/>
    <w:rsid w:val="0020387F"/>
    <w:rsid w:val="00203A9C"/>
    <w:rsid w:val="00204525"/>
    <w:rsid w:val="00204609"/>
    <w:rsid w:val="00205287"/>
    <w:rsid w:val="00205459"/>
    <w:rsid w:val="0020556C"/>
    <w:rsid w:val="00207192"/>
    <w:rsid w:val="002072D9"/>
    <w:rsid w:val="00210C0A"/>
    <w:rsid w:val="00210DB2"/>
    <w:rsid w:val="00210FF7"/>
    <w:rsid w:val="002111D1"/>
    <w:rsid w:val="00211842"/>
    <w:rsid w:val="00211D41"/>
    <w:rsid w:val="002123AA"/>
    <w:rsid w:val="002124F5"/>
    <w:rsid w:val="002125D5"/>
    <w:rsid w:val="0021282A"/>
    <w:rsid w:val="0021294F"/>
    <w:rsid w:val="00212A96"/>
    <w:rsid w:val="00212D25"/>
    <w:rsid w:val="00213895"/>
    <w:rsid w:val="00213E81"/>
    <w:rsid w:val="00213FE7"/>
    <w:rsid w:val="002142C4"/>
    <w:rsid w:val="002148B3"/>
    <w:rsid w:val="0021697C"/>
    <w:rsid w:val="00216AD7"/>
    <w:rsid w:val="00216B4B"/>
    <w:rsid w:val="00216DBC"/>
    <w:rsid w:val="002175F7"/>
    <w:rsid w:val="002178C1"/>
    <w:rsid w:val="00220500"/>
    <w:rsid w:val="00220B17"/>
    <w:rsid w:val="0022165D"/>
    <w:rsid w:val="00221B38"/>
    <w:rsid w:val="00222688"/>
    <w:rsid w:val="0022293D"/>
    <w:rsid w:val="00223C04"/>
    <w:rsid w:val="00223D8E"/>
    <w:rsid w:val="0022411A"/>
    <w:rsid w:val="00224AA3"/>
    <w:rsid w:val="002255B0"/>
    <w:rsid w:val="002256F0"/>
    <w:rsid w:val="00225830"/>
    <w:rsid w:val="002258AC"/>
    <w:rsid w:val="00225E4B"/>
    <w:rsid w:val="002262DB"/>
    <w:rsid w:val="00227590"/>
    <w:rsid w:val="00227EEF"/>
    <w:rsid w:val="00227FE9"/>
    <w:rsid w:val="002301F5"/>
    <w:rsid w:val="0023059B"/>
    <w:rsid w:val="00230990"/>
    <w:rsid w:val="00230DD3"/>
    <w:rsid w:val="00230E57"/>
    <w:rsid w:val="00231ED1"/>
    <w:rsid w:val="002328C2"/>
    <w:rsid w:val="00232984"/>
    <w:rsid w:val="00232BE5"/>
    <w:rsid w:val="00232C72"/>
    <w:rsid w:val="00232CA9"/>
    <w:rsid w:val="00233226"/>
    <w:rsid w:val="00233B1C"/>
    <w:rsid w:val="00233B69"/>
    <w:rsid w:val="00233BE6"/>
    <w:rsid w:val="00233EB7"/>
    <w:rsid w:val="002343EE"/>
    <w:rsid w:val="0023485E"/>
    <w:rsid w:val="00234A27"/>
    <w:rsid w:val="00234EAE"/>
    <w:rsid w:val="00237201"/>
    <w:rsid w:val="00237515"/>
    <w:rsid w:val="00237552"/>
    <w:rsid w:val="00237B04"/>
    <w:rsid w:val="00237E00"/>
    <w:rsid w:val="0024094E"/>
    <w:rsid w:val="00240C4F"/>
    <w:rsid w:val="00240DFB"/>
    <w:rsid w:val="0024189E"/>
    <w:rsid w:val="00241C5F"/>
    <w:rsid w:val="00241FF8"/>
    <w:rsid w:val="0024241D"/>
    <w:rsid w:val="00242624"/>
    <w:rsid w:val="00242AA8"/>
    <w:rsid w:val="002434D9"/>
    <w:rsid w:val="00243695"/>
    <w:rsid w:val="002438AB"/>
    <w:rsid w:val="00243AF3"/>
    <w:rsid w:val="00243F4E"/>
    <w:rsid w:val="0024405F"/>
    <w:rsid w:val="002440F0"/>
    <w:rsid w:val="00244129"/>
    <w:rsid w:val="00244C0F"/>
    <w:rsid w:val="00244ECD"/>
    <w:rsid w:val="00244FAE"/>
    <w:rsid w:val="0024557E"/>
    <w:rsid w:val="00245582"/>
    <w:rsid w:val="00245837"/>
    <w:rsid w:val="00245BCF"/>
    <w:rsid w:val="002460E3"/>
    <w:rsid w:val="002465B4"/>
    <w:rsid w:val="00247001"/>
    <w:rsid w:val="002474EF"/>
    <w:rsid w:val="0025062E"/>
    <w:rsid w:val="00250959"/>
    <w:rsid w:val="00250D73"/>
    <w:rsid w:val="00250DFF"/>
    <w:rsid w:val="00251241"/>
    <w:rsid w:val="00251792"/>
    <w:rsid w:val="00251A68"/>
    <w:rsid w:val="00251C6C"/>
    <w:rsid w:val="00251CB7"/>
    <w:rsid w:val="00251F8A"/>
    <w:rsid w:val="00251FD8"/>
    <w:rsid w:val="002525B4"/>
    <w:rsid w:val="002528A9"/>
    <w:rsid w:val="00252A02"/>
    <w:rsid w:val="002534BE"/>
    <w:rsid w:val="00254265"/>
    <w:rsid w:val="002543B8"/>
    <w:rsid w:val="00254A57"/>
    <w:rsid w:val="00254AC1"/>
    <w:rsid w:val="00254EAC"/>
    <w:rsid w:val="002558B7"/>
    <w:rsid w:val="00255CC9"/>
    <w:rsid w:val="00255EF9"/>
    <w:rsid w:val="00256538"/>
    <w:rsid w:val="00256673"/>
    <w:rsid w:val="0025671B"/>
    <w:rsid w:val="0025709B"/>
    <w:rsid w:val="0025719B"/>
    <w:rsid w:val="002573D3"/>
    <w:rsid w:val="00257C54"/>
    <w:rsid w:val="002605DF"/>
    <w:rsid w:val="00260D87"/>
    <w:rsid w:val="00261084"/>
    <w:rsid w:val="00261F71"/>
    <w:rsid w:val="002632A5"/>
    <w:rsid w:val="00263302"/>
    <w:rsid w:val="002634B2"/>
    <w:rsid w:val="0026379B"/>
    <w:rsid w:val="00263FE7"/>
    <w:rsid w:val="00264080"/>
    <w:rsid w:val="00264356"/>
    <w:rsid w:val="00264799"/>
    <w:rsid w:val="00265394"/>
    <w:rsid w:val="00265514"/>
    <w:rsid w:val="00266AC5"/>
    <w:rsid w:val="00266EEC"/>
    <w:rsid w:val="0026746D"/>
    <w:rsid w:val="002675C2"/>
    <w:rsid w:val="0026772C"/>
    <w:rsid w:val="002677FF"/>
    <w:rsid w:val="00271254"/>
    <w:rsid w:val="002715E7"/>
    <w:rsid w:val="002716A1"/>
    <w:rsid w:val="00271A35"/>
    <w:rsid w:val="00272794"/>
    <w:rsid w:val="00272C9A"/>
    <w:rsid w:val="00272EB5"/>
    <w:rsid w:val="00273070"/>
    <w:rsid w:val="002731D6"/>
    <w:rsid w:val="002740AA"/>
    <w:rsid w:val="0027427D"/>
    <w:rsid w:val="0027482A"/>
    <w:rsid w:val="0027489D"/>
    <w:rsid w:val="00275C05"/>
    <w:rsid w:val="0027694B"/>
    <w:rsid w:val="00276BA7"/>
    <w:rsid w:val="002771F0"/>
    <w:rsid w:val="00277C1D"/>
    <w:rsid w:val="002800E0"/>
    <w:rsid w:val="0028097A"/>
    <w:rsid w:val="00280A08"/>
    <w:rsid w:val="00281E5F"/>
    <w:rsid w:val="00282753"/>
    <w:rsid w:val="00282985"/>
    <w:rsid w:val="002829F5"/>
    <w:rsid w:val="00282A0C"/>
    <w:rsid w:val="00282F77"/>
    <w:rsid w:val="00283251"/>
    <w:rsid w:val="00283456"/>
    <w:rsid w:val="0028377E"/>
    <w:rsid w:val="002838BF"/>
    <w:rsid w:val="00284007"/>
    <w:rsid w:val="00285912"/>
    <w:rsid w:val="002860CB"/>
    <w:rsid w:val="002863D7"/>
    <w:rsid w:val="00287816"/>
    <w:rsid w:val="00287C0B"/>
    <w:rsid w:val="0029046D"/>
    <w:rsid w:val="00290913"/>
    <w:rsid w:val="00290E38"/>
    <w:rsid w:val="002910C2"/>
    <w:rsid w:val="00291799"/>
    <w:rsid w:val="00291BC5"/>
    <w:rsid w:val="00291BC7"/>
    <w:rsid w:val="00291BDA"/>
    <w:rsid w:val="00292264"/>
    <w:rsid w:val="002922C0"/>
    <w:rsid w:val="00293261"/>
    <w:rsid w:val="002939E2"/>
    <w:rsid w:val="0029424F"/>
    <w:rsid w:val="00294841"/>
    <w:rsid w:val="00294C81"/>
    <w:rsid w:val="00294DF8"/>
    <w:rsid w:val="002950A6"/>
    <w:rsid w:val="002952CE"/>
    <w:rsid w:val="00295ABE"/>
    <w:rsid w:val="0029621F"/>
    <w:rsid w:val="00296A26"/>
    <w:rsid w:val="002974CD"/>
    <w:rsid w:val="00297FE7"/>
    <w:rsid w:val="002A08D2"/>
    <w:rsid w:val="002A0B28"/>
    <w:rsid w:val="002A107E"/>
    <w:rsid w:val="002A176C"/>
    <w:rsid w:val="002A1C93"/>
    <w:rsid w:val="002A26CC"/>
    <w:rsid w:val="002A2828"/>
    <w:rsid w:val="002A3B92"/>
    <w:rsid w:val="002A43F3"/>
    <w:rsid w:val="002A4B03"/>
    <w:rsid w:val="002A509D"/>
    <w:rsid w:val="002A538E"/>
    <w:rsid w:val="002A5760"/>
    <w:rsid w:val="002A57F1"/>
    <w:rsid w:val="002A5FA3"/>
    <w:rsid w:val="002A6411"/>
    <w:rsid w:val="002A6973"/>
    <w:rsid w:val="002A73C9"/>
    <w:rsid w:val="002A74AA"/>
    <w:rsid w:val="002A799D"/>
    <w:rsid w:val="002A7E41"/>
    <w:rsid w:val="002A7F22"/>
    <w:rsid w:val="002A7FD1"/>
    <w:rsid w:val="002B0021"/>
    <w:rsid w:val="002B0602"/>
    <w:rsid w:val="002B0DC6"/>
    <w:rsid w:val="002B1171"/>
    <w:rsid w:val="002B1999"/>
    <w:rsid w:val="002B1B65"/>
    <w:rsid w:val="002B1FB2"/>
    <w:rsid w:val="002B25E0"/>
    <w:rsid w:val="002B279B"/>
    <w:rsid w:val="002B445B"/>
    <w:rsid w:val="002B4497"/>
    <w:rsid w:val="002B4891"/>
    <w:rsid w:val="002B49E7"/>
    <w:rsid w:val="002B4A58"/>
    <w:rsid w:val="002B4C0E"/>
    <w:rsid w:val="002B50F2"/>
    <w:rsid w:val="002B55CE"/>
    <w:rsid w:val="002B583E"/>
    <w:rsid w:val="002B66B4"/>
    <w:rsid w:val="002B7794"/>
    <w:rsid w:val="002B7AAD"/>
    <w:rsid w:val="002B7BCF"/>
    <w:rsid w:val="002B7CE6"/>
    <w:rsid w:val="002B7FC1"/>
    <w:rsid w:val="002C001D"/>
    <w:rsid w:val="002C0C7A"/>
    <w:rsid w:val="002C135C"/>
    <w:rsid w:val="002C1866"/>
    <w:rsid w:val="002C1B07"/>
    <w:rsid w:val="002C399A"/>
    <w:rsid w:val="002C3B14"/>
    <w:rsid w:val="002C3F48"/>
    <w:rsid w:val="002C4318"/>
    <w:rsid w:val="002C45AE"/>
    <w:rsid w:val="002C4966"/>
    <w:rsid w:val="002C52F2"/>
    <w:rsid w:val="002C533A"/>
    <w:rsid w:val="002C5F51"/>
    <w:rsid w:val="002C6400"/>
    <w:rsid w:val="002C6795"/>
    <w:rsid w:val="002C68CA"/>
    <w:rsid w:val="002C7A2F"/>
    <w:rsid w:val="002C7A92"/>
    <w:rsid w:val="002D07F3"/>
    <w:rsid w:val="002D0BE7"/>
    <w:rsid w:val="002D0C26"/>
    <w:rsid w:val="002D1942"/>
    <w:rsid w:val="002D219A"/>
    <w:rsid w:val="002D242A"/>
    <w:rsid w:val="002D34E9"/>
    <w:rsid w:val="002D59D0"/>
    <w:rsid w:val="002D5BE8"/>
    <w:rsid w:val="002D648F"/>
    <w:rsid w:val="002D79C0"/>
    <w:rsid w:val="002D7CC4"/>
    <w:rsid w:val="002E029D"/>
    <w:rsid w:val="002E0521"/>
    <w:rsid w:val="002E0C60"/>
    <w:rsid w:val="002E1108"/>
    <w:rsid w:val="002E16D6"/>
    <w:rsid w:val="002E170E"/>
    <w:rsid w:val="002E2132"/>
    <w:rsid w:val="002E24B4"/>
    <w:rsid w:val="002E2557"/>
    <w:rsid w:val="002E2589"/>
    <w:rsid w:val="002E29B8"/>
    <w:rsid w:val="002E34B3"/>
    <w:rsid w:val="002E387B"/>
    <w:rsid w:val="002E3FB9"/>
    <w:rsid w:val="002E478D"/>
    <w:rsid w:val="002E493F"/>
    <w:rsid w:val="002E4D61"/>
    <w:rsid w:val="002E4D9F"/>
    <w:rsid w:val="002E4E2C"/>
    <w:rsid w:val="002E50AE"/>
    <w:rsid w:val="002E5215"/>
    <w:rsid w:val="002E55A5"/>
    <w:rsid w:val="002E5A1E"/>
    <w:rsid w:val="002E5FB3"/>
    <w:rsid w:val="002E6A0A"/>
    <w:rsid w:val="002E6A54"/>
    <w:rsid w:val="002E6D6B"/>
    <w:rsid w:val="002E7C9F"/>
    <w:rsid w:val="002E7E1F"/>
    <w:rsid w:val="002E7FDE"/>
    <w:rsid w:val="002F060D"/>
    <w:rsid w:val="002F09F3"/>
    <w:rsid w:val="002F0AEB"/>
    <w:rsid w:val="002F13AF"/>
    <w:rsid w:val="002F1ABB"/>
    <w:rsid w:val="002F222F"/>
    <w:rsid w:val="002F22AE"/>
    <w:rsid w:val="002F322D"/>
    <w:rsid w:val="002F3478"/>
    <w:rsid w:val="002F3A7B"/>
    <w:rsid w:val="002F3B14"/>
    <w:rsid w:val="002F3D93"/>
    <w:rsid w:val="002F3F74"/>
    <w:rsid w:val="002F434F"/>
    <w:rsid w:val="002F47B7"/>
    <w:rsid w:val="002F487E"/>
    <w:rsid w:val="002F4CE1"/>
    <w:rsid w:val="002F4F2F"/>
    <w:rsid w:val="002F51D0"/>
    <w:rsid w:val="002F5460"/>
    <w:rsid w:val="002F5795"/>
    <w:rsid w:val="002F5E47"/>
    <w:rsid w:val="002F6042"/>
    <w:rsid w:val="002F6A88"/>
    <w:rsid w:val="002F760B"/>
    <w:rsid w:val="002F760C"/>
    <w:rsid w:val="0030023A"/>
    <w:rsid w:val="00300E4B"/>
    <w:rsid w:val="00300F22"/>
    <w:rsid w:val="00301BDA"/>
    <w:rsid w:val="003028AF"/>
    <w:rsid w:val="00303DC9"/>
    <w:rsid w:val="003040A1"/>
    <w:rsid w:val="003040AE"/>
    <w:rsid w:val="003041DA"/>
    <w:rsid w:val="00304A37"/>
    <w:rsid w:val="00304B0B"/>
    <w:rsid w:val="00304CB1"/>
    <w:rsid w:val="0030522B"/>
    <w:rsid w:val="0030547C"/>
    <w:rsid w:val="00305CBE"/>
    <w:rsid w:val="0030626C"/>
    <w:rsid w:val="00306C97"/>
    <w:rsid w:val="00306D39"/>
    <w:rsid w:val="00306E00"/>
    <w:rsid w:val="003101BF"/>
    <w:rsid w:val="003107DF"/>
    <w:rsid w:val="003109F6"/>
    <w:rsid w:val="00310E0D"/>
    <w:rsid w:val="00310ED4"/>
    <w:rsid w:val="0031199B"/>
    <w:rsid w:val="00311AAC"/>
    <w:rsid w:val="00312301"/>
    <w:rsid w:val="003126A2"/>
    <w:rsid w:val="0031310E"/>
    <w:rsid w:val="0031314C"/>
    <w:rsid w:val="00313A8F"/>
    <w:rsid w:val="00313DBD"/>
    <w:rsid w:val="0031444A"/>
    <w:rsid w:val="00314714"/>
    <w:rsid w:val="0031492A"/>
    <w:rsid w:val="00314BDB"/>
    <w:rsid w:val="00315D17"/>
    <w:rsid w:val="00315D94"/>
    <w:rsid w:val="00316B74"/>
    <w:rsid w:val="00316C1A"/>
    <w:rsid w:val="00316CCF"/>
    <w:rsid w:val="00316CD9"/>
    <w:rsid w:val="00316CE5"/>
    <w:rsid w:val="0031729F"/>
    <w:rsid w:val="003174E5"/>
    <w:rsid w:val="00317654"/>
    <w:rsid w:val="0031783C"/>
    <w:rsid w:val="003202F9"/>
    <w:rsid w:val="00320743"/>
    <w:rsid w:val="00321191"/>
    <w:rsid w:val="003213D1"/>
    <w:rsid w:val="00321DD8"/>
    <w:rsid w:val="003222DC"/>
    <w:rsid w:val="00322A01"/>
    <w:rsid w:val="00323206"/>
    <w:rsid w:val="0032323B"/>
    <w:rsid w:val="00323323"/>
    <w:rsid w:val="00323718"/>
    <w:rsid w:val="003238D4"/>
    <w:rsid w:val="00323C73"/>
    <w:rsid w:val="00323CA5"/>
    <w:rsid w:val="00323DA5"/>
    <w:rsid w:val="003240B0"/>
    <w:rsid w:val="00324687"/>
    <w:rsid w:val="003247FA"/>
    <w:rsid w:val="00324862"/>
    <w:rsid w:val="00324B64"/>
    <w:rsid w:val="00325154"/>
    <w:rsid w:val="0032579D"/>
    <w:rsid w:val="003257AE"/>
    <w:rsid w:val="00325EBF"/>
    <w:rsid w:val="00326563"/>
    <w:rsid w:val="00326573"/>
    <w:rsid w:val="00326C57"/>
    <w:rsid w:val="00326D8C"/>
    <w:rsid w:val="0033024B"/>
    <w:rsid w:val="00331141"/>
    <w:rsid w:val="003315E6"/>
    <w:rsid w:val="0033162B"/>
    <w:rsid w:val="00331AC6"/>
    <w:rsid w:val="00332304"/>
    <w:rsid w:val="003328EC"/>
    <w:rsid w:val="00332C27"/>
    <w:rsid w:val="00332C29"/>
    <w:rsid w:val="003341BE"/>
    <w:rsid w:val="00334A70"/>
    <w:rsid w:val="00334C3F"/>
    <w:rsid w:val="0033550B"/>
    <w:rsid w:val="00335C11"/>
    <w:rsid w:val="003369E3"/>
    <w:rsid w:val="00336EEB"/>
    <w:rsid w:val="003375C7"/>
    <w:rsid w:val="00337CE5"/>
    <w:rsid w:val="00340ED7"/>
    <w:rsid w:val="003419F0"/>
    <w:rsid w:val="00341BE7"/>
    <w:rsid w:val="00341CD0"/>
    <w:rsid w:val="0034231A"/>
    <w:rsid w:val="0034244F"/>
    <w:rsid w:val="003426A7"/>
    <w:rsid w:val="00343313"/>
    <w:rsid w:val="0034361F"/>
    <w:rsid w:val="00343FE6"/>
    <w:rsid w:val="0034467E"/>
    <w:rsid w:val="00344758"/>
    <w:rsid w:val="00344BDD"/>
    <w:rsid w:val="00344CA9"/>
    <w:rsid w:val="00345016"/>
    <w:rsid w:val="00345A34"/>
    <w:rsid w:val="00345B0B"/>
    <w:rsid w:val="00345BA5"/>
    <w:rsid w:val="003462C6"/>
    <w:rsid w:val="00347142"/>
    <w:rsid w:val="00347A00"/>
    <w:rsid w:val="00347A69"/>
    <w:rsid w:val="00347EFA"/>
    <w:rsid w:val="00350D3E"/>
    <w:rsid w:val="00350FBA"/>
    <w:rsid w:val="0035103B"/>
    <w:rsid w:val="0035154B"/>
    <w:rsid w:val="003515DA"/>
    <w:rsid w:val="00351C76"/>
    <w:rsid w:val="003527D6"/>
    <w:rsid w:val="00353018"/>
    <w:rsid w:val="00353383"/>
    <w:rsid w:val="00353727"/>
    <w:rsid w:val="003541D0"/>
    <w:rsid w:val="003545CD"/>
    <w:rsid w:val="003546B7"/>
    <w:rsid w:val="0035541F"/>
    <w:rsid w:val="0035582F"/>
    <w:rsid w:val="00355D34"/>
    <w:rsid w:val="00356275"/>
    <w:rsid w:val="003565A8"/>
    <w:rsid w:val="003565BC"/>
    <w:rsid w:val="003565EB"/>
    <w:rsid w:val="003566EA"/>
    <w:rsid w:val="003569AC"/>
    <w:rsid w:val="00356B61"/>
    <w:rsid w:val="00356DE3"/>
    <w:rsid w:val="00357743"/>
    <w:rsid w:val="00357E8D"/>
    <w:rsid w:val="00357F47"/>
    <w:rsid w:val="00360556"/>
    <w:rsid w:val="003609F4"/>
    <w:rsid w:val="00361463"/>
    <w:rsid w:val="0036197D"/>
    <w:rsid w:val="00362055"/>
    <w:rsid w:val="003621C8"/>
    <w:rsid w:val="00362615"/>
    <w:rsid w:val="00362AB3"/>
    <w:rsid w:val="00362EED"/>
    <w:rsid w:val="00363997"/>
    <w:rsid w:val="00363B37"/>
    <w:rsid w:val="00364073"/>
    <w:rsid w:val="00364173"/>
    <w:rsid w:val="00364B0C"/>
    <w:rsid w:val="00366EB0"/>
    <w:rsid w:val="0036752B"/>
    <w:rsid w:val="00370063"/>
    <w:rsid w:val="00370419"/>
    <w:rsid w:val="00370E0E"/>
    <w:rsid w:val="00371479"/>
    <w:rsid w:val="003721C9"/>
    <w:rsid w:val="003723E7"/>
    <w:rsid w:val="0037252A"/>
    <w:rsid w:val="0037289E"/>
    <w:rsid w:val="003728BA"/>
    <w:rsid w:val="00372C79"/>
    <w:rsid w:val="003736DA"/>
    <w:rsid w:val="00373A42"/>
    <w:rsid w:val="00373E86"/>
    <w:rsid w:val="00374450"/>
    <w:rsid w:val="003744C7"/>
    <w:rsid w:val="003749BB"/>
    <w:rsid w:val="00375870"/>
    <w:rsid w:val="003758A8"/>
    <w:rsid w:val="00375C4D"/>
    <w:rsid w:val="00375D02"/>
    <w:rsid w:val="00376276"/>
    <w:rsid w:val="00376382"/>
    <w:rsid w:val="0037652C"/>
    <w:rsid w:val="00376B4F"/>
    <w:rsid w:val="003779DB"/>
    <w:rsid w:val="00377F98"/>
    <w:rsid w:val="0038102E"/>
    <w:rsid w:val="00382135"/>
    <w:rsid w:val="00382822"/>
    <w:rsid w:val="00382986"/>
    <w:rsid w:val="00382AE5"/>
    <w:rsid w:val="0038309D"/>
    <w:rsid w:val="003833FB"/>
    <w:rsid w:val="003837B7"/>
    <w:rsid w:val="00383D29"/>
    <w:rsid w:val="00383FD3"/>
    <w:rsid w:val="00384B0D"/>
    <w:rsid w:val="00386478"/>
    <w:rsid w:val="00386D47"/>
    <w:rsid w:val="00386FA8"/>
    <w:rsid w:val="00387380"/>
    <w:rsid w:val="00387C65"/>
    <w:rsid w:val="00387CCA"/>
    <w:rsid w:val="00387F4B"/>
    <w:rsid w:val="00390221"/>
    <w:rsid w:val="0039026D"/>
    <w:rsid w:val="0039085E"/>
    <w:rsid w:val="00391772"/>
    <w:rsid w:val="00391F85"/>
    <w:rsid w:val="00392074"/>
    <w:rsid w:val="003923DB"/>
    <w:rsid w:val="00392E29"/>
    <w:rsid w:val="00393229"/>
    <w:rsid w:val="00395718"/>
    <w:rsid w:val="0039624C"/>
    <w:rsid w:val="00396840"/>
    <w:rsid w:val="00396972"/>
    <w:rsid w:val="0039779C"/>
    <w:rsid w:val="00397B85"/>
    <w:rsid w:val="00397E6E"/>
    <w:rsid w:val="00397EC1"/>
    <w:rsid w:val="003A021D"/>
    <w:rsid w:val="003A0282"/>
    <w:rsid w:val="003A0861"/>
    <w:rsid w:val="003A0AA9"/>
    <w:rsid w:val="003A0C84"/>
    <w:rsid w:val="003A0D27"/>
    <w:rsid w:val="003A0EE0"/>
    <w:rsid w:val="003A0F62"/>
    <w:rsid w:val="003A22AA"/>
    <w:rsid w:val="003A2DC6"/>
    <w:rsid w:val="003A334D"/>
    <w:rsid w:val="003A34D1"/>
    <w:rsid w:val="003A3519"/>
    <w:rsid w:val="003A367A"/>
    <w:rsid w:val="003A3F5C"/>
    <w:rsid w:val="003A44B9"/>
    <w:rsid w:val="003A4554"/>
    <w:rsid w:val="003A4571"/>
    <w:rsid w:val="003A49B0"/>
    <w:rsid w:val="003A4B03"/>
    <w:rsid w:val="003A4B67"/>
    <w:rsid w:val="003A5493"/>
    <w:rsid w:val="003A54F1"/>
    <w:rsid w:val="003A59BE"/>
    <w:rsid w:val="003A5B97"/>
    <w:rsid w:val="003A5D6E"/>
    <w:rsid w:val="003A5DD2"/>
    <w:rsid w:val="003A5F61"/>
    <w:rsid w:val="003A6054"/>
    <w:rsid w:val="003A62E7"/>
    <w:rsid w:val="003A6EEE"/>
    <w:rsid w:val="003A790A"/>
    <w:rsid w:val="003A7D85"/>
    <w:rsid w:val="003A7FE9"/>
    <w:rsid w:val="003B100B"/>
    <w:rsid w:val="003B1BE4"/>
    <w:rsid w:val="003B2505"/>
    <w:rsid w:val="003B2734"/>
    <w:rsid w:val="003B2F88"/>
    <w:rsid w:val="003B41F9"/>
    <w:rsid w:val="003B4BAB"/>
    <w:rsid w:val="003B50F6"/>
    <w:rsid w:val="003B56B8"/>
    <w:rsid w:val="003B5812"/>
    <w:rsid w:val="003B6088"/>
    <w:rsid w:val="003B6CD6"/>
    <w:rsid w:val="003B74B7"/>
    <w:rsid w:val="003B7753"/>
    <w:rsid w:val="003B78B3"/>
    <w:rsid w:val="003B7B62"/>
    <w:rsid w:val="003B7D78"/>
    <w:rsid w:val="003B7D7A"/>
    <w:rsid w:val="003C03EB"/>
    <w:rsid w:val="003C0D41"/>
    <w:rsid w:val="003C0D6F"/>
    <w:rsid w:val="003C17D6"/>
    <w:rsid w:val="003C1D78"/>
    <w:rsid w:val="003C22C9"/>
    <w:rsid w:val="003C2610"/>
    <w:rsid w:val="003C299E"/>
    <w:rsid w:val="003C2AFC"/>
    <w:rsid w:val="003C2CFF"/>
    <w:rsid w:val="003C32CF"/>
    <w:rsid w:val="003C36D5"/>
    <w:rsid w:val="003C3784"/>
    <w:rsid w:val="003C380B"/>
    <w:rsid w:val="003C4211"/>
    <w:rsid w:val="003C47DE"/>
    <w:rsid w:val="003C4B50"/>
    <w:rsid w:val="003C516F"/>
    <w:rsid w:val="003C5580"/>
    <w:rsid w:val="003C5CA2"/>
    <w:rsid w:val="003C5CEE"/>
    <w:rsid w:val="003C62FF"/>
    <w:rsid w:val="003C7C6A"/>
    <w:rsid w:val="003D0686"/>
    <w:rsid w:val="003D0725"/>
    <w:rsid w:val="003D0838"/>
    <w:rsid w:val="003D0BB9"/>
    <w:rsid w:val="003D0F24"/>
    <w:rsid w:val="003D130B"/>
    <w:rsid w:val="003D1505"/>
    <w:rsid w:val="003D1600"/>
    <w:rsid w:val="003D2547"/>
    <w:rsid w:val="003D5335"/>
    <w:rsid w:val="003D5458"/>
    <w:rsid w:val="003D599D"/>
    <w:rsid w:val="003D6130"/>
    <w:rsid w:val="003D681A"/>
    <w:rsid w:val="003D6890"/>
    <w:rsid w:val="003D775D"/>
    <w:rsid w:val="003D7E3A"/>
    <w:rsid w:val="003E0240"/>
    <w:rsid w:val="003E0D58"/>
    <w:rsid w:val="003E2449"/>
    <w:rsid w:val="003E2D93"/>
    <w:rsid w:val="003E3688"/>
    <w:rsid w:val="003E3AB6"/>
    <w:rsid w:val="003E3AEF"/>
    <w:rsid w:val="003E45DB"/>
    <w:rsid w:val="003E46BA"/>
    <w:rsid w:val="003E4A99"/>
    <w:rsid w:val="003E4E7C"/>
    <w:rsid w:val="003E4FBE"/>
    <w:rsid w:val="003E50FD"/>
    <w:rsid w:val="003E5237"/>
    <w:rsid w:val="003E5BC8"/>
    <w:rsid w:val="003E6369"/>
    <w:rsid w:val="003E6542"/>
    <w:rsid w:val="003E6DC3"/>
    <w:rsid w:val="003E717C"/>
    <w:rsid w:val="003F05E4"/>
    <w:rsid w:val="003F0621"/>
    <w:rsid w:val="003F0DA8"/>
    <w:rsid w:val="003F1E21"/>
    <w:rsid w:val="003F2138"/>
    <w:rsid w:val="003F22D6"/>
    <w:rsid w:val="003F2416"/>
    <w:rsid w:val="003F2A96"/>
    <w:rsid w:val="003F2BC5"/>
    <w:rsid w:val="003F329E"/>
    <w:rsid w:val="003F3310"/>
    <w:rsid w:val="003F3A0C"/>
    <w:rsid w:val="003F4347"/>
    <w:rsid w:val="003F5323"/>
    <w:rsid w:val="003F5481"/>
    <w:rsid w:val="003F5523"/>
    <w:rsid w:val="003F5B64"/>
    <w:rsid w:val="003F5C4B"/>
    <w:rsid w:val="003F5D68"/>
    <w:rsid w:val="003F5E87"/>
    <w:rsid w:val="003F608B"/>
    <w:rsid w:val="003F62DE"/>
    <w:rsid w:val="003F6D85"/>
    <w:rsid w:val="00400A9E"/>
    <w:rsid w:val="00400C11"/>
    <w:rsid w:val="00400DDF"/>
    <w:rsid w:val="00401125"/>
    <w:rsid w:val="004011D3"/>
    <w:rsid w:val="0040122B"/>
    <w:rsid w:val="00401AC8"/>
    <w:rsid w:val="00401F7D"/>
    <w:rsid w:val="00403596"/>
    <w:rsid w:val="004036D1"/>
    <w:rsid w:val="00403999"/>
    <w:rsid w:val="00403BD6"/>
    <w:rsid w:val="00403F3A"/>
    <w:rsid w:val="00403F80"/>
    <w:rsid w:val="00404A26"/>
    <w:rsid w:val="00405768"/>
    <w:rsid w:val="00405BF5"/>
    <w:rsid w:val="00405FD5"/>
    <w:rsid w:val="004060E8"/>
    <w:rsid w:val="00406567"/>
    <w:rsid w:val="00406E2F"/>
    <w:rsid w:val="00406F4E"/>
    <w:rsid w:val="00407531"/>
    <w:rsid w:val="00407BE2"/>
    <w:rsid w:val="00407E7C"/>
    <w:rsid w:val="00410030"/>
    <w:rsid w:val="004102B9"/>
    <w:rsid w:val="00410D11"/>
    <w:rsid w:val="004110BB"/>
    <w:rsid w:val="00411160"/>
    <w:rsid w:val="00411380"/>
    <w:rsid w:val="00411EDD"/>
    <w:rsid w:val="004125C0"/>
    <w:rsid w:val="00412842"/>
    <w:rsid w:val="00412F5C"/>
    <w:rsid w:val="0041340B"/>
    <w:rsid w:val="00413D2D"/>
    <w:rsid w:val="00414247"/>
    <w:rsid w:val="004143A3"/>
    <w:rsid w:val="0041452E"/>
    <w:rsid w:val="00414569"/>
    <w:rsid w:val="004147A9"/>
    <w:rsid w:val="0041480A"/>
    <w:rsid w:val="0041494E"/>
    <w:rsid w:val="00414BC1"/>
    <w:rsid w:val="004152B8"/>
    <w:rsid w:val="0041539F"/>
    <w:rsid w:val="0041561C"/>
    <w:rsid w:val="004158A5"/>
    <w:rsid w:val="00415CF1"/>
    <w:rsid w:val="00415D60"/>
    <w:rsid w:val="00416775"/>
    <w:rsid w:val="0041730C"/>
    <w:rsid w:val="004175E1"/>
    <w:rsid w:val="0042072E"/>
    <w:rsid w:val="0042084E"/>
    <w:rsid w:val="00420AE3"/>
    <w:rsid w:val="00420C4D"/>
    <w:rsid w:val="00420DA5"/>
    <w:rsid w:val="0042196F"/>
    <w:rsid w:val="0042209B"/>
    <w:rsid w:val="004220A1"/>
    <w:rsid w:val="0042234E"/>
    <w:rsid w:val="00422417"/>
    <w:rsid w:val="00422BAC"/>
    <w:rsid w:val="00422FC7"/>
    <w:rsid w:val="004231EE"/>
    <w:rsid w:val="00423A56"/>
    <w:rsid w:val="00423B93"/>
    <w:rsid w:val="00423EDA"/>
    <w:rsid w:val="004240FE"/>
    <w:rsid w:val="00424233"/>
    <w:rsid w:val="00424451"/>
    <w:rsid w:val="00424513"/>
    <w:rsid w:val="004247D8"/>
    <w:rsid w:val="00425180"/>
    <w:rsid w:val="00425BBE"/>
    <w:rsid w:val="004268C0"/>
    <w:rsid w:val="00426999"/>
    <w:rsid w:val="004272A1"/>
    <w:rsid w:val="00427A03"/>
    <w:rsid w:val="00427E7A"/>
    <w:rsid w:val="00427E85"/>
    <w:rsid w:val="004300D5"/>
    <w:rsid w:val="00430237"/>
    <w:rsid w:val="0043042B"/>
    <w:rsid w:val="00430778"/>
    <w:rsid w:val="0043081B"/>
    <w:rsid w:val="0043081F"/>
    <w:rsid w:val="00430988"/>
    <w:rsid w:val="00430B23"/>
    <w:rsid w:val="00430D83"/>
    <w:rsid w:val="004312B2"/>
    <w:rsid w:val="0043254E"/>
    <w:rsid w:val="004326C4"/>
    <w:rsid w:val="0043297A"/>
    <w:rsid w:val="004329B9"/>
    <w:rsid w:val="004337A4"/>
    <w:rsid w:val="00433EBC"/>
    <w:rsid w:val="00433F9C"/>
    <w:rsid w:val="004340C6"/>
    <w:rsid w:val="0043469C"/>
    <w:rsid w:val="004347D1"/>
    <w:rsid w:val="00434A49"/>
    <w:rsid w:val="00434A7F"/>
    <w:rsid w:val="00434B69"/>
    <w:rsid w:val="0043525D"/>
    <w:rsid w:val="00435281"/>
    <w:rsid w:val="00435328"/>
    <w:rsid w:val="00435AB8"/>
    <w:rsid w:val="00436022"/>
    <w:rsid w:val="004360DB"/>
    <w:rsid w:val="00436227"/>
    <w:rsid w:val="0043623F"/>
    <w:rsid w:val="00437F07"/>
    <w:rsid w:val="00440A5D"/>
    <w:rsid w:val="0044162D"/>
    <w:rsid w:val="00442692"/>
    <w:rsid w:val="00442C5A"/>
    <w:rsid w:val="00442F3E"/>
    <w:rsid w:val="00443667"/>
    <w:rsid w:val="00443BB1"/>
    <w:rsid w:val="00443C5A"/>
    <w:rsid w:val="004446B7"/>
    <w:rsid w:val="004449E7"/>
    <w:rsid w:val="0044562D"/>
    <w:rsid w:val="00445686"/>
    <w:rsid w:val="004461DA"/>
    <w:rsid w:val="00446236"/>
    <w:rsid w:val="004463D1"/>
    <w:rsid w:val="0044671D"/>
    <w:rsid w:val="004467B5"/>
    <w:rsid w:val="00446BEB"/>
    <w:rsid w:val="00446FA0"/>
    <w:rsid w:val="00447B3D"/>
    <w:rsid w:val="00450BC4"/>
    <w:rsid w:val="0045197A"/>
    <w:rsid w:val="00451CC8"/>
    <w:rsid w:val="00452CB7"/>
    <w:rsid w:val="00453213"/>
    <w:rsid w:val="00453FFD"/>
    <w:rsid w:val="004540EE"/>
    <w:rsid w:val="00454179"/>
    <w:rsid w:val="0045481A"/>
    <w:rsid w:val="00454B80"/>
    <w:rsid w:val="00455588"/>
    <w:rsid w:val="004555DF"/>
    <w:rsid w:val="00455982"/>
    <w:rsid w:val="00456201"/>
    <w:rsid w:val="004562B2"/>
    <w:rsid w:val="00456ACD"/>
    <w:rsid w:val="00456BEF"/>
    <w:rsid w:val="00460416"/>
    <w:rsid w:val="00460C34"/>
    <w:rsid w:val="00460CC3"/>
    <w:rsid w:val="0046111F"/>
    <w:rsid w:val="00461A2E"/>
    <w:rsid w:val="0046276E"/>
    <w:rsid w:val="00462924"/>
    <w:rsid w:val="0046295D"/>
    <w:rsid w:val="00462BCA"/>
    <w:rsid w:val="0046370B"/>
    <w:rsid w:val="00463CF4"/>
    <w:rsid w:val="00463F65"/>
    <w:rsid w:val="00465014"/>
    <w:rsid w:val="004653BB"/>
    <w:rsid w:val="004653FF"/>
    <w:rsid w:val="0046578C"/>
    <w:rsid w:val="00465966"/>
    <w:rsid w:val="00465A36"/>
    <w:rsid w:val="00466901"/>
    <w:rsid w:val="00466C3A"/>
    <w:rsid w:val="004670D6"/>
    <w:rsid w:val="00467218"/>
    <w:rsid w:val="00467537"/>
    <w:rsid w:val="00467D59"/>
    <w:rsid w:val="004701D9"/>
    <w:rsid w:val="0047062C"/>
    <w:rsid w:val="00470AA7"/>
    <w:rsid w:val="0047131C"/>
    <w:rsid w:val="00471E0F"/>
    <w:rsid w:val="004723B9"/>
    <w:rsid w:val="0047276B"/>
    <w:rsid w:val="004728C9"/>
    <w:rsid w:val="00472EFF"/>
    <w:rsid w:val="00472FF5"/>
    <w:rsid w:val="00473194"/>
    <w:rsid w:val="004732C3"/>
    <w:rsid w:val="004734FF"/>
    <w:rsid w:val="004738CE"/>
    <w:rsid w:val="00473B12"/>
    <w:rsid w:val="00473BB0"/>
    <w:rsid w:val="00473E82"/>
    <w:rsid w:val="00474063"/>
    <w:rsid w:val="00474CBF"/>
    <w:rsid w:val="00475172"/>
    <w:rsid w:val="0047542C"/>
    <w:rsid w:val="0047622B"/>
    <w:rsid w:val="004763A0"/>
    <w:rsid w:val="00476793"/>
    <w:rsid w:val="004776A6"/>
    <w:rsid w:val="00477DF6"/>
    <w:rsid w:val="004801F6"/>
    <w:rsid w:val="00480814"/>
    <w:rsid w:val="00480D99"/>
    <w:rsid w:val="004812AE"/>
    <w:rsid w:val="00481A14"/>
    <w:rsid w:val="00481B12"/>
    <w:rsid w:val="00481B94"/>
    <w:rsid w:val="004822C7"/>
    <w:rsid w:val="00482F62"/>
    <w:rsid w:val="00483150"/>
    <w:rsid w:val="004831E9"/>
    <w:rsid w:val="0048358F"/>
    <w:rsid w:val="00484191"/>
    <w:rsid w:val="004842E5"/>
    <w:rsid w:val="00484E5B"/>
    <w:rsid w:val="00485435"/>
    <w:rsid w:val="004854C1"/>
    <w:rsid w:val="0048622C"/>
    <w:rsid w:val="004865FC"/>
    <w:rsid w:val="0048681C"/>
    <w:rsid w:val="00486D98"/>
    <w:rsid w:val="0048782A"/>
    <w:rsid w:val="004902BE"/>
    <w:rsid w:val="004909E9"/>
    <w:rsid w:val="00490D9A"/>
    <w:rsid w:val="0049174B"/>
    <w:rsid w:val="004919EF"/>
    <w:rsid w:val="00491B62"/>
    <w:rsid w:val="00491E0C"/>
    <w:rsid w:val="004928C6"/>
    <w:rsid w:val="004931EA"/>
    <w:rsid w:val="00493C0E"/>
    <w:rsid w:val="0049459D"/>
    <w:rsid w:val="00495D0C"/>
    <w:rsid w:val="00495E8F"/>
    <w:rsid w:val="00495FC8"/>
    <w:rsid w:val="00496ED6"/>
    <w:rsid w:val="00496EDB"/>
    <w:rsid w:val="0049741B"/>
    <w:rsid w:val="004A0667"/>
    <w:rsid w:val="004A0686"/>
    <w:rsid w:val="004A07ED"/>
    <w:rsid w:val="004A1131"/>
    <w:rsid w:val="004A187B"/>
    <w:rsid w:val="004A23EF"/>
    <w:rsid w:val="004A27EF"/>
    <w:rsid w:val="004A2926"/>
    <w:rsid w:val="004A2A2D"/>
    <w:rsid w:val="004A2A92"/>
    <w:rsid w:val="004A2D3C"/>
    <w:rsid w:val="004A2E4B"/>
    <w:rsid w:val="004A35B0"/>
    <w:rsid w:val="004A3A74"/>
    <w:rsid w:val="004A4796"/>
    <w:rsid w:val="004A4A58"/>
    <w:rsid w:val="004A4E4B"/>
    <w:rsid w:val="004A5A71"/>
    <w:rsid w:val="004A5BAB"/>
    <w:rsid w:val="004A5E22"/>
    <w:rsid w:val="004A69F6"/>
    <w:rsid w:val="004A73A7"/>
    <w:rsid w:val="004A7D48"/>
    <w:rsid w:val="004B0BFF"/>
    <w:rsid w:val="004B2A3A"/>
    <w:rsid w:val="004B2E1F"/>
    <w:rsid w:val="004B30F9"/>
    <w:rsid w:val="004B3851"/>
    <w:rsid w:val="004B39E5"/>
    <w:rsid w:val="004B3BBF"/>
    <w:rsid w:val="004B42D4"/>
    <w:rsid w:val="004B47FB"/>
    <w:rsid w:val="004B495D"/>
    <w:rsid w:val="004B4CE0"/>
    <w:rsid w:val="004B4F44"/>
    <w:rsid w:val="004B510A"/>
    <w:rsid w:val="004B5EDA"/>
    <w:rsid w:val="004B5FA4"/>
    <w:rsid w:val="004B6941"/>
    <w:rsid w:val="004B6C62"/>
    <w:rsid w:val="004B7466"/>
    <w:rsid w:val="004B7BF8"/>
    <w:rsid w:val="004C003C"/>
    <w:rsid w:val="004C03EB"/>
    <w:rsid w:val="004C0591"/>
    <w:rsid w:val="004C05B3"/>
    <w:rsid w:val="004C0D6E"/>
    <w:rsid w:val="004C169A"/>
    <w:rsid w:val="004C1CED"/>
    <w:rsid w:val="004C1D4D"/>
    <w:rsid w:val="004C1F93"/>
    <w:rsid w:val="004C275E"/>
    <w:rsid w:val="004C2ABF"/>
    <w:rsid w:val="004C2ADE"/>
    <w:rsid w:val="004C2FFD"/>
    <w:rsid w:val="004C3FE0"/>
    <w:rsid w:val="004C40F5"/>
    <w:rsid w:val="004C4383"/>
    <w:rsid w:val="004C4C01"/>
    <w:rsid w:val="004C57AF"/>
    <w:rsid w:val="004C5EE3"/>
    <w:rsid w:val="004C6B73"/>
    <w:rsid w:val="004C7412"/>
    <w:rsid w:val="004C79F0"/>
    <w:rsid w:val="004D04BF"/>
    <w:rsid w:val="004D1267"/>
    <w:rsid w:val="004D157E"/>
    <w:rsid w:val="004D1E1A"/>
    <w:rsid w:val="004D1F8A"/>
    <w:rsid w:val="004D2374"/>
    <w:rsid w:val="004D2A4B"/>
    <w:rsid w:val="004D32B9"/>
    <w:rsid w:val="004D3E0F"/>
    <w:rsid w:val="004D4362"/>
    <w:rsid w:val="004D4DEF"/>
    <w:rsid w:val="004D500B"/>
    <w:rsid w:val="004D5A66"/>
    <w:rsid w:val="004D5FDE"/>
    <w:rsid w:val="004D66D8"/>
    <w:rsid w:val="004D6A1E"/>
    <w:rsid w:val="004D6E55"/>
    <w:rsid w:val="004D75B3"/>
    <w:rsid w:val="004D7659"/>
    <w:rsid w:val="004D7BC5"/>
    <w:rsid w:val="004D7EBB"/>
    <w:rsid w:val="004E024A"/>
    <w:rsid w:val="004E02E3"/>
    <w:rsid w:val="004E05F8"/>
    <w:rsid w:val="004E0B41"/>
    <w:rsid w:val="004E0DFF"/>
    <w:rsid w:val="004E0F07"/>
    <w:rsid w:val="004E121A"/>
    <w:rsid w:val="004E183A"/>
    <w:rsid w:val="004E1B66"/>
    <w:rsid w:val="004E1DB9"/>
    <w:rsid w:val="004E2D3F"/>
    <w:rsid w:val="004E2FF0"/>
    <w:rsid w:val="004E4B6A"/>
    <w:rsid w:val="004E4B95"/>
    <w:rsid w:val="004E5407"/>
    <w:rsid w:val="004E56A4"/>
    <w:rsid w:val="004E5B05"/>
    <w:rsid w:val="004E67A6"/>
    <w:rsid w:val="004E694D"/>
    <w:rsid w:val="004E6FB2"/>
    <w:rsid w:val="004E6FC3"/>
    <w:rsid w:val="004E7003"/>
    <w:rsid w:val="004E7190"/>
    <w:rsid w:val="004E7C48"/>
    <w:rsid w:val="004F0EA2"/>
    <w:rsid w:val="004F15A6"/>
    <w:rsid w:val="004F1659"/>
    <w:rsid w:val="004F1C7C"/>
    <w:rsid w:val="004F24F8"/>
    <w:rsid w:val="004F3460"/>
    <w:rsid w:val="004F3891"/>
    <w:rsid w:val="004F3992"/>
    <w:rsid w:val="004F42D0"/>
    <w:rsid w:val="004F4847"/>
    <w:rsid w:val="004F495C"/>
    <w:rsid w:val="004F4A47"/>
    <w:rsid w:val="004F4EF2"/>
    <w:rsid w:val="004F730A"/>
    <w:rsid w:val="004F7C5B"/>
    <w:rsid w:val="00500017"/>
    <w:rsid w:val="00500787"/>
    <w:rsid w:val="00500B79"/>
    <w:rsid w:val="00501053"/>
    <w:rsid w:val="00501656"/>
    <w:rsid w:val="005017F4"/>
    <w:rsid w:val="005019BA"/>
    <w:rsid w:val="00501FA0"/>
    <w:rsid w:val="00502007"/>
    <w:rsid w:val="00504530"/>
    <w:rsid w:val="005047CA"/>
    <w:rsid w:val="005049C4"/>
    <w:rsid w:val="00504D4D"/>
    <w:rsid w:val="0050510B"/>
    <w:rsid w:val="00505C41"/>
    <w:rsid w:val="00505F59"/>
    <w:rsid w:val="005065DD"/>
    <w:rsid w:val="00506752"/>
    <w:rsid w:val="0050697C"/>
    <w:rsid w:val="00506B76"/>
    <w:rsid w:val="005079C0"/>
    <w:rsid w:val="00507E65"/>
    <w:rsid w:val="00510232"/>
    <w:rsid w:val="00510297"/>
    <w:rsid w:val="005108AE"/>
    <w:rsid w:val="00510EBF"/>
    <w:rsid w:val="00511696"/>
    <w:rsid w:val="00511B5B"/>
    <w:rsid w:val="00511EF0"/>
    <w:rsid w:val="0051211C"/>
    <w:rsid w:val="00512121"/>
    <w:rsid w:val="0051238C"/>
    <w:rsid w:val="005123B5"/>
    <w:rsid w:val="005123F0"/>
    <w:rsid w:val="005125A0"/>
    <w:rsid w:val="00512865"/>
    <w:rsid w:val="00513540"/>
    <w:rsid w:val="005136A6"/>
    <w:rsid w:val="00513941"/>
    <w:rsid w:val="0051585B"/>
    <w:rsid w:val="00515AE5"/>
    <w:rsid w:val="00516F24"/>
    <w:rsid w:val="00517175"/>
    <w:rsid w:val="0051780F"/>
    <w:rsid w:val="00517C26"/>
    <w:rsid w:val="00517DA2"/>
    <w:rsid w:val="00517E8F"/>
    <w:rsid w:val="005205AE"/>
    <w:rsid w:val="00520CC4"/>
    <w:rsid w:val="00521161"/>
    <w:rsid w:val="005217B2"/>
    <w:rsid w:val="00521802"/>
    <w:rsid w:val="00521B5E"/>
    <w:rsid w:val="00521D1F"/>
    <w:rsid w:val="0052203F"/>
    <w:rsid w:val="00522406"/>
    <w:rsid w:val="0052251B"/>
    <w:rsid w:val="00522959"/>
    <w:rsid w:val="00522DDC"/>
    <w:rsid w:val="0052391A"/>
    <w:rsid w:val="00523F9A"/>
    <w:rsid w:val="00524506"/>
    <w:rsid w:val="00524D2D"/>
    <w:rsid w:val="00525644"/>
    <w:rsid w:val="00525E3C"/>
    <w:rsid w:val="005263F7"/>
    <w:rsid w:val="0052709F"/>
    <w:rsid w:val="0052790B"/>
    <w:rsid w:val="0053030B"/>
    <w:rsid w:val="0053051D"/>
    <w:rsid w:val="00530B87"/>
    <w:rsid w:val="00530E65"/>
    <w:rsid w:val="00531313"/>
    <w:rsid w:val="0053141C"/>
    <w:rsid w:val="005316C1"/>
    <w:rsid w:val="00531BEB"/>
    <w:rsid w:val="00532582"/>
    <w:rsid w:val="00532E3A"/>
    <w:rsid w:val="0053317B"/>
    <w:rsid w:val="0053342A"/>
    <w:rsid w:val="00533804"/>
    <w:rsid w:val="00534F4E"/>
    <w:rsid w:val="00534F6D"/>
    <w:rsid w:val="0053515B"/>
    <w:rsid w:val="005355DE"/>
    <w:rsid w:val="00536DAC"/>
    <w:rsid w:val="00537D9E"/>
    <w:rsid w:val="00537FF3"/>
    <w:rsid w:val="00540500"/>
    <w:rsid w:val="00540A3E"/>
    <w:rsid w:val="00540AB8"/>
    <w:rsid w:val="00540E47"/>
    <w:rsid w:val="00540FE5"/>
    <w:rsid w:val="00541944"/>
    <w:rsid w:val="00541F9B"/>
    <w:rsid w:val="005422FE"/>
    <w:rsid w:val="00542445"/>
    <w:rsid w:val="005431E4"/>
    <w:rsid w:val="005432DC"/>
    <w:rsid w:val="00543585"/>
    <w:rsid w:val="00544610"/>
    <w:rsid w:val="005452E5"/>
    <w:rsid w:val="0054562C"/>
    <w:rsid w:val="00545A5F"/>
    <w:rsid w:val="00545CFD"/>
    <w:rsid w:val="0054604D"/>
    <w:rsid w:val="00546107"/>
    <w:rsid w:val="005461A2"/>
    <w:rsid w:val="00546DD3"/>
    <w:rsid w:val="005479F0"/>
    <w:rsid w:val="00547F68"/>
    <w:rsid w:val="005502CB"/>
    <w:rsid w:val="005503F5"/>
    <w:rsid w:val="00551332"/>
    <w:rsid w:val="005515B3"/>
    <w:rsid w:val="00551875"/>
    <w:rsid w:val="00552B84"/>
    <w:rsid w:val="00552C30"/>
    <w:rsid w:val="005530DB"/>
    <w:rsid w:val="00553157"/>
    <w:rsid w:val="0055388F"/>
    <w:rsid w:val="00553EF0"/>
    <w:rsid w:val="00553FB5"/>
    <w:rsid w:val="005540F1"/>
    <w:rsid w:val="005544B1"/>
    <w:rsid w:val="00554E33"/>
    <w:rsid w:val="00555369"/>
    <w:rsid w:val="005553E8"/>
    <w:rsid w:val="00555703"/>
    <w:rsid w:val="00555AE4"/>
    <w:rsid w:val="005560E5"/>
    <w:rsid w:val="005562D7"/>
    <w:rsid w:val="00556935"/>
    <w:rsid w:val="00556FBB"/>
    <w:rsid w:val="00557758"/>
    <w:rsid w:val="00557A10"/>
    <w:rsid w:val="005601AE"/>
    <w:rsid w:val="005615E5"/>
    <w:rsid w:val="00562444"/>
    <w:rsid w:val="005624DA"/>
    <w:rsid w:val="00562535"/>
    <w:rsid w:val="00562569"/>
    <w:rsid w:val="00562735"/>
    <w:rsid w:val="00562F55"/>
    <w:rsid w:val="00563992"/>
    <w:rsid w:val="00563F3B"/>
    <w:rsid w:val="00563FA5"/>
    <w:rsid w:val="00564208"/>
    <w:rsid w:val="00564997"/>
    <w:rsid w:val="00564CBC"/>
    <w:rsid w:val="005659B3"/>
    <w:rsid w:val="005661D6"/>
    <w:rsid w:val="005665BA"/>
    <w:rsid w:val="0056692B"/>
    <w:rsid w:val="00566B6C"/>
    <w:rsid w:val="00567F51"/>
    <w:rsid w:val="005706AC"/>
    <w:rsid w:val="005708B7"/>
    <w:rsid w:val="0057096E"/>
    <w:rsid w:val="00570AFA"/>
    <w:rsid w:val="00571393"/>
    <w:rsid w:val="00571CEB"/>
    <w:rsid w:val="00572626"/>
    <w:rsid w:val="0057264D"/>
    <w:rsid w:val="005726C6"/>
    <w:rsid w:val="00573502"/>
    <w:rsid w:val="00573571"/>
    <w:rsid w:val="00573677"/>
    <w:rsid w:val="005739A2"/>
    <w:rsid w:val="005739E1"/>
    <w:rsid w:val="00574248"/>
    <w:rsid w:val="005742BE"/>
    <w:rsid w:val="00574621"/>
    <w:rsid w:val="00575F08"/>
    <w:rsid w:val="00576403"/>
    <w:rsid w:val="00580B7C"/>
    <w:rsid w:val="00580BFE"/>
    <w:rsid w:val="00580EA3"/>
    <w:rsid w:val="00580EF4"/>
    <w:rsid w:val="00580F8D"/>
    <w:rsid w:val="0058102E"/>
    <w:rsid w:val="00581165"/>
    <w:rsid w:val="00581844"/>
    <w:rsid w:val="0058196A"/>
    <w:rsid w:val="00581ACF"/>
    <w:rsid w:val="005820C8"/>
    <w:rsid w:val="00582204"/>
    <w:rsid w:val="005836C9"/>
    <w:rsid w:val="00583966"/>
    <w:rsid w:val="0058443F"/>
    <w:rsid w:val="00584695"/>
    <w:rsid w:val="0058476A"/>
    <w:rsid w:val="005853C7"/>
    <w:rsid w:val="005862BE"/>
    <w:rsid w:val="00587DC3"/>
    <w:rsid w:val="0059016B"/>
    <w:rsid w:val="005905E8"/>
    <w:rsid w:val="005906CB"/>
    <w:rsid w:val="00590847"/>
    <w:rsid w:val="0059087A"/>
    <w:rsid w:val="00590A41"/>
    <w:rsid w:val="00590EC7"/>
    <w:rsid w:val="005911CD"/>
    <w:rsid w:val="00591951"/>
    <w:rsid w:val="00591C9F"/>
    <w:rsid w:val="005922FD"/>
    <w:rsid w:val="005929DD"/>
    <w:rsid w:val="00592EEC"/>
    <w:rsid w:val="00593685"/>
    <w:rsid w:val="00593AB6"/>
    <w:rsid w:val="00593C7D"/>
    <w:rsid w:val="005949E0"/>
    <w:rsid w:val="00595E65"/>
    <w:rsid w:val="00595F8E"/>
    <w:rsid w:val="00596BC2"/>
    <w:rsid w:val="00596CFD"/>
    <w:rsid w:val="0059753F"/>
    <w:rsid w:val="0059783C"/>
    <w:rsid w:val="005A047C"/>
    <w:rsid w:val="005A08D0"/>
    <w:rsid w:val="005A0A22"/>
    <w:rsid w:val="005A0F99"/>
    <w:rsid w:val="005A1767"/>
    <w:rsid w:val="005A19AB"/>
    <w:rsid w:val="005A22ED"/>
    <w:rsid w:val="005A2601"/>
    <w:rsid w:val="005A376A"/>
    <w:rsid w:val="005A3980"/>
    <w:rsid w:val="005A4217"/>
    <w:rsid w:val="005A537C"/>
    <w:rsid w:val="005A5A13"/>
    <w:rsid w:val="005A5E7A"/>
    <w:rsid w:val="005A5FFD"/>
    <w:rsid w:val="005A61A2"/>
    <w:rsid w:val="005A6DC6"/>
    <w:rsid w:val="005A700A"/>
    <w:rsid w:val="005A7901"/>
    <w:rsid w:val="005A7ED7"/>
    <w:rsid w:val="005B05F5"/>
    <w:rsid w:val="005B19FE"/>
    <w:rsid w:val="005B1CA9"/>
    <w:rsid w:val="005B1DFB"/>
    <w:rsid w:val="005B2B86"/>
    <w:rsid w:val="005B2E89"/>
    <w:rsid w:val="005B3354"/>
    <w:rsid w:val="005B387F"/>
    <w:rsid w:val="005B43B0"/>
    <w:rsid w:val="005B4DBE"/>
    <w:rsid w:val="005B51F1"/>
    <w:rsid w:val="005B57A6"/>
    <w:rsid w:val="005B5960"/>
    <w:rsid w:val="005B5EF3"/>
    <w:rsid w:val="005B60AD"/>
    <w:rsid w:val="005B6853"/>
    <w:rsid w:val="005B7AB3"/>
    <w:rsid w:val="005B7DB1"/>
    <w:rsid w:val="005C0666"/>
    <w:rsid w:val="005C076B"/>
    <w:rsid w:val="005C08BF"/>
    <w:rsid w:val="005C0F21"/>
    <w:rsid w:val="005C1008"/>
    <w:rsid w:val="005C1D5F"/>
    <w:rsid w:val="005C1E5D"/>
    <w:rsid w:val="005C20BA"/>
    <w:rsid w:val="005C241A"/>
    <w:rsid w:val="005C28EE"/>
    <w:rsid w:val="005C31E5"/>
    <w:rsid w:val="005C364D"/>
    <w:rsid w:val="005C46D9"/>
    <w:rsid w:val="005C48F5"/>
    <w:rsid w:val="005C48FB"/>
    <w:rsid w:val="005C4B08"/>
    <w:rsid w:val="005C517A"/>
    <w:rsid w:val="005C53D7"/>
    <w:rsid w:val="005C5B92"/>
    <w:rsid w:val="005C5D41"/>
    <w:rsid w:val="005C698F"/>
    <w:rsid w:val="005C764D"/>
    <w:rsid w:val="005C7AE6"/>
    <w:rsid w:val="005D0469"/>
    <w:rsid w:val="005D0822"/>
    <w:rsid w:val="005D0D47"/>
    <w:rsid w:val="005D0F49"/>
    <w:rsid w:val="005D151F"/>
    <w:rsid w:val="005D162E"/>
    <w:rsid w:val="005D1A22"/>
    <w:rsid w:val="005D1AA1"/>
    <w:rsid w:val="005D1F34"/>
    <w:rsid w:val="005D2CFD"/>
    <w:rsid w:val="005D383D"/>
    <w:rsid w:val="005D4044"/>
    <w:rsid w:val="005D42C1"/>
    <w:rsid w:val="005D4C6C"/>
    <w:rsid w:val="005D50FC"/>
    <w:rsid w:val="005D54FB"/>
    <w:rsid w:val="005D55D0"/>
    <w:rsid w:val="005D5AB3"/>
    <w:rsid w:val="005D5C81"/>
    <w:rsid w:val="005D5F3E"/>
    <w:rsid w:val="005D60B4"/>
    <w:rsid w:val="005D60CA"/>
    <w:rsid w:val="005D64F2"/>
    <w:rsid w:val="005D664E"/>
    <w:rsid w:val="005D6B23"/>
    <w:rsid w:val="005D6E50"/>
    <w:rsid w:val="005D6F85"/>
    <w:rsid w:val="005D6FCF"/>
    <w:rsid w:val="005D79A0"/>
    <w:rsid w:val="005D7D1B"/>
    <w:rsid w:val="005D7FD6"/>
    <w:rsid w:val="005E0D6B"/>
    <w:rsid w:val="005E12B5"/>
    <w:rsid w:val="005E19D0"/>
    <w:rsid w:val="005E1F9C"/>
    <w:rsid w:val="005E22AD"/>
    <w:rsid w:val="005E2774"/>
    <w:rsid w:val="005E2820"/>
    <w:rsid w:val="005E28EC"/>
    <w:rsid w:val="005E2AB0"/>
    <w:rsid w:val="005E2C76"/>
    <w:rsid w:val="005E2F03"/>
    <w:rsid w:val="005E30F5"/>
    <w:rsid w:val="005E3910"/>
    <w:rsid w:val="005E3CBC"/>
    <w:rsid w:val="005E4279"/>
    <w:rsid w:val="005E4DB0"/>
    <w:rsid w:val="005E567C"/>
    <w:rsid w:val="005E57AA"/>
    <w:rsid w:val="005E58F2"/>
    <w:rsid w:val="005E5D58"/>
    <w:rsid w:val="005E7AD4"/>
    <w:rsid w:val="005F0C91"/>
    <w:rsid w:val="005F1625"/>
    <w:rsid w:val="005F180A"/>
    <w:rsid w:val="005F2651"/>
    <w:rsid w:val="005F29E0"/>
    <w:rsid w:val="005F4018"/>
    <w:rsid w:val="005F44F0"/>
    <w:rsid w:val="005F4563"/>
    <w:rsid w:val="005F462E"/>
    <w:rsid w:val="005F4DE0"/>
    <w:rsid w:val="005F5B18"/>
    <w:rsid w:val="005F5B49"/>
    <w:rsid w:val="005F6691"/>
    <w:rsid w:val="005F7028"/>
    <w:rsid w:val="005F70E4"/>
    <w:rsid w:val="00600845"/>
    <w:rsid w:val="00600CE1"/>
    <w:rsid w:val="00601032"/>
    <w:rsid w:val="0060134E"/>
    <w:rsid w:val="00601573"/>
    <w:rsid w:val="006019E1"/>
    <w:rsid w:val="00601F8A"/>
    <w:rsid w:val="0060223C"/>
    <w:rsid w:val="00602989"/>
    <w:rsid w:val="00602F18"/>
    <w:rsid w:val="006032ED"/>
    <w:rsid w:val="0060331C"/>
    <w:rsid w:val="006036E6"/>
    <w:rsid w:val="006036EC"/>
    <w:rsid w:val="0060447F"/>
    <w:rsid w:val="00604C23"/>
    <w:rsid w:val="00604DFE"/>
    <w:rsid w:val="0060532D"/>
    <w:rsid w:val="00605E6F"/>
    <w:rsid w:val="00606111"/>
    <w:rsid w:val="006067CD"/>
    <w:rsid w:val="00607317"/>
    <w:rsid w:val="0061005E"/>
    <w:rsid w:val="00610627"/>
    <w:rsid w:val="006117FF"/>
    <w:rsid w:val="00611AA9"/>
    <w:rsid w:val="00611C04"/>
    <w:rsid w:val="00611DD7"/>
    <w:rsid w:val="00612600"/>
    <w:rsid w:val="00612749"/>
    <w:rsid w:val="006136E6"/>
    <w:rsid w:val="006144A9"/>
    <w:rsid w:val="006146A5"/>
    <w:rsid w:val="006147E7"/>
    <w:rsid w:val="00614913"/>
    <w:rsid w:val="0061564A"/>
    <w:rsid w:val="006157BB"/>
    <w:rsid w:val="006167C5"/>
    <w:rsid w:val="00616845"/>
    <w:rsid w:val="00616AB4"/>
    <w:rsid w:val="00616EE8"/>
    <w:rsid w:val="0061721D"/>
    <w:rsid w:val="0061781A"/>
    <w:rsid w:val="006179BC"/>
    <w:rsid w:val="00617F6E"/>
    <w:rsid w:val="00620465"/>
    <w:rsid w:val="0062065F"/>
    <w:rsid w:val="006209E2"/>
    <w:rsid w:val="00621E8F"/>
    <w:rsid w:val="00622451"/>
    <w:rsid w:val="0062333D"/>
    <w:rsid w:val="006234B6"/>
    <w:rsid w:val="00623A3A"/>
    <w:rsid w:val="00623F2C"/>
    <w:rsid w:val="006241EA"/>
    <w:rsid w:val="0062464D"/>
    <w:rsid w:val="0062472B"/>
    <w:rsid w:val="00625266"/>
    <w:rsid w:val="006253F4"/>
    <w:rsid w:val="006258AB"/>
    <w:rsid w:val="00625D5D"/>
    <w:rsid w:val="00625FA2"/>
    <w:rsid w:val="006263E8"/>
    <w:rsid w:val="0063003B"/>
    <w:rsid w:val="00630607"/>
    <w:rsid w:val="00630656"/>
    <w:rsid w:val="006309FF"/>
    <w:rsid w:val="00630CEC"/>
    <w:rsid w:val="00630E28"/>
    <w:rsid w:val="00631229"/>
    <w:rsid w:val="006313AC"/>
    <w:rsid w:val="0063167D"/>
    <w:rsid w:val="00631B38"/>
    <w:rsid w:val="00631C83"/>
    <w:rsid w:val="00633208"/>
    <w:rsid w:val="00633330"/>
    <w:rsid w:val="006335D7"/>
    <w:rsid w:val="00633E9C"/>
    <w:rsid w:val="006342BC"/>
    <w:rsid w:val="00634459"/>
    <w:rsid w:val="00634699"/>
    <w:rsid w:val="006346F8"/>
    <w:rsid w:val="00634A8C"/>
    <w:rsid w:val="00634CC3"/>
    <w:rsid w:val="00635FD6"/>
    <w:rsid w:val="006366AA"/>
    <w:rsid w:val="00637162"/>
    <w:rsid w:val="00637230"/>
    <w:rsid w:val="006401AD"/>
    <w:rsid w:val="00640509"/>
    <w:rsid w:val="006409B5"/>
    <w:rsid w:val="006425EB"/>
    <w:rsid w:val="006427D7"/>
    <w:rsid w:val="00642E3C"/>
    <w:rsid w:val="00642F69"/>
    <w:rsid w:val="006434C0"/>
    <w:rsid w:val="00643954"/>
    <w:rsid w:val="006449C3"/>
    <w:rsid w:val="00644B53"/>
    <w:rsid w:val="00644EE7"/>
    <w:rsid w:val="0064546D"/>
    <w:rsid w:val="00645500"/>
    <w:rsid w:val="00645CE1"/>
    <w:rsid w:val="00646384"/>
    <w:rsid w:val="0064724A"/>
    <w:rsid w:val="00647FB3"/>
    <w:rsid w:val="006501B5"/>
    <w:rsid w:val="006503CA"/>
    <w:rsid w:val="006507B9"/>
    <w:rsid w:val="0065080A"/>
    <w:rsid w:val="00650B88"/>
    <w:rsid w:val="00651264"/>
    <w:rsid w:val="0065159B"/>
    <w:rsid w:val="006522F9"/>
    <w:rsid w:val="00652307"/>
    <w:rsid w:val="0065334C"/>
    <w:rsid w:val="00653CA3"/>
    <w:rsid w:val="00654216"/>
    <w:rsid w:val="00654793"/>
    <w:rsid w:val="006549E1"/>
    <w:rsid w:val="006550B2"/>
    <w:rsid w:val="006551D5"/>
    <w:rsid w:val="006552F7"/>
    <w:rsid w:val="00656323"/>
    <w:rsid w:val="0065636B"/>
    <w:rsid w:val="006568D9"/>
    <w:rsid w:val="00656FFA"/>
    <w:rsid w:val="006573E0"/>
    <w:rsid w:val="00657CC5"/>
    <w:rsid w:val="00660292"/>
    <w:rsid w:val="006605EC"/>
    <w:rsid w:val="00660E3C"/>
    <w:rsid w:val="00660EDB"/>
    <w:rsid w:val="00661C15"/>
    <w:rsid w:val="006621E6"/>
    <w:rsid w:val="0066227A"/>
    <w:rsid w:val="00662A35"/>
    <w:rsid w:val="006631D6"/>
    <w:rsid w:val="00663922"/>
    <w:rsid w:val="006639B6"/>
    <w:rsid w:val="00664D34"/>
    <w:rsid w:val="00664F91"/>
    <w:rsid w:val="006651D4"/>
    <w:rsid w:val="0066522B"/>
    <w:rsid w:val="00666368"/>
    <w:rsid w:val="006664D1"/>
    <w:rsid w:val="006671E4"/>
    <w:rsid w:val="00667319"/>
    <w:rsid w:val="00667512"/>
    <w:rsid w:val="00667764"/>
    <w:rsid w:val="00667F1B"/>
    <w:rsid w:val="00667F96"/>
    <w:rsid w:val="0067183F"/>
    <w:rsid w:val="00671B9D"/>
    <w:rsid w:val="00671F90"/>
    <w:rsid w:val="00672267"/>
    <w:rsid w:val="006722EA"/>
    <w:rsid w:val="0067270E"/>
    <w:rsid w:val="006729C3"/>
    <w:rsid w:val="006733CE"/>
    <w:rsid w:val="006739C7"/>
    <w:rsid w:val="00673A34"/>
    <w:rsid w:val="00673B24"/>
    <w:rsid w:val="00674A83"/>
    <w:rsid w:val="006755EF"/>
    <w:rsid w:val="00675C83"/>
    <w:rsid w:val="0067695D"/>
    <w:rsid w:val="00676B9E"/>
    <w:rsid w:val="006770C8"/>
    <w:rsid w:val="00677207"/>
    <w:rsid w:val="006772DC"/>
    <w:rsid w:val="006775E4"/>
    <w:rsid w:val="0067778E"/>
    <w:rsid w:val="006777CF"/>
    <w:rsid w:val="00677D28"/>
    <w:rsid w:val="00677F50"/>
    <w:rsid w:val="0068000C"/>
    <w:rsid w:val="00680138"/>
    <w:rsid w:val="00680EE3"/>
    <w:rsid w:val="00681A72"/>
    <w:rsid w:val="006821C2"/>
    <w:rsid w:val="0068261A"/>
    <w:rsid w:val="006837B8"/>
    <w:rsid w:val="00683E6B"/>
    <w:rsid w:val="00685248"/>
    <w:rsid w:val="006860F7"/>
    <w:rsid w:val="00686D49"/>
    <w:rsid w:val="00687342"/>
    <w:rsid w:val="00687FAE"/>
    <w:rsid w:val="006905CE"/>
    <w:rsid w:val="00690639"/>
    <w:rsid w:val="0069092E"/>
    <w:rsid w:val="00690AFF"/>
    <w:rsid w:val="00690BC8"/>
    <w:rsid w:val="006911A2"/>
    <w:rsid w:val="00691A6F"/>
    <w:rsid w:val="00691EEF"/>
    <w:rsid w:val="00692A47"/>
    <w:rsid w:val="00692AF5"/>
    <w:rsid w:val="006931B4"/>
    <w:rsid w:val="00693720"/>
    <w:rsid w:val="00693A26"/>
    <w:rsid w:val="00693F7F"/>
    <w:rsid w:val="00693FDA"/>
    <w:rsid w:val="00694242"/>
    <w:rsid w:val="0069435C"/>
    <w:rsid w:val="00694651"/>
    <w:rsid w:val="00695192"/>
    <w:rsid w:val="00695DD2"/>
    <w:rsid w:val="00695E04"/>
    <w:rsid w:val="00696282"/>
    <w:rsid w:val="00696289"/>
    <w:rsid w:val="006967C8"/>
    <w:rsid w:val="00696AA7"/>
    <w:rsid w:val="00696FAF"/>
    <w:rsid w:val="00697717"/>
    <w:rsid w:val="00697796"/>
    <w:rsid w:val="00697923"/>
    <w:rsid w:val="00697E73"/>
    <w:rsid w:val="006A03A8"/>
    <w:rsid w:val="006A0962"/>
    <w:rsid w:val="006A0B88"/>
    <w:rsid w:val="006A0EC7"/>
    <w:rsid w:val="006A115F"/>
    <w:rsid w:val="006A1C21"/>
    <w:rsid w:val="006A1C48"/>
    <w:rsid w:val="006A21FC"/>
    <w:rsid w:val="006A23C3"/>
    <w:rsid w:val="006A284A"/>
    <w:rsid w:val="006A2B4F"/>
    <w:rsid w:val="006A2EDE"/>
    <w:rsid w:val="006A3D33"/>
    <w:rsid w:val="006A4400"/>
    <w:rsid w:val="006A4506"/>
    <w:rsid w:val="006A4C58"/>
    <w:rsid w:val="006A4DAA"/>
    <w:rsid w:val="006A52D6"/>
    <w:rsid w:val="006A5A3E"/>
    <w:rsid w:val="006A6B00"/>
    <w:rsid w:val="006A6BB3"/>
    <w:rsid w:val="006A6BDD"/>
    <w:rsid w:val="006A7BE7"/>
    <w:rsid w:val="006A7DDF"/>
    <w:rsid w:val="006B037C"/>
    <w:rsid w:val="006B090B"/>
    <w:rsid w:val="006B0AA3"/>
    <w:rsid w:val="006B0AD8"/>
    <w:rsid w:val="006B18EA"/>
    <w:rsid w:val="006B1B25"/>
    <w:rsid w:val="006B1DCC"/>
    <w:rsid w:val="006B20A9"/>
    <w:rsid w:val="006B3163"/>
    <w:rsid w:val="006B3410"/>
    <w:rsid w:val="006B3CC7"/>
    <w:rsid w:val="006B49F6"/>
    <w:rsid w:val="006B4C16"/>
    <w:rsid w:val="006B4EB5"/>
    <w:rsid w:val="006B4EC0"/>
    <w:rsid w:val="006B51C2"/>
    <w:rsid w:val="006B55C8"/>
    <w:rsid w:val="006B5C51"/>
    <w:rsid w:val="006B5CE7"/>
    <w:rsid w:val="006B6B0D"/>
    <w:rsid w:val="006B7B6C"/>
    <w:rsid w:val="006C0509"/>
    <w:rsid w:val="006C0A0F"/>
    <w:rsid w:val="006C0BFC"/>
    <w:rsid w:val="006C1088"/>
    <w:rsid w:val="006C19F1"/>
    <w:rsid w:val="006C1C90"/>
    <w:rsid w:val="006C1EE4"/>
    <w:rsid w:val="006C20C1"/>
    <w:rsid w:val="006C2382"/>
    <w:rsid w:val="006C2DF9"/>
    <w:rsid w:val="006C39BD"/>
    <w:rsid w:val="006C3BD9"/>
    <w:rsid w:val="006C40C6"/>
    <w:rsid w:val="006C43AD"/>
    <w:rsid w:val="006C46CA"/>
    <w:rsid w:val="006C4A03"/>
    <w:rsid w:val="006C4F5A"/>
    <w:rsid w:val="006C5250"/>
    <w:rsid w:val="006C56D5"/>
    <w:rsid w:val="006C5979"/>
    <w:rsid w:val="006C5B0C"/>
    <w:rsid w:val="006C6D11"/>
    <w:rsid w:val="006C7205"/>
    <w:rsid w:val="006C792F"/>
    <w:rsid w:val="006D00ED"/>
    <w:rsid w:val="006D03BC"/>
    <w:rsid w:val="006D0EE2"/>
    <w:rsid w:val="006D0F4E"/>
    <w:rsid w:val="006D1382"/>
    <w:rsid w:val="006D14C1"/>
    <w:rsid w:val="006D174C"/>
    <w:rsid w:val="006D189D"/>
    <w:rsid w:val="006D1B0B"/>
    <w:rsid w:val="006D1B57"/>
    <w:rsid w:val="006D25CD"/>
    <w:rsid w:val="006D29A2"/>
    <w:rsid w:val="006D2CA3"/>
    <w:rsid w:val="006D3F00"/>
    <w:rsid w:val="006D48CC"/>
    <w:rsid w:val="006D58B9"/>
    <w:rsid w:val="006D591C"/>
    <w:rsid w:val="006D5D65"/>
    <w:rsid w:val="006D5EE5"/>
    <w:rsid w:val="006D6166"/>
    <w:rsid w:val="006D61FE"/>
    <w:rsid w:val="006D62DC"/>
    <w:rsid w:val="006D6498"/>
    <w:rsid w:val="006D679A"/>
    <w:rsid w:val="006D69A0"/>
    <w:rsid w:val="006D6E87"/>
    <w:rsid w:val="006D6E8D"/>
    <w:rsid w:val="006D7073"/>
    <w:rsid w:val="006D75D3"/>
    <w:rsid w:val="006D7B58"/>
    <w:rsid w:val="006E0478"/>
    <w:rsid w:val="006E0836"/>
    <w:rsid w:val="006E0973"/>
    <w:rsid w:val="006E0C14"/>
    <w:rsid w:val="006E1943"/>
    <w:rsid w:val="006E3E09"/>
    <w:rsid w:val="006E4418"/>
    <w:rsid w:val="006E4763"/>
    <w:rsid w:val="006E51DA"/>
    <w:rsid w:val="006E5F77"/>
    <w:rsid w:val="006E62ED"/>
    <w:rsid w:val="006E651A"/>
    <w:rsid w:val="006E656B"/>
    <w:rsid w:val="006E660E"/>
    <w:rsid w:val="006E7065"/>
    <w:rsid w:val="006E71B7"/>
    <w:rsid w:val="006E75D1"/>
    <w:rsid w:val="006F09BD"/>
    <w:rsid w:val="006F0C51"/>
    <w:rsid w:val="006F0FBC"/>
    <w:rsid w:val="006F104A"/>
    <w:rsid w:val="006F2754"/>
    <w:rsid w:val="006F2763"/>
    <w:rsid w:val="006F332E"/>
    <w:rsid w:val="006F3525"/>
    <w:rsid w:val="006F3569"/>
    <w:rsid w:val="006F3DDD"/>
    <w:rsid w:val="006F452C"/>
    <w:rsid w:val="006F455B"/>
    <w:rsid w:val="006F468A"/>
    <w:rsid w:val="006F572C"/>
    <w:rsid w:val="006F5DD7"/>
    <w:rsid w:val="006F6688"/>
    <w:rsid w:val="006F674C"/>
    <w:rsid w:val="006F6BD8"/>
    <w:rsid w:val="006F6F88"/>
    <w:rsid w:val="006F7348"/>
    <w:rsid w:val="006F743E"/>
    <w:rsid w:val="006F7A5D"/>
    <w:rsid w:val="00700116"/>
    <w:rsid w:val="00700FFD"/>
    <w:rsid w:val="007011C0"/>
    <w:rsid w:val="00701495"/>
    <w:rsid w:val="00701ABE"/>
    <w:rsid w:val="00702043"/>
    <w:rsid w:val="0070250F"/>
    <w:rsid w:val="00702D24"/>
    <w:rsid w:val="00702DD2"/>
    <w:rsid w:val="007031A1"/>
    <w:rsid w:val="00703455"/>
    <w:rsid w:val="00703857"/>
    <w:rsid w:val="0070392E"/>
    <w:rsid w:val="0070411F"/>
    <w:rsid w:val="00704C46"/>
    <w:rsid w:val="00704DFD"/>
    <w:rsid w:val="00704E8E"/>
    <w:rsid w:val="00705BDE"/>
    <w:rsid w:val="0070605E"/>
    <w:rsid w:val="007065D7"/>
    <w:rsid w:val="0070750A"/>
    <w:rsid w:val="00710419"/>
    <w:rsid w:val="00710EBD"/>
    <w:rsid w:val="00711DFC"/>
    <w:rsid w:val="00712263"/>
    <w:rsid w:val="00712A12"/>
    <w:rsid w:val="00712DC3"/>
    <w:rsid w:val="00713009"/>
    <w:rsid w:val="007135BB"/>
    <w:rsid w:val="00714408"/>
    <w:rsid w:val="00716778"/>
    <w:rsid w:val="00716F00"/>
    <w:rsid w:val="007170D4"/>
    <w:rsid w:val="00717C4C"/>
    <w:rsid w:val="00717D43"/>
    <w:rsid w:val="00720114"/>
    <w:rsid w:val="00720250"/>
    <w:rsid w:val="00720267"/>
    <w:rsid w:val="00721779"/>
    <w:rsid w:val="00722010"/>
    <w:rsid w:val="00723424"/>
    <w:rsid w:val="00725564"/>
    <w:rsid w:val="00725858"/>
    <w:rsid w:val="00725A33"/>
    <w:rsid w:val="007262EC"/>
    <w:rsid w:val="00727369"/>
    <w:rsid w:val="007279EF"/>
    <w:rsid w:val="0073051B"/>
    <w:rsid w:val="00731070"/>
    <w:rsid w:val="0073126E"/>
    <w:rsid w:val="00731944"/>
    <w:rsid w:val="007321B5"/>
    <w:rsid w:val="00733414"/>
    <w:rsid w:val="00733C83"/>
    <w:rsid w:val="00734319"/>
    <w:rsid w:val="0073488F"/>
    <w:rsid w:val="00735175"/>
    <w:rsid w:val="00735547"/>
    <w:rsid w:val="007355E0"/>
    <w:rsid w:val="00735EEB"/>
    <w:rsid w:val="00736266"/>
    <w:rsid w:val="00736E5A"/>
    <w:rsid w:val="00737430"/>
    <w:rsid w:val="00737C7B"/>
    <w:rsid w:val="00737D63"/>
    <w:rsid w:val="007404D2"/>
    <w:rsid w:val="00740B11"/>
    <w:rsid w:val="00741014"/>
    <w:rsid w:val="0074118A"/>
    <w:rsid w:val="00743360"/>
    <w:rsid w:val="00743727"/>
    <w:rsid w:val="0074374C"/>
    <w:rsid w:val="00743A5C"/>
    <w:rsid w:val="00743D97"/>
    <w:rsid w:val="00743FF3"/>
    <w:rsid w:val="00744842"/>
    <w:rsid w:val="0074495F"/>
    <w:rsid w:val="00744963"/>
    <w:rsid w:val="00744EF7"/>
    <w:rsid w:val="007463DF"/>
    <w:rsid w:val="00746B2E"/>
    <w:rsid w:val="00746E93"/>
    <w:rsid w:val="00750170"/>
    <w:rsid w:val="00750B88"/>
    <w:rsid w:val="00750EC5"/>
    <w:rsid w:val="00751567"/>
    <w:rsid w:val="007518A9"/>
    <w:rsid w:val="00751BD6"/>
    <w:rsid w:val="0075217E"/>
    <w:rsid w:val="0075224C"/>
    <w:rsid w:val="007523BA"/>
    <w:rsid w:val="00752E1F"/>
    <w:rsid w:val="00752FAF"/>
    <w:rsid w:val="00753808"/>
    <w:rsid w:val="007540BF"/>
    <w:rsid w:val="007545DA"/>
    <w:rsid w:val="007546B9"/>
    <w:rsid w:val="00754883"/>
    <w:rsid w:val="00755286"/>
    <w:rsid w:val="0075542D"/>
    <w:rsid w:val="00755807"/>
    <w:rsid w:val="007559D8"/>
    <w:rsid w:val="007562E5"/>
    <w:rsid w:val="007564B6"/>
    <w:rsid w:val="0075709E"/>
    <w:rsid w:val="00757EB9"/>
    <w:rsid w:val="007600ED"/>
    <w:rsid w:val="007601A6"/>
    <w:rsid w:val="00760224"/>
    <w:rsid w:val="00760758"/>
    <w:rsid w:val="007607D6"/>
    <w:rsid w:val="007608F8"/>
    <w:rsid w:val="00760AFB"/>
    <w:rsid w:val="007611B1"/>
    <w:rsid w:val="00761318"/>
    <w:rsid w:val="00761937"/>
    <w:rsid w:val="00761A75"/>
    <w:rsid w:val="00761BE7"/>
    <w:rsid w:val="00761E13"/>
    <w:rsid w:val="00762174"/>
    <w:rsid w:val="00762252"/>
    <w:rsid w:val="007622E4"/>
    <w:rsid w:val="00762AF2"/>
    <w:rsid w:val="0076350A"/>
    <w:rsid w:val="00763672"/>
    <w:rsid w:val="007638DA"/>
    <w:rsid w:val="007647CF"/>
    <w:rsid w:val="00764A1D"/>
    <w:rsid w:val="00765141"/>
    <w:rsid w:val="00766330"/>
    <w:rsid w:val="007667C1"/>
    <w:rsid w:val="00766D45"/>
    <w:rsid w:val="007677F0"/>
    <w:rsid w:val="0077067C"/>
    <w:rsid w:val="00770B7D"/>
    <w:rsid w:val="00770C45"/>
    <w:rsid w:val="00770DCB"/>
    <w:rsid w:val="007711BC"/>
    <w:rsid w:val="00771402"/>
    <w:rsid w:val="00771481"/>
    <w:rsid w:val="0077173F"/>
    <w:rsid w:val="007717D0"/>
    <w:rsid w:val="00771F45"/>
    <w:rsid w:val="00771FD8"/>
    <w:rsid w:val="0077235A"/>
    <w:rsid w:val="007724B1"/>
    <w:rsid w:val="00772920"/>
    <w:rsid w:val="00772928"/>
    <w:rsid w:val="00772F1B"/>
    <w:rsid w:val="0077314F"/>
    <w:rsid w:val="00773278"/>
    <w:rsid w:val="0077469C"/>
    <w:rsid w:val="0077492F"/>
    <w:rsid w:val="007749B1"/>
    <w:rsid w:val="00774C5F"/>
    <w:rsid w:val="00774CEB"/>
    <w:rsid w:val="00775485"/>
    <w:rsid w:val="007755A9"/>
    <w:rsid w:val="007756F6"/>
    <w:rsid w:val="007769D0"/>
    <w:rsid w:val="00776CE7"/>
    <w:rsid w:val="007772BC"/>
    <w:rsid w:val="007773B2"/>
    <w:rsid w:val="00777536"/>
    <w:rsid w:val="00777ACF"/>
    <w:rsid w:val="00777F9D"/>
    <w:rsid w:val="007804B8"/>
    <w:rsid w:val="007808D6"/>
    <w:rsid w:val="0078097D"/>
    <w:rsid w:val="00781444"/>
    <w:rsid w:val="007817C4"/>
    <w:rsid w:val="00781AC1"/>
    <w:rsid w:val="00781AD4"/>
    <w:rsid w:val="00781B29"/>
    <w:rsid w:val="00781E67"/>
    <w:rsid w:val="00782389"/>
    <w:rsid w:val="00782700"/>
    <w:rsid w:val="00782BD2"/>
    <w:rsid w:val="007831F0"/>
    <w:rsid w:val="0078393E"/>
    <w:rsid w:val="00783F0F"/>
    <w:rsid w:val="007841A1"/>
    <w:rsid w:val="007843BB"/>
    <w:rsid w:val="0078493B"/>
    <w:rsid w:val="00784D3E"/>
    <w:rsid w:val="007856DA"/>
    <w:rsid w:val="007857D1"/>
    <w:rsid w:val="00785A0A"/>
    <w:rsid w:val="007861ED"/>
    <w:rsid w:val="00786651"/>
    <w:rsid w:val="00786BED"/>
    <w:rsid w:val="007871E6"/>
    <w:rsid w:val="00787980"/>
    <w:rsid w:val="0079048D"/>
    <w:rsid w:val="007905E8"/>
    <w:rsid w:val="00790F74"/>
    <w:rsid w:val="00790FDD"/>
    <w:rsid w:val="007918F7"/>
    <w:rsid w:val="00792279"/>
    <w:rsid w:val="0079285A"/>
    <w:rsid w:val="00792C9B"/>
    <w:rsid w:val="007938DE"/>
    <w:rsid w:val="007938F9"/>
    <w:rsid w:val="00793FC9"/>
    <w:rsid w:val="00794460"/>
    <w:rsid w:val="00794BF1"/>
    <w:rsid w:val="00794CBE"/>
    <w:rsid w:val="0079585A"/>
    <w:rsid w:val="00795A55"/>
    <w:rsid w:val="00795C0F"/>
    <w:rsid w:val="0079629F"/>
    <w:rsid w:val="007963AE"/>
    <w:rsid w:val="00796816"/>
    <w:rsid w:val="00796A18"/>
    <w:rsid w:val="00797959"/>
    <w:rsid w:val="007A0578"/>
    <w:rsid w:val="007A0A65"/>
    <w:rsid w:val="007A0F12"/>
    <w:rsid w:val="007A103A"/>
    <w:rsid w:val="007A22E3"/>
    <w:rsid w:val="007A22EC"/>
    <w:rsid w:val="007A2543"/>
    <w:rsid w:val="007A2FA4"/>
    <w:rsid w:val="007A3B83"/>
    <w:rsid w:val="007A4440"/>
    <w:rsid w:val="007A456E"/>
    <w:rsid w:val="007A4B64"/>
    <w:rsid w:val="007A4D12"/>
    <w:rsid w:val="007A532A"/>
    <w:rsid w:val="007A5C48"/>
    <w:rsid w:val="007A5D16"/>
    <w:rsid w:val="007A6E1E"/>
    <w:rsid w:val="007A78BA"/>
    <w:rsid w:val="007B0643"/>
    <w:rsid w:val="007B0E1C"/>
    <w:rsid w:val="007B0F2A"/>
    <w:rsid w:val="007B1FF6"/>
    <w:rsid w:val="007B214A"/>
    <w:rsid w:val="007B26F8"/>
    <w:rsid w:val="007B2A19"/>
    <w:rsid w:val="007B3284"/>
    <w:rsid w:val="007B373B"/>
    <w:rsid w:val="007B4486"/>
    <w:rsid w:val="007B5106"/>
    <w:rsid w:val="007B5202"/>
    <w:rsid w:val="007B602B"/>
    <w:rsid w:val="007B6695"/>
    <w:rsid w:val="007B6E46"/>
    <w:rsid w:val="007B6E51"/>
    <w:rsid w:val="007B6FAC"/>
    <w:rsid w:val="007B7015"/>
    <w:rsid w:val="007B70AF"/>
    <w:rsid w:val="007B739E"/>
    <w:rsid w:val="007B73E2"/>
    <w:rsid w:val="007C069A"/>
    <w:rsid w:val="007C19E9"/>
    <w:rsid w:val="007C1C02"/>
    <w:rsid w:val="007C1D87"/>
    <w:rsid w:val="007C22B9"/>
    <w:rsid w:val="007C2764"/>
    <w:rsid w:val="007C2C51"/>
    <w:rsid w:val="007C311D"/>
    <w:rsid w:val="007C3396"/>
    <w:rsid w:val="007C33A1"/>
    <w:rsid w:val="007C3577"/>
    <w:rsid w:val="007C4107"/>
    <w:rsid w:val="007C5D8D"/>
    <w:rsid w:val="007C645D"/>
    <w:rsid w:val="007C6AC8"/>
    <w:rsid w:val="007C723C"/>
    <w:rsid w:val="007C7768"/>
    <w:rsid w:val="007C7A4A"/>
    <w:rsid w:val="007D0209"/>
    <w:rsid w:val="007D030B"/>
    <w:rsid w:val="007D067B"/>
    <w:rsid w:val="007D0A5D"/>
    <w:rsid w:val="007D1560"/>
    <w:rsid w:val="007D190F"/>
    <w:rsid w:val="007D1E19"/>
    <w:rsid w:val="007D240E"/>
    <w:rsid w:val="007D2E8D"/>
    <w:rsid w:val="007D3642"/>
    <w:rsid w:val="007D3AAA"/>
    <w:rsid w:val="007D3BAC"/>
    <w:rsid w:val="007D3DC1"/>
    <w:rsid w:val="007D407E"/>
    <w:rsid w:val="007D43A2"/>
    <w:rsid w:val="007D49D4"/>
    <w:rsid w:val="007D4F02"/>
    <w:rsid w:val="007D513D"/>
    <w:rsid w:val="007D545D"/>
    <w:rsid w:val="007D7B11"/>
    <w:rsid w:val="007D7C50"/>
    <w:rsid w:val="007D7D6B"/>
    <w:rsid w:val="007E1398"/>
    <w:rsid w:val="007E1701"/>
    <w:rsid w:val="007E1DEC"/>
    <w:rsid w:val="007E22DC"/>
    <w:rsid w:val="007E2C7D"/>
    <w:rsid w:val="007E2C88"/>
    <w:rsid w:val="007E2F6C"/>
    <w:rsid w:val="007E3242"/>
    <w:rsid w:val="007E34E4"/>
    <w:rsid w:val="007E37AE"/>
    <w:rsid w:val="007E38D0"/>
    <w:rsid w:val="007E3E7A"/>
    <w:rsid w:val="007E3FFC"/>
    <w:rsid w:val="007E44AC"/>
    <w:rsid w:val="007E4894"/>
    <w:rsid w:val="007E48CE"/>
    <w:rsid w:val="007E496C"/>
    <w:rsid w:val="007E4C64"/>
    <w:rsid w:val="007E50A8"/>
    <w:rsid w:val="007E511D"/>
    <w:rsid w:val="007E586A"/>
    <w:rsid w:val="007E5B17"/>
    <w:rsid w:val="007E5B88"/>
    <w:rsid w:val="007E6542"/>
    <w:rsid w:val="007E6DB1"/>
    <w:rsid w:val="007E7268"/>
    <w:rsid w:val="007E73CA"/>
    <w:rsid w:val="007F04C7"/>
    <w:rsid w:val="007F0D0B"/>
    <w:rsid w:val="007F0D8F"/>
    <w:rsid w:val="007F1D7E"/>
    <w:rsid w:val="007F21C0"/>
    <w:rsid w:val="007F25DC"/>
    <w:rsid w:val="007F2954"/>
    <w:rsid w:val="007F29B2"/>
    <w:rsid w:val="007F3179"/>
    <w:rsid w:val="007F3271"/>
    <w:rsid w:val="007F33EC"/>
    <w:rsid w:val="007F3E49"/>
    <w:rsid w:val="007F50E1"/>
    <w:rsid w:val="007F53A8"/>
    <w:rsid w:val="007F58D1"/>
    <w:rsid w:val="007F5E6C"/>
    <w:rsid w:val="007F5ECF"/>
    <w:rsid w:val="007F5FDC"/>
    <w:rsid w:val="007F770D"/>
    <w:rsid w:val="007F789B"/>
    <w:rsid w:val="007F7BE4"/>
    <w:rsid w:val="007F7DD5"/>
    <w:rsid w:val="008004A8"/>
    <w:rsid w:val="0080052E"/>
    <w:rsid w:val="008007A8"/>
    <w:rsid w:val="00802644"/>
    <w:rsid w:val="00802A26"/>
    <w:rsid w:val="00803447"/>
    <w:rsid w:val="008034A7"/>
    <w:rsid w:val="008034BF"/>
    <w:rsid w:val="00803C93"/>
    <w:rsid w:val="00803D84"/>
    <w:rsid w:val="008041A7"/>
    <w:rsid w:val="008042D9"/>
    <w:rsid w:val="00804BB5"/>
    <w:rsid w:val="00804C66"/>
    <w:rsid w:val="0080586A"/>
    <w:rsid w:val="00805ABE"/>
    <w:rsid w:val="00805DFB"/>
    <w:rsid w:val="00806517"/>
    <w:rsid w:val="008066D8"/>
    <w:rsid w:val="0080672F"/>
    <w:rsid w:val="00807104"/>
    <w:rsid w:val="008078AD"/>
    <w:rsid w:val="00807C99"/>
    <w:rsid w:val="008112B2"/>
    <w:rsid w:val="0081152D"/>
    <w:rsid w:val="008115D6"/>
    <w:rsid w:val="00811A03"/>
    <w:rsid w:val="00812310"/>
    <w:rsid w:val="00812366"/>
    <w:rsid w:val="0081272F"/>
    <w:rsid w:val="008128D5"/>
    <w:rsid w:val="00812A42"/>
    <w:rsid w:val="00813A81"/>
    <w:rsid w:val="00813C9B"/>
    <w:rsid w:val="00813F40"/>
    <w:rsid w:val="00814B98"/>
    <w:rsid w:val="00814E7C"/>
    <w:rsid w:val="00814FC0"/>
    <w:rsid w:val="0081532C"/>
    <w:rsid w:val="00815944"/>
    <w:rsid w:val="00815D11"/>
    <w:rsid w:val="008163FF"/>
    <w:rsid w:val="008167E4"/>
    <w:rsid w:val="00816834"/>
    <w:rsid w:val="00816DE9"/>
    <w:rsid w:val="00817126"/>
    <w:rsid w:val="008172A8"/>
    <w:rsid w:val="008172FC"/>
    <w:rsid w:val="00817D1D"/>
    <w:rsid w:val="0082118E"/>
    <w:rsid w:val="008212FE"/>
    <w:rsid w:val="00821429"/>
    <w:rsid w:val="00822766"/>
    <w:rsid w:val="00822833"/>
    <w:rsid w:val="00822952"/>
    <w:rsid w:val="00823345"/>
    <w:rsid w:val="00823FCB"/>
    <w:rsid w:val="008243E5"/>
    <w:rsid w:val="0082538F"/>
    <w:rsid w:val="008253EE"/>
    <w:rsid w:val="008255E6"/>
    <w:rsid w:val="008258B7"/>
    <w:rsid w:val="008260CD"/>
    <w:rsid w:val="0082653C"/>
    <w:rsid w:val="00826A8C"/>
    <w:rsid w:val="00826F52"/>
    <w:rsid w:val="00827482"/>
    <w:rsid w:val="00827629"/>
    <w:rsid w:val="008304E3"/>
    <w:rsid w:val="008310BA"/>
    <w:rsid w:val="00832118"/>
    <w:rsid w:val="00833448"/>
    <w:rsid w:val="00833626"/>
    <w:rsid w:val="008336A1"/>
    <w:rsid w:val="0083372E"/>
    <w:rsid w:val="00833C7D"/>
    <w:rsid w:val="00833DE7"/>
    <w:rsid w:val="008344FE"/>
    <w:rsid w:val="008345CE"/>
    <w:rsid w:val="00834CD0"/>
    <w:rsid w:val="00834FA4"/>
    <w:rsid w:val="0083512B"/>
    <w:rsid w:val="00835CC4"/>
    <w:rsid w:val="008364BC"/>
    <w:rsid w:val="008366C6"/>
    <w:rsid w:val="008367C8"/>
    <w:rsid w:val="00836A64"/>
    <w:rsid w:val="008374F3"/>
    <w:rsid w:val="00840537"/>
    <w:rsid w:val="008409A7"/>
    <w:rsid w:val="00841318"/>
    <w:rsid w:val="008415E9"/>
    <w:rsid w:val="00841BC6"/>
    <w:rsid w:val="00841CE1"/>
    <w:rsid w:val="00842790"/>
    <w:rsid w:val="00842829"/>
    <w:rsid w:val="00842CF6"/>
    <w:rsid w:val="00843EE0"/>
    <w:rsid w:val="00844224"/>
    <w:rsid w:val="0084443F"/>
    <w:rsid w:val="0084499C"/>
    <w:rsid w:val="00844A67"/>
    <w:rsid w:val="008468D2"/>
    <w:rsid w:val="00846FF0"/>
    <w:rsid w:val="0084720B"/>
    <w:rsid w:val="00847BF6"/>
    <w:rsid w:val="00847E16"/>
    <w:rsid w:val="00847EA6"/>
    <w:rsid w:val="0085035A"/>
    <w:rsid w:val="00850BBC"/>
    <w:rsid w:val="008511C1"/>
    <w:rsid w:val="008512CD"/>
    <w:rsid w:val="00851404"/>
    <w:rsid w:val="008526EC"/>
    <w:rsid w:val="008534EB"/>
    <w:rsid w:val="00853CEB"/>
    <w:rsid w:val="00854D11"/>
    <w:rsid w:val="008559A6"/>
    <w:rsid w:val="00855E02"/>
    <w:rsid w:val="00856412"/>
    <w:rsid w:val="008564E5"/>
    <w:rsid w:val="008568C4"/>
    <w:rsid w:val="00856A90"/>
    <w:rsid w:val="00856BB6"/>
    <w:rsid w:val="00856C7B"/>
    <w:rsid w:val="00856CCF"/>
    <w:rsid w:val="00856E64"/>
    <w:rsid w:val="00857093"/>
    <w:rsid w:val="00857159"/>
    <w:rsid w:val="00857235"/>
    <w:rsid w:val="008611E8"/>
    <w:rsid w:val="00861352"/>
    <w:rsid w:val="0086142E"/>
    <w:rsid w:val="00861658"/>
    <w:rsid w:val="008620B2"/>
    <w:rsid w:val="00862246"/>
    <w:rsid w:val="008622AD"/>
    <w:rsid w:val="00862452"/>
    <w:rsid w:val="00862ACA"/>
    <w:rsid w:val="00862EA9"/>
    <w:rsid w:val="0086316C"/>
    <w:rsid w:val="00863638"/>
    <w:rsid w:val="008643EE"/>
    <w:rsid w:val="00864D18"/>
    <w:rsid w:val="00864D4B"/>
    <w:rsid w:val="00865181"/>
    <w:rsid w:val="0086678A"/>
    <w:rsid w:val="00867B73"/>
    <w:rsid w:val="00867EB7"/>
    <w:rsid w:val="008702C6"/>
    <w:rsid w:val="00870AE1"/>
    <w:rsid w:val="00870B94"/>
    <w:rsid w:val="008711C6"/>
    <w:rsid w:val="0087173A"/>
    <w:rsid w:val="008717E7"/>
    <w:rsid w:val="00871D1B"/>
    <w:rsid w:val="008724DE"/>
    <w:rsid w:val="00872F6D"/>
    <w:rsid w:val="0087302E"/>
    <w:rsid w:val="00873267"/>
    <w:rsid w:val="00873A20"/>
    <w:rsid w:val="00873A41"/>
    <w:rsid w:val="00873C02"/>
    <w:rsid w:val="00873F0A"/>
    <w:rsid w:val="008740B2"/>
    <w:rsid w:val="008745FA"/>
    <w:rsid w:val="00874DF0"/>
    <w:rsid w:val="008759A8"/>
    <w:rsid w:val="00876AD7"/>
    <w:rsid w:val="00876F2D"/>
    <w:rsid w:val="00877863"/>
    <w:rsid w:val="00877C55"/>
    <w:rsid w:val="00880089"/>
    <w:rsid w:val="00880DE4"/>
    <w:rsid w:val="00881015"/>
    <w:rsid w:val="00881C71"/>
    <w:rsid w:val="00881D02"/>
    <w:rsid w:val="00881D68"/>
    <w:rsid w:val="00881FA9"/>
    <w:rsid w:val="00882265"/>
    <w:rsid w:val="00882344"/>
    <w:rsid w:val="008825C3"/>
    <w:rsid w:val="0088288C"/>
    <w:rsid w:val="00882C68"/>
    <w:rsid w:val="008831AA"/>
    <w:rsid w:val="008832A5"/>
    <w:rsid w:val="008839B5"/>
    <w:rsid w:val="00883B58"/>
    <w:rsid w:val="00883D28"/>
    <w:rsid w:val="00884169"/>
    <w:rsid w:val="008844E0"/>
    <w:rsid w:val="00884BB4"/>
    <w:rsid w:val="00884E2A"/>
    <w:rsid w:val="00884FBE"/>
    <w:rsid w:val="00885229"/>
    <w:rsid w:val="00885617"/>
    <w:rsid w:val="00886E84"/>
    <w:rsid w:val="00886F60"/>
    <w:rsid w:val="008874B9"/>
    <w:rsid w:val="008874FD"/>
    <w:rsid w:val="008876E9"/>
    <w:rsid w:val="0089097A"/>
    <w:rsid w:val="00890B03"/>
    <w:rsid w:val="00891573"/>
    <w:rsid w:val="0089182C"/>
    <w:rsid w:val="00891C81"/>
    <w:rsid w:val="008923A0"/>
    <w:rsid w:val="00892C5B"/>
    <w:rsid w:val="00892E68"/>
    <w:rsid w:val="0089340A"/>
    <w:rsid w:val="00893637"/>
    <w:rsid w:val="00893CCD"/>
    <w:rsid w:val="00893D5C"/>
    <w:rsid w:val="00893F50"/>
    <w:rsid w:val="00894543"/>
    <w:rsid w:val="00894765"/>
    <w:rsid w:val="008948B0"/>
    <w:rsid w:val="00895F32"/>
    <w:rsid w:val="008969F4"/>
    <w:rsid w:val="00896E8F"/>
    <w:rsid w:val="008976E5"/>
    <w:rsid w:val="00897727"/>
    <w:rsid w:val="008A10AE"/>
    <w:rsid w:val="008A1887"/>
    <w:rsid w:val="008A19DF"/>
    <w:rsid w:val="008A1A88"/>
    <w:rsid w:val="008A22B1"/>
    <w:rsid w:val="008A2EA0"/>
    <w:rsid w:val="008A36BD"/>
    <w:rsid w:val="008A3D57"/>
    <w:rsid w:val="008A3EC7"/>
    <w:rsid w:val="008A4285"/>
    <w:rsid w:val="008A49BD"/>
    <w:rsid w:val="008A4B0D"/>
    <w:rsid w:val="008A4F8A"/>
    <w:rsid w:val="008A530A"/>
    <w:rsid w:val="008A650B"/>
    <w:rsid w:val="008A6904"/>
    <w:rsid w:val="008A6CBE"/>
    <w:rsid w:val="008A6E71"/>
    <w:rsid w:val="008A7204"/>
    <w:rsid w:val="008A7431"/>
    <w:rsid w:val="008A7523"/>
    <w:rsid w:val="008A7595"/>
    <w:rsid w:val="008A7D22"/>
    <w:rsid w:val="008A7FF2"/>
    <w:rsid w:val="008B001D"/>
    <w:rsid w:val="008B0121"/>
    <w:rsid w:val="008B0993"/>
    <w:rsid w:val="008B09CB"/>
    <w:rsid w:val="008B0AFF"/>
    <w:rsid w:val="008B0C5A"/>
    <w:rsid w:val="008B0CDA"/>
    <w:rsid w:val="008B0EA3"/>
    <w:rsid w:val="008B0F0D"/>
    <w:rsid w:val="008B1511"/>
    <w:rsid w:val="008B1709"/>
    <w:rsid w:val="008B23BC"/>
    <w:rsid w:val="008B2A09"/>
    <w:rsid w:val="008B2A99"/>
    <w:rsid w:val="008B2BD6"/>
    <w:rsid w:val="008B303E"/>
    <w:rsid w:val="008B3128"/>
    <w:rsid w:val="008B3AA4"/>
    <w:rsid w:val="008B449F"/>
    <w:rsid w:val="008B462C"/>
    <w:rsid w:val="008B47AD"/>
    <w:rsid w:val="008B59F1"/>
    <w:rsid w:val="008B5BF9"/>
    <w:rsid w:val="008B5DE5"/>
    <w:rsid w:val="008B65C6"/>
    <w:rsid w:val="008B7648"/>
    <w:rsid w:val="008B776D"/>
    <w:rsid w:val="008B7980"/>
    <w:rsid w:val="008B79C1"/>
    <w:rsid w:val="008C0A14"/>
    <w:rsid w:val="008C0E10"/>
    <w:rsid w:val="008C0FA2"/>
    <w:rsid w:val="008C154B"/>
    <w:rsid w:val="008C2E81"/>
    <w:rsid w:val="008C4863"/>
    <w:rsid w:val="008C4B78"/>
    <w:rsid w:val="008C5111"/>
    <w:rsid w:val="008C53CF"/>
    <w:rsid w:val="008C54B4"/>
    <w:rsid w:val="008C57A6"/>
    <w:rsid w:val="008C5970"/>
    <w:rsid w:val="008C5BE1"/>
    <w:rsid w:val="008C5E7A"/>
    <w:rsid w:val="008C735C"/>
    <w:rsid w:val="008C7426"/>
    <w:rsid w:val="008D08D3"/>
    <w:rsid w:val="008D0B53"/>
    <w:rsid w:val="008D1567"/>
    <w:rsid w:val="008D159C"/>
    <w:rsid w:val="008D15CC"/>
    <w:rsid w:val="008D171A"/>
    <w:rsid w:val="008D1AD4"/>
    <w:rsid w:val="008D1DB6"/>
    <w:rsid w:val="008D1EEC"/>
    <w:rsid w:val="008D20C1"/>
    <w:rsid w:val="008D27DA"/>
    <w:rsid w:val="008D2A2B"/>
    <w:rsid w:val="008D2C09"/>
    <w:rsid w:val="008D2CE0"/>
    <w:rsid w:val="008D31ED"/>
    <w:rsid w:val="008D32F4"/>
    <w:rsid w:val="008D42E8"/>
    <w:rsid w:val="008D4393"/>
    <w:rsid w:val="008D5D78"/>
    <w:rsid w:val="008D692A"/>
    <w:rsid w:val="008D6BB5"/>
    <w:rsid w:val="008D6D9F"/>
    <w:rsid w:val="008D70FA"/>
    <w:rsid w:val="008D764C"/>
    <w:rsid w:val="008D7C54"/>
    <w:rsid w:val="008E0409"/>
    <w:rsid w:val="008E0911"/>
    <w:rsid w:val="008E1259"/>
    <w:rsid w:val="008E1891"/>
    <w:rsid w:val="008E1B72"/>
    <w:rsid w:val="008E1D7F"/>
    <w:rsid w:val="008E258A"/>
    <w:rsid w:val="008E2D67"/>
    <w:rsid w:val="008E3BC8"/>
    <w:rsid w:val="008E3D60"/>
    <w:rsid w:val="008E3F4C"/>
    <w:rsid w:val="008E4779"/>
    <w:rsid w:val="008E4CDB"/>
    <w:rsid w:val="008E4EFE"/>
    <w:rsid w:val="008E534E"/>
    <w:rsid w:val="008E5637"/>
    <w:rsid w:val="008E583C"/>
    <w:rsid w:val="008E5CA3"/>
    <w:rsid w:val="008E5F84"/>
    <w:rsid w:val="008E793E"/>
    <w:rsid w:val="008E7F07"/>
    <w:rsid w:val="008F004F"/>
    <w:rsid w:val="008F0662"/>
    <w:rsid w:val="008F06B6"/>
    <w:rsid w:val="008F0A4D"/>
    <w:rsid w:val="008F0A96"/>
    <w:rsid w:val="008F2211"/>
    <w:rsid w:val="008F2638"/>
    <w:rsid w:val="008F2686"/>
    <w:rsid w:val="008F3595"/>
    <w:rsid w:val="008F3A56"/>
    <w:rsid w:val="008F3B70"/>
    <w:rsid w:val="008F4B3A"/>
    <w:rsid w:val="008F547A"/>
    <w:rsid w:val="008F6B7B"/>
    <w:rsid w:val="008F7236"/>
    <w:rsid w:val="008F7456"/>
    <w:rsid w:val="00900EE7"/>
    <w:rsid w:val="0090165F"/>
    <w:rsid w:val="00901B82"/>
    <w:rsid w:val="00901FA4"/>
    <w:rsid w:val="00902138"/>
    <w:rsid w:val="009022A3"/>
    <w:rsid w:val="0090249C"/>
    <w:rsid w:val="00902AB7"/>
    <w:rsid w:val="00902ECB"/>
    <w:rsid w:val="00902F00"/>
    <w:rsid w:val="00903284"/>
    <w:rsid w:val="009032BA"/>
    <w:rsid w:val="00904029"/>
    <w:rsid w:val="009040B1"/>
    <w:rsid w:val="009045DD"/>
    <w:rsid w:val="00904D6C"/>
    <w:rsid w:val="0090680C"/>
    <w:rsid w:val="00906DAA"/>
    <w:rsid w:val="00907D94"/>
    <w:rsid w:val="009103FC"/>
    <w:rsid w:val="00910B03"/>
    <w:rsid w:val="0091178A"/>
    <w:rsid w:val="00911FDC"/>
    <w:rsid w:val="009120CC"/>
    <w:rsid w:val="0091222F"/>
    <w:rsid w:val="00912416"/>
    <w:rsid w:val="00912B09"/>
    <w:rsid w:val="009137D3"/>
    <w:rsid w:val="009148C9"/>
    <w:rsid w:val="00915062"/>
    <w:rsid w:val="009152B5"/>
    <w:rsid w:val="009156B6"/>
    <w:rsid w:val="0091583A"/>
    <w:rsid w:val="00917396"/>
    <w:rsid w:val="00917593"/>
    <w:rsid w:val="00917820"/>
    <w:rsid w:val="00917AAA"/>
    <w:rsid w:val="0092023E"/>
    <w:rsid w:val="00920276"/>
    <w:rsid w:val="0092087B"/>
    <w:rsid w:val="00920B5D"/>
    <w:rsid w:val="00920E78"/>
    <w:rsid w:val="0092117C"/>
    <w:rsid w:val="009212F8"/>
    <w:rsid w:val="0092141D"/>
    <w:rsid w:val="00921C0C"/>
    <w:rsid w:val="00922A3B"/>
    <w:rsid w:val="009238D5"/>
    <w:rsid w:val="00924F3E"/>
    <w:rsid w:val="00925D4F"/>
    <w:rsid w:val="009261F9"/>
    <w:rsid w:val="009268C2"/>
    <w:rsid w:val="00926A63"/>
    <w:rsid w:val="00926F04"/>
    <w:rsid w:val="009272FC"/>
    <w:rsid w:val="00927492"/>
    <w:rsid w:val="00927CD2"/>
    <w:rsid w:val="009304CA"/>
    <w:rsid w:val="00930B1F"/>
    <w:rsid w:val="00930B7E"/>
    <w:rsid w:val="00930E8E"/>
    <w:rsid w:val="009312C6"/>
    <w:rsid w:val="00931896"/>
    <w:rsid w:val="009318AA"/>
    <w:rsid w:val="00932085"/>
    <w:rsid w:val="009325D3"/>
    <w:rsid w:val="00932D2F"/>
    <w:rsid w:val="00933307"/>
    <w:rsid w:val="00933382"/>
    <w:rsid w:val="00933C12"/>
    <w:rsid w:val="00933E3C"/>
    <w:rsid w:val="009343AB"/>
    <w:rsid w:val="0093446E"/>
    <w:rsid w:val="00934576"/>
    <w:rsid w:val="00934DE4"/>
    <w:rsid w:val="0093505E"/>
    <w:rsid w:val="00935576"/>
    <w:rsid w:val="00935CC8"/>
    <w:rsid w:val="00935F32"/>
    <w:rsid w:val="0093671F"/>
    <w:rsid w:val="00936A86"/>
    <w:rsid w:val="00936E41"/>
    <w:rsid w:val="00937189"/>
    <w:rsid w:val="0093724C"/>
    <w:rsid w:val="009378F4"/>
    <w:rsid w:val="00937972"/>
    <w:rsid w:val="00937C9A"/>
    <w:rsid w:val="009405C4"/>
    <w:rsid w:val="009407A2"/>
    <w:rsid w:val="00940BE4"/>
    <w:rsid w:val="00940E1B"/>
    <w:rsid w:val="00941090"/>
    <w:rsid w:val="009412FA"/>
    <w:rsid w:val="0094151B"/>
    <w:rsid w:val="0094205B"/>
    <w:rsid w:val="009421AB"/>
    <w:rsid w:val="0094231F"/>
    <w:rsid w:val="009423B4"/>
    <w:rsid w:val="009424B3"/>
    <w:rsid w:val="00942845"/>
    <w:rsid w:val="00943128"/>
    <w:rsid w:val="009432CC"/>
    <w:rsid w:val="0094379C"/>
    <w:rsid w:val="00943D72"/>
    <w:rsid w:val="00944404"/>
    <w:rsid w:val="00945211"/>
    <w:rsid w:val="00946913"/>
    <w:rsid w:val="00946A22"/>
    <w:rsid w:val="00946CFC"/>
    <w:rsid w:val="0094753B"/>
    <w:rsid w:val="00947837"/>
    <w:rsid w:val="00950222"/>
    <w:rsid w:val="00950706"/>
    <w:rsid w:val="009519C6"/>
    <w:rsid w:val="00951EB1"/>
    <w:rsid w:val="009522DB"/>
    <w:rsid w:val="00952FEE"/>
    <w:rsid w:val="009535D2"/>
    <w:rsid w:val="00953DBF"/>
    <w:rsid w:val="00953EBC"/>
    <w:rsid w:val="00954227"/>
    <w:rsid w:val="009542CC"/>
    <w:rsid w:val="009549E9"/>
    <w:rsid w:val="00954A38"/>
    <w:rsid w:val="00954A5D"/>
    <w:rsid w:val="00954A9A"/>
    <w:rsid w:val="00954FCC"/>
    <w:rsid w:val="00955227"/>
    <w:rsid w:val="0095531A"/>
    <w:rsid w:val="009557D8"/>
    <w:rsid w:val="0095608B"/>
    <w:rsid w:val="00956E9F"/>
    <w:rsid w:val="009572A1"/>
    <w:rsid w:val="00957517"/>
    <w:rsid w:val="00957CD5"/>
    <w:rsid w:val="0096093E"/>
    <w:rsid w:val="0096147F"/>
    <w:rsid w:val="009615F7"/>
    <w:rsid w:val="00961705"/>
    <w:rsid w:val="00961AA1"/>
    <w:rsid w:val="00961C4D"/>
    <w:rsid w:val="0096205C"/>
    <w:rsid w:val="009620D0"/>
    <w:rsid w:val="009621F6"/>
    <w:rsid w:val="0096248F"/>
    <w:rsid w:val="009628B3"/>
    <w:rsid w:val="00962FCB"/>
    <w:rsid w:val="009631E9"/>
    <w:rsid w:val="009639B9"/>
    <w:rsid w:val="00963A80"/>
    <w:rsid w:val="009640BA"/>
    <w:rsid w:val="0096466F"/>
    <w:rsid w:val="009649CE"/>
    <w:rsid w:val="0096562F"/>
    <w:rsid w:val="009657E5"/>
    <w:rsid w:val="00966C2F"/>
    <w:rsid w:val="00967BF0"/>
    <w:rsid w:val="00967DF1"/>
    <w:rsid w:val="00967FF4"/>
    <w:rsid w:val="0097067A"/>
    <w:rsid w:val="00970AD9"/>
    <w:rsid w:val="00970B9A"/>
    <w:rsid w:val="00971097"/>
    <w:rsid w:val="00971296"/>
    <w:rsid w:val="009716FB"/>
    <w:rsid w:val="00971931"/>
    <w:rsid w:val="00971B45"/>
    <w:rsid w:val="00971EFD"/>
    <w:rsid w:val="0097240E"/>
    <w:rsid w:val="009728A2"/>
    <w:rsid w:val="0097309B"/>
    <w:rsid w:val="00973C87"/>
    <w:rsid w:val="0097497F"/>
    <w:rsid w:val="0097512B"/>
    <w:rsid w:val="009752B0"/>
    <w:rsid w:val="009754BE"/>
    <w:rsid w:val="00975E05"/>
    <w:rsid w:val="00976550"/>
    <w:rsid w:val="00976933"/>
    <w:rsid w:val="00976A2F"/>
    <w:rsid w:val="00976AD3"/>
    <w:rsid w:val="00976B6A"/>
    <w:rsid w:val="00976ED1"/>
    <w:rsid w:val="0097719A"/>
    <w:rsid w:val="009775D8"/>
    <w:rsid w:val="00977D64"/>
    <w:rsid w:val="00980655"/>
    <w:rsid w:val="00980C26"/>
    <w:rsid w:val="00981658"/>
    <w:rsid w:val="00981C62"/>
    <w:rsid w:val="00982266"/>
    <w:rsid w:val="0098260B"/>
    <w:rsid w:val="009829C9"/>
    <w:rsid w:val="00982DEB"/>
    <w:rsid w:val="00982EBC"/>
    <w:rsid w:val="009832E7"/>
    <w:rsid w:val="00983575"/>
    <w:rsid w:val="009835F3"/>
    <w:rsid w:val="00983A73"/>
    <w:rsid w:val="00984027"/>
    <w:rsid w:val="0098403E"/>
    <w:rsid w:val="009840E7"/>
    <w:rsid w:val="009848A1"/>
    <w:rsid w:val="009849ED"/>
    <w:rsid w:val="00984A03"/>
    <w:rsid w:val="00984CC3"/>
    <w:rsid w:val="00984DAF"/>
    <w:rsid w:val="0098536F"/>
    <w:rsid w:val="00986492"/>
    <w:rsid w:val="0098657F"/>
    <w:rsid w:val="00986DC9"/>
    <w:rsid w:val="00986FE3"/>
    <w:rsid w:val="009876D5"/>
    <w:rsid w:val="0098788E"/>
    <w:rsid w:val="00987B29"/>
    <w:rsid w:val="009908E7"/>
    <w:rsid w:val="00990998"/>
    <w:rsid w:val="00990A64"/>
    <w:rsid w:val="00991087"/>
    <w:rsid w:val="00991348"/>
    <w:rsid w:val="0099140B"/>
    <w:rsid w:val="00991973"/>
    <w:rsid w:val="00991CE0"/>
    <w:rsid w:val="00992577"/>
    <w:rsid w:val="00993128"/>
    <w:rsid w:val="0099373C"/>
    <w:rsid w:val="00995154"/>
    <w:rsid w:val="00995400"/>
    <w:rsid w:val="009957CA"/>
    <w:rsid w:val="009963F0"/>
    <w:rsid w:val="0099651F"/>
    <w:rsid w:val="009965BC"/>
    <w:rsid w:val="00997B9E"/>
    <w:rsid w:val="00997D40"/>
    <w:rsid w:val="00997DE9"/>
    <w:rsid w:val="009A01E7"/>
    <w:rsid w:val="009A036B"/>
    <w:rsid w:val="009A06BD"/>
    <w:rsid w:val="009A0CDC"/>
    <w:rsid w:val="009A114E"/>
    <w:rsid w:val="009A12EC"/>
    <w:rsid w:val="009A18EC"/>
    <w:rsid w:val="009A1AC7"/>
    <w:rsid w:val="009A1B25"/>
    <w:rsid w:val="009A1E2C"/>
    <w:rsid w:val="009A21CE"/>
    <w:rsid w:val="009A295D"/>
    <w:rsid w:val="009A2ECB"/>
    <w:rsid w:val="009A31E9"/>
    <w:rsid w:val="009A3939"/>
    <w:rsid w:val="009A3E86"/>
    <w:rsid w:val="009A420C"/>
    <w:rsid w:val="009A453F"/>
    <w:rsid w:val="009A49A1"/>
    <w:rsid w:val="009A4CE9"/>
    <w:rsid w:val="009A5523"/>
    <w:rsid w:val="009A55DE"/>
    <w:rsid w:val="009A5CAB"/>
    <w:rsid w:val="009A6E3C"/>
    <w:rsid w:val="009A6FA6"/>
    <w:rsid w:val="009A7176"/>
    <w:rsid w:val="009A7402"/>
    <w:rsid w:val="009A7FC2"/>
    <w:rsid w:val="009B12CE"/>
    <w:rsid w:val="009B1348"/>
    <w:rsid w:val="009B15FC"/>
    <w:rsid w:val="009B2304"/>
    <w:rsid w:val="009B2428"/>
    <w:rsid w:val="009B29E4"/>
    <w:rsid w:val="009B352E"/>
    <w:rsid w:val="009B3B7D"/>
    <w:rsid w:val="009B3C86"/>
    <w:rsid w:val="009B4268"/>
    <w:rsid w:val="009B4BDD"/>
    <w:rsid w:val="009B5A7C"/>
    <w:rsid w:val="009B5FCD"/>
    <w:rsid w:val="009B60C1"/>
    <w:rsid w:val="009B6495"/>
    <w:rsid w:val="009B6700"/>
    <w:rsid w:val="009B7393"/>
    <w:rsid w:val="009C024D"/>
    <w:rsid w:val="009C0688"/>
    <w:rsid w:val="009C0EFC"/>
    <w:rsid w:val="009C0FBC"/>
    <w:rsid w:val="009C1511"/>
    <w:rsid w:val="009C1773"/>
    <w:rsid w:val="009C179D"/>
    <w:rsid w:val="009C23FF"/>
    <w:rsid w:val="009C2549"/>
    <w:rsid w:val="009C32A7"/>
    <w:rsid w:val="009C3439"/>
    <w:rsid w:val="009C39AD"/>
    <w:rsid w:val="009C3D77"/>
    <w:rsid w:val="009C40F8"/>
    <w:rsid w:val="009C48CE"/>
    <w:rsid w:val="009C4B68"/>
    <w:rsid w:val="009C52AF"/>
    <w:rsid w:val="009C530D"/>
    <w:rsid w:val="009C5924"/>
    <w:rsid w:val="009C5BC3"/>
    <w:rsid w:val="009C5CC0"/>
    <w:rsid w:val="009C609A"/>
    <w:rsid w:val="009C67EF"/>
    <w:rsid w:val="009C698A"/>
    <w:rsid w:val="009C6A93"/>
    <w:rsid w:val="009C7674"/>
    <w:rsid w:val="009C796B"/>
    <w:rsid w:val="009D04B5"/>
    <w:rsid w:val="009D0822"/>
    <w:rsid w:val="009D0A6B"/>
    <w:rsid w:val="009D131E"/>
    <w:rsid w:val="009D1897"/>
    <w:rsid w:val="009D1F48"/>
    <w:rsid w:val="009D2205"/>
    <w:rsid w:val="009D2532"/>
    <w:rsid w:val="009D2AEC"/>
    <w:rsid w:val="009D2BAD"/>
    <w:rsid w:val="009D2E6A"/>
    <w:rsid w:val="009D2F73"/>
    <w:rsid w:val="009D33A7"/>
    <w:rsid w:val="009D34B4"/>
    <w:rsid w:val="009D488B"/>
    <w:rsid w:val="009D4C83"/>
    <w:rsid w:val="009D508B"/>
    <w:rsid w:val="009D5875"/>
    <w:rsid w:val="009D5AF8"/>
    <w:rsid w:val="009D5B2D"/>
    <w:rsid w:val="009D67F6"/>
    <w:rsid w:val="009D6F39"/>
    <w:rsid w:val="009D756C"/>
    <w:rsid w:val="009D7B6D"/>
    <w:rsid w:val="009E0591"/>
    <w:rsid w:val="009E0CF3"/>
    <w:rsid w:val="009E0D00"/>
    <w:rsid w:val="009E0FE1"/>
    <w:rsid w:val="009E1563"/>
    <w:rsid w:val="009E1FC6"/>
    <w:rsid w:val="009E2227"/>
    <w:rsid w:val="009E31D7"/>
    <w:rsid w:val="009E364B"/>
    <w:rsid w:val="009E36A1"/>
    <w:rsid w:val="009E4050"/>
    <w:rsid w:val="009E4164"/>
    <w:rsid w:val="009E467E"/>
    <w:rsid w:val="009E483C"/>
    <w:rsid w:val="009E5796"/>
    <w:rsid w:val="009E5C41"/>
    <w:rsid w:val="009E6864"/>
    <w:rsid w:val="009E78B0"/>
    <w:rsid w:val="009E7940"/>
    <w:rsid w:val="009E7B81"/>
    <w:rsid w:val="009F004D"/>
    <w:rsid w:val="009F01D2"/>
    <w:rsid w:val="009F06E3"/>
    <w:rsid w:val="009F1085"/>
    <w:rsid w:val="009F176E"/>
    <w:rsid w:val="009F2045"/>
    <w:rsid w:val="009F238C"/>
    <w:rsid w:val="009F268E"/>
    <w:rsid w:val="009F2728"/>
    <w:rsid w:val="009F28A4"/>
    <w:rsid w:val="009F2AD8"/>
    <w:rsid w:val="009F2EC6"/>
    <w:rsid w:val="009F33F3"/>
    <w:rsid w:val="009F3930"/>
    <w:rsid w:val="009F3B64"/>
    <w:rsid w:val="009F3D17"/>
    <w:rsid w:val="009F416D"/>
    <w:rsid w:val="009F4782"/>
    <w:rsid w:val="009F4EB4"/>
    <w:rsid w:val="009F689A"/>
    <w:rsid w:val="009F70D8"/>
    <w:rsid w:val="00A0034D"/>
    <w:rsid w:val="00A0041A"/>
    <w:rsid w:val="00A00B27"/>
    <w:rsid w:val="00A00C30"/>
    <w:rsid w:val="00A0129E"/>
    <w:rsid w:val="00A0158A"/>
    <w:rsid w:val="00A024D6"/>
    <w:rsid w:val="00A027C9"/>
    <w:rsid w:val="00A028CE"/>
    <w:rsid w:val="00A02B02"/>
    <w:rsid w:val="00A03061"/>
    <w:rsid w:val="00A03391"/>
    <w:rsid w:val="00A03858"/>
    <w:rsid w:val="00A038BC"/>
    <w:rsid w:val="00A03D9F"/>
    <w:rsid w:val="00A03FB3"/>
    <w:rsid w:val="00A0406E"/>
    <w:rsid w:val="00A041CC"/>
    <w:rsid w:val="00A044C7"/>
    <w:rsid w:val="00A047DA"/>
    <w:rsid w:val="00A04B37"/>
    <w:rsid w:val="00A04B8A"/>
    <w:rsid w:val="00A04F56"/>
    <w:rsid w:val="00A052A2"/>
    <w:rsid w:val="00A05E07"/>
    <w:rsid w:val="00A05F72"/>
    <w:rsid w:val="00A065B9"/>
    <w:rsid w:val="00A06796"/>
    <w:rsid w:val="00A0706D"/>
    <w:rsid w:val="00A07911"/>
    <w:rsid w:val="00A07AFF"/>
    <w:rsid w:val="00A11307"/>
    <w:rsid w:val="00A11B2E"/>
    <w:rsid w:val="00A12379"/>
    <w:rsid w:val="00A134F2"/>
    <w:rsid w:val="00A13AF3"/>
    <w:rsid w:val="00A1415C"/>
    <w:rsid w:val="00A14E1F"/>
    <w:rsid w:val="00A14E55"/>
    <w:rsid w:val="00A1513C"/>
    <w:rsid w:val="00A1574C"/>
    <w:rsid w:val="00A159BF"/>
    <w:rsid w:val="00A15D79"/>
    <w:rsid w:val="00A1625B"/>
    <w:rsid w:val="00A16325"/>
    <w:rsid w:val="00A16691"/>
    <w:rsid w:val="00A169B4"/>
    <w:rsid w:val="00A169CB"/>
    <w:rsid w:val="00A169F0"/>
    <w:rsid w:val="00A16B5E"/>
    <w:rsid w:val="00A16F38"/>
    <w:rsid w:val="00A17261"/>
    <w:rsid w:val="00A17B2C"/>
    <w:rsid w:val="00A17F0B"/>
    <w:rsid w:val="00A20353"/>
    <w:rsid w:val="00A2056A"/>
    <w:rsid w:val="00A209DE"/>
    <w:rsid w:val="00A20C86"/>
    <w:rsid w:val="00A21388"/>
    <w:rsid w:val="00A2259D"/>
    <w:rsid w:val="00A22E45"/>
    <w:rsid w:val="00A236AF"/>
    <w:rsid w:val="00A236F4"/>
    <w:rsid w:val="00A236F5"/>
    <w:rsid w:val="00A24117"/>
    <w:rsid w:val="00A24E4A"/>
    <w:rsid w:val="00A24E9D"/>
    <w:rsid w:val="00A24F85"/>
    <w:rsid w:val="00A255DA"/>
    <w:rsid w:val="00A25C9C"/>
    <w:rsid w:val="00A26354"/>
    <w:rsid w:val="00A26467"/>
    <w:rsid w:val="00A268CC"/>
    <w:rsid w:val="00A274AD"/>
    <w:rsid w:val="00A27791"/>
    <w:rsid w:val="00A278BF"/>
    <w:rsid w:val="00A27CA3"/>
    <w:rsid w:val="00A27E5F"/>
    <w:rsid w:val="00A306A6"/>
    <w:rsid w:val="00A30F32"/>
    <w:rsid w:val="00A31366"/>
    <w:rsid w:val="00A321CA"/>
    <w:rsid w:val="00A32FA7"/>
    <w:rsid w:val="00A339B8"/>
    <w:rsid w:val="00A33E16"/>
    <w:rsid w:val="00A33EE7"/>
    <w:rsid w:val="00A359E4"/>
    <w:rsid w:val="00A362FD"/>
    <w:rsid w:val="00A3679D"/>
    <w:rsid w:val="00A367EA"/>
    <w:rsid w:val="00A3689A"/>
    <w:rsid w:val="00A36AE8"/>
    <w:rsid w:val="00A37320"/>
    <w:rsid w:val="00A37969"/>
    <w:rsid w:val="00A400FD"/>
    <w:rsid w:val="00A40234"/>
    <w:rsid w:val="00A408DD"/>
    <w:rsid w:val="00A41355"/>
    <w:rsid w:val="00A41D59"/>
    <w:rsid w:val="00A428FA"/>
    <w:rsid w:val="00A42A30"/>
    <w:rsid w:val="00A430B2"/>
    <w:rsid w:val="00A438E8"/>
    <w:rsid w:val="00A43B92"/>
    <w:rsid w:val="00A43C78"/>
    <w:rsid w:val="00A43DF2"/>
    <w:rsid w:val="00A44495"/>
    <w:rsid w:val="00A4490B"/>
    <w:rsid w:val="00A4492D"/>
    <w:rsid w:val="00A44DD7"/>
    <w:rsid w:val="00A44EEC"/>
    <w:rsid w:val="00A450DC"/>
    <w:rsid w:val="00A45250"/>
    <w:rsid w:val="00A4556D"/>
    <w:rsid w:val="00A459E6"/>
    <w:rsid w:val="00A45E45"/>
    <w:rsid w:val="00A46107"/>
    <w:rsid w:val="00A466D6"/>
    <w:rsid w:val="00A46A9D"/>
    <w:rsid w:val="00A47265"/>
    <w:rsid w:val="00A474D0"/>
    <w:rsid w:val="00A47B57"/>
    <w:rsid w:val="00A47FB4"/>
    <w:rsid w:val="00A500C8"/>
    <w:rsid w:val="00A500C9"/>
    <w:rsid w:val="00A50772"/>
    <w:rsid w:val="00A508DB"/>
    <w:rsid w:val="00A5108E"/>
    <w:rsid w:val="00A51100"/>
    <w:rsid w:val="00A51203"/>
    <w:rsid w:val="00A51C1A"/>
    <w:rsid w:val="00A5201A"/>
    <w:rsid w:val="00A52344"/>
    <w:rsid w:val="00A52914"/>
    <w:rsid w:val="00A53166"/>
    <w:rsid w:val="00A533B4"/>
    <w:rsid w:val="00A541DE"/>
    <w:rsid w:val="00A54251"/>
    <w:rsid w:val="00A54D56"/>
    <w:rsid w:val="00A55B97"/>
    <w:rsid w:val="00A5611E"/>
    <w:rsid w:val="00A56D3D"/>
    <w:rsid w:val="00A56DF8"/>
    <w:rsid w:val="00A571DC"/>
    <w:rsid w:val="00A57704"/>
    <w:rsid w:val="00A60768"/>
    <w:rsid w:val="00A60A22"/>
    <w:rsid w:val="00A60AC6"/>
    <w:rsid w:val="00A610E3"/>
    <w:rsid w:val="00A61435"/>
    <w:rsid w:val="00A6179E"/>
    <w:rsid w:val="00A61CB9"/>
    <w:rsid w:val="00A624FD"/>
    <w:rsid w:val="00A6269A"/>
    <w:rsid w:val="00A6302F"/>
    <w:rsid w:val="00A637ED"/>
    <w:rsid w:val="00A64316"/>
    <w:rsid w:val="00A65296"/>
    <w:rsid w:val="00A653FB"/>
    <w:rsid w:val="00A65494"/>
    <w:rsid w:val="00A658C8"/>
    <w:rsid w:val="00A6597B"/>
    <w:rsid w:val="00A6676F"/>
    <w:rsid w:val="00A668F3"/>
    <w:rsid w:val="00A668F6"/>
    <w:rsid w:val="00A66EDB"/>
    <w:rsid w:val="00A67979"/>
    <w:rsid w:val="00A679BE"/>
    <w:rsid w:val="00A701C2"/>
    <w:rsid w:val="00A70653"/>
    <w:rsid w:val="00A70F15"/>
    <w:rsid w:val="00A71195"/>
    <w:rsid w:val="00A7120C"/>
    <w:rsid w:val="00A7121E"/>
    <w:rsid w:val="00A71393"/>
    <w:rsid w:val="00A7158A"/>
    <w:rsid w:val="00A71C1E"/>
    <w:rsid w:val="00A71E79"/>
    <w:rsid w:val="00A72187"/>
    <w:rsid w:val="00A722B1"/>
    <w:rsid w:val="00A72309"/>
    <w:rsid w:val="00A72F1C"/>
    <w:rsid w:val="00A744DE"/>
    <w:rsid w:val="00A749D4"/>
    <w:rsid w:val="00A74A7E"/>
    <w:rsid w:val="00A74ABE"/>
    <w:rsid w:val="00A74EA1"/>
    <w:rsid w:val="00A75A67"/>
    <w:rsid w:val="00A75D38"/>
    <w:rsid w:val="00A76AFA"/>
    <w:rsid w:val="00A771BD"/>
    <w:rsid w:val="00A77BF1"/>
    <w:rsid w:val="00A77CE0"/>
    <w:rsid w:val="00A804D9"/>
    <w:rsid w:val="00A8074B"/>
    <w:rsid w:val="00A80B0E"/>
    <w:rsid w:val="00A81514"/>
    <w:rsid w:val="00A81D62"/>
    <w:rsid w:val="00A824D6"/>
    <w:rsid w:val="00A829F4"/>
    <w:rsid w:val="00A82A94"/>
    <w:rsid w:val="00A83175"/>
    <w:rsid w:val="00A84AD9"/>
    <w:rsid w:val="00A8500F"/>
    <w:rsid w:val="00A850A5"/>
    <w:rsid w:val="00A85687"/>
    <w:rsid w:val="00A85A45"/>
    <w:rsid w:val="00A867A1"/>
    <w:rsid w:val="00A86808"/>
    <w:rsid w:val="00A87C41"/>
    <w:rsid w:val="00A87F00"/>
    <w:rsid w:val="00A90641"/>
    <w:rsid w:val="00A90C6D"/>
    <w:rsid w:val="00A90CFA"/>
    <w:rsid w:val="00A911B3"/>
    <w:rsid w:val="00A916E1"/>
    <w:rsid w:val="00A921F0"/>
    <w:rsid w:val="00A929B6"/>
    <w:rsid w:val="00A92E42"/>
    <w:rsid w:val="00A92F92"/>
    <w:rsid w:val="00A93CCE"/>
    <w:rsid w:val="00A93EC8"/>
    <w:rsid w:val="00A94D64"/>
    <w:rsid w:val="00A94F41"/>
    <w:rsid w:val="00A95907"/>
    <w:rsid w:val="00A960F3"/>
    <w:rsid w:val="00A96315"/>
    <w:rsid w:val="00A96892"/>
    <w:rsid w:val="00A96B8F"/>
    <w:rsid w:val="00A97CD9"/>
    <w:rsid w:val="00AA0B55"/>
    <w:rsid w:val="00AA0DDA"/>
    <w:rsid w:val="00AA2051"/>
    <w:rsid w:val="00AA2104"/>
    <w:rsid w:val="00AA22A3"/>
    <w:rsid w:val="00AA23B8"/>
    <w:rsid w:val="00AA2C6A"/>
    <w:rsid w:val="00AA31AF"/>
    <w:rsid w:val="00AA34AC"/>
    <w:rsid w:val="00AA3D78"/>
    <w:rsid w:val="00AA3E83"/>
    <w:rsid w:val="00AA4117"/>
    <w:rsid w:val="00AA4429"/>
    <w:rsid w:val="00AA4705"/>
    <w:rsid w:val="00AA4B85"/>
    <w:rsid w:val="00AA50CC"/>
    <w:rsid w:val="00AA5E38"/>
    <w:rsid w:val="00AA5EEB"/>
    <w:rsid w:val="00AA6048"/>
    <w:rsid w:val="00AA6C97"/>
    <w:rsid w:val="00AA7047"/>
    <w:rsid w:val="00AA75FC"/>
    <w:rsid w:val="00AB00FC"/>
    <w:rsid w:val="00AB094F"/>
    <w:rsid w:val="00AB0D9B"/>
    <w:rsid w:val="00AB14EC"/>
    <w:rsid w:val="00AB1893"/>
    <w:rsid w:val="00AB22F4"/>
    <w:rsid w:val="00AB25A4"/>
    <w:rsid w:val="00AB31EC"/>
    <w:rsid w:val="00AB35B1"/>
    <w:rsid w:val="00AB381A"/>
    <w:rsid w:val="00AB4052"/>
    <w:rsid w:val="00AB458C"/>
    <w:rsid w:val="00AB48A7"/>
    <w:rsid w:val="00AB555F"/>
    <w:rsid w:val="00AB5F71"/>
    <w:rsid w:val="00AB60AF"/>
    <w:rsid w:val="00AB60E5"/>
    <w:rsid w:val="00AB6E0D"/>
    <w:rsid w:val="00AB7378"/>
    <w:rsid w:val="00AB79EE"/>
    <w:rsid w:val="00AB7ECB"/>
    <w:rsid w:val="00AC033E"/>
    <w:rsid w:val="00AC03DE"/>
    <w:rsid w:val="00AC0EF2"/>
    <w:rsid w:val="00AC0FDB"/>
    <w:rsid w:val="00AC213C"/>
    <w:rsid w:val="00AC26A2"/>
    <w:rsid w:val="00AC2BFA"/>
    <w:rsid w:val="00AC2BFD"/>
    <w:rsid w:val="00AC2E11"/>
    <w:rsid w:val="00AC2F41"/>
    <w:rsid w:val="00AC306E"/>
    <w:rsid w:val="00AC3BA5"/>
    <w:rsid w:val="00AC402E"/>
    <w:rsid w:val="00AC4B2A"/>
    <w:rsid w:val="00AC4E91"/>
    <w:rsid w:val="00AC6128"/>
    <w:rsid w:val="00AC6FA4"/>
    <w:rsid w:val="00AC7122"/>
    <w:rsid w:val="00AC7E11"/>
    <w:rsid w:val="00AC7FB7"/>
    <w:rsid w:val="00AD010F"/>
    <w:rsid w:val="00AD0551"/>
    <w:rsid w:val="00AD0857"/>
    <w:rsid w:val="00AD1387"/>
    <w:rsid w:val="00AD28FC"/>
    <w:rsid w:val="00AD2D68"/>
    <w:rsid w:val="00AD3340"/>
    <w:rsid w:val="00AD3D5C"/>
    <w:rsid w:val="00AD4DAF"/>
    <w:rsid w:val="00AD505C"/>
    <w:rsid w:val="00AD53B0"/>
    <w:rsid w:val="00AD5450"/>
    <w:rsid w:val="00AD5539"/>
    <w:rsid w:val="00AD5D4F"/>
    <w:rsid w:val="00AD63A6"/>
    <w:rsid w:val="00AD6D10"/>
    <w:rsid w:val="00AD71E5"/>
    <w:rsid w:val="00AD7938"/>
    <w:rsid w:val="00AD7EA1"/>
    <w:rsid w:val="00AE14D8"/>
    <w:rsid w:val="00AE1B50"/>
    <w:rsid w:val="00AE23C5"/>
    <w:rsid w:val="00AE2494"/>
    <w:rsid w:val="00AE24CF"/>
    <w:rsid w:val="00AE273D"/>
    <w:rsid w:val="00AE276E"/>
    <w:rsid w:val="00AE2DBC"/>
    <w:rsid w:val="00AE2E05"/>
    <w:rsid w:val="00AE358A"/>
    <w:rsid w:val="00AE377F"/>
    <w:rsid w:val="00AE3DE0"/>
    <w:rsid w:val="00AE4F83"/>
    <w:rsid w:val="00AE51DE"/>
    <w:rsid w:val="00AE56A9"/>
    <w:rsid w:val="00AE644D"/>
    <w:rsid w:val="00AE64F8"/>
    <w:rsid w:val="00AE65B6"/>
    <w:rsid w:val="00AE6689"/>
    <w:rsid w:val="00AE6A42"/>
    <w:rsid w:val="00AE6EC3"/>
    <w:rsid w:val="00AF0432"/>
    <w:rsid w:val="00AF16A2"/>
    <w:rsid w:val="00AF16E0"/>
    <w:rsid w:val="00AF1953"/>
    <w:rsid w:val="00AF1E15"/>
    <w:rsid w:val="00AF1E4E"/>
    <w:rsid w:val="00AF23E9"/>
    <w:rsid w:val="00AF2417"/>
    <w:rsid w:val="00AF2609"/>
    <w:rsid w:val="00AF2B4A"/>
    <w:rsid w:val="00AF2BA8"/>
    <w:rsid w:val="00AF313A"/>
    <w:rsid w:val="00AF32D4"/>
    <w:rsid w:val="00AF36A5"/>
    <w:rsid w:val="00AF39F2"/>
    <w:rsid w:val="00AF3B9E"/>
    <w:rsid w:val="00AF402F"/>
    <w:rsid w:val="00AF4121"/>
    <w:rsid w:val="00AF4201"/>
    <w:rsid w:val="00AF44FC"/>
    <w:rsid w:val="00AF4657"/>
    <w:rsid w:val="00AF52B9"/>
    <w:rsid w:val="00AF5476"/>
    <w:rsid w:val="00AF5AA9"/>
    <w:rsid w:val="00AF6FB1"/>
    <w:rsid w:val="00AF705C"/>
    <w:rsid w:val="00AF7487"/>
    <w:rsid w:val="00AF7B4F"/>
    <w:rsid w:val="00B0000F"/>
    <w:rsid w:val="00B008AA"/>
    <w:rsid w:val="00B01F09"/>
    <w:rsid w:val="00B02B08"/>
    <w:rsid w:val="00B02EED"/>
    <w:rsid w:val="00B02FD8"/>
    <w:rsid w:val="00B03E3C"/>
    <w:rsid w:val="00B03F88"/>
    <w:rsid w:val="00B04864"/>
    <w:rsid w:val="00B04D91"/>
    <w:rsid w:val="00B05078"/>
    <w:rsid w:val="00B052DE"/>
    <w:rsid w:val="00B05E7C"/>
    <w:rsid w:val="00B062E2"/>
    <w:rsid w:val="00B06AFE"/>
    <w:rsid w:val="00B07AF2"/>
    <w:rsid w:val="00B07F19"/>
    <w:rsid w:val="00B103EF"/>
    <w:rsid w:val="00B10811"/>
    <w:rsid w:val="00B113D7"/>
    <w:rsid w:val="00B11A86"/>
    <w:rsid w:val="00B127EA"/>
    <w:rsid w:val="00B12B2C"/>
    <w:rsid w:val="00B12B6A"/>
    <w:rsid w:val="00B12FEF"/>
    <w:rsid w:val="00B1344E"/>
    <w:rsid w:val="00B136D8"/>
    <w:rsid w:val="00B13869"/>
    <w:rsid w:val="00B14EB7"/>
    <w:rsid w:val="00B153CA"/>
    <w:rsid w:val="00B15AAD"/>
    <w:rsid w:val="00B15C00"/>
    <w:rsid w:val="00B16AB3"/>
    <w:rsid w:val="00B16DD3"/>
    <w:rsid w:val="00B17290"/>
    <w:rsid w:val="00B17B7A"/>
    <w:rsid w:val="00B17B91"/>
    <w:rsid w:val="00B20463"/>
    <w:rsid w:val="00B20944"/>
    <w:rsid w:val="00B20A63"/>
    <w:rsid w:val="00B20CAF"/>
    <w:rsid w:val="00B21BFF"/>
    <w:rsid w:val="00B21EBD"/>
    <w:rsid w:val="00B22A63"/>
    <w:rsid w:val="00B22D1A"/>
    <w:rsid w:val="00B238A9"/>
    <w:rsid w:val="00B23F2F"/>
    <w:rsid w:val="00B240B8"/>
    <w:rsid w:val="00B24B08"/>
    <w:rsid w:val="00B24B1D"/>
    <w:rsid w:val="00B2516F"/>
    <w:rsid w:val="00B253F2"/>
    <w:rsid w:val="00B2559B"/>
    <w:rsid w:val="00B25C16"/>
    <w:rsid w:val="00B2640B"/>
    <w:rsid w:val="00B26692"/>
    <w:rsid w:val="00B26ACC"/>
    <w:rsid w:val="00B277E0"/>
    <w:rsid w:val="00B27A8E"/>
    <w:rsid w:val="00B27E35"/>
    <w:rsid w:val="00B27FBD"/>
    <w:rsid w:val="00B30184"/>
    <w:rsid w:val="00B3025C"/>
    <w:rsid w:val="00B306E3"/>
    <w:rsid w:val="00B30F41"/>
    <w:rsid w:val="00B31507"/>
    <w:rsid w:val="00B32105"/>
    <w:rsid w:val="00B3232A"/>
    <w:rsid w:val="00B325CE"/>
    <w:rsid w:val="00B32830"/>
    <w:rsid w:val="00B33716"/>
    <w:rsid w:val="00B33745"/>
    <w:rsid w:val="00B34946"/>
    <w:rsid w:val="00B350E9"/>
    <w:rsid w:val="00B3526B"/>
    <w:rsid w:val="00B3633F"/>
    <w:rsid w:val="00B36EF6"/>
    <w:rsid w:val="00B377A9"/>
    <w:rsid w:val="00B37927"/>
    <w:rsid w:val="00B4008D"/>
    <w:rsid w:val="00B40359"/>
    <w:rsid w:val="00B406C6"/>
    <w:rsid w:val="00B40C06"/>
    <w:rsid w:val="00B41238"/>
    <w:rsid w:val="00B41316"/>
    <w:rsid w:val="00B413BD"/>
    <w:rsid w:val="00B415FE"/>
    <w:rsid w:val="00B41916"/>
    <w:rsid w:val="00B41BDD"/>
    <w:rsid w:val="00B42DF7"/>
    <w:rsid w:val="00B44899"/>
    <w:rsid w:val="00B44A4B"/>
    <w:rsid w:val="00B44B88"/>
    <w:rsid w:val="00B44E9D"/>
    <w:rsid w:val="00B44FBE"/>
    <w:rsid w:val="00B44FE6"/>
    <w:rsid w:val="00B451C5"/>
    <w:rsid w:val="00B45C62"/>
    <w:rsid w:val="00B46390"/>
    <w:rsid w:val="00B46B32"/>
    <w:rsid w:val="00B470C5"/>
    <w:rsid w:val="00B4735A"/>
    <w:rsid w:val="00B47632"/>
    <w:rsid w:val="00B4791A"/>
    <w:rsid w:val="00B501E2"/>
    <w:rsid w:val="00B50643"/>
    <w:rsid w:val="00B5109A"/>
    <w:rsid w:val="00B51448"/>
    <w:rsid w:val="00B514AD"/>
    <w:rsid w:val="00B519FD"/>
    <w:rsid w:val="00B520BC"/>
    <w:rsid w:val="00B528C3"/>
    <w:rsid w:val="00B52E22"/>
    <w:rsid w:val="00B52F41"/>
    <w:rsid w:val="00B53003"/>
    <w:rsid w:val="00B5317A"/>
    <w:rsid w:val="00B53494"/>
    <w:rsid w:val="00B53569"/>
    <w:rsid w:val="00B535F6"/>
    <w:rsid w:val="00B53A24"/>
    <w:rsid w:val="00B54241"/>
    <w:rsid w:val="00B542E7"/>
    <w:rsid w:val="00B54C27"/>
    <w:rsid w:val="00B5517E"/>
    <w:rsid w:val="00B55374"/>
    <w:rsid w:val="00B55E5D"/>
    <w:rsid w:val="00B560A9"/>
    <w:rsid w:val="00B56740"/>
    <w:rsid w:val="00B569B4"/>
    <w:rsid w:val="00B5721F"/>
    <w:rsid w:val="00B57383"/>
    <w:rsid w:val="00B57528"/>
    <w:rsid w:val="00B603A9"/>
    <w:rsid w:val="00B608DD"/>
    <w:rsid w:val="00B612AF"/>
    <w:rsid w:val="00B61D99"/>
    <w:rsid w:val="00B6292F"/>
    <w:rsid w:val="00B63448"/>
    <w:rsid w:val="00B638E6"/>
    <w:rsid w:val="00B63D24"/>
    <w:rsid w:val="00B64026"/>
    <w:rsid w:val="00B640D9"/>
    <w:rsid w:val="00B64147"/>
    <w:rsid w:val="00B64307"/>
    <w:rsid w:val="00B64330"/>
    <w:rsid w:val="00B645BF"/>
    <w:rsid w:val="00B648A2"/>
    <w:rsid w:val="00B64D11"/>
    <w:rsid w:val="00B650B3"/>
    <w:rsid w:val="00B651ED"/>
    <w:rsid w:val="00B65C3E"/>
    <w:rsid w:val="00B65F4F"/>
    <w:rsid w:val="00B65FA0"/>
    <w:rsid w:val="00B66E96"/>
    <w:rsid w:val="00B67210"/>
    <w:rsid w:val="00B674C6"/>
    <w:rsid w:val="00B674F5"/>
    <w:rsid w:val="00B6795C"/>
    <w:rsid w:val="00B70221"/>
    <w:rsid w:val="00B702CF"/>
    <w:rsid w:val="00B70443"/>
    <w:rsid w:val="00B70449"/>
    <w:rsid w:val="00B70644"/>
    <w:rsid w:val="00B7130F"/>
    <w:rsid w:val="00B71365"/>
    <w:rsid w:val="00B715F4"/>
    <w:rsid w:val="00B71DA8"/>
    <w:rsid w:val="00B720E0"/>
    <w:rsid w:val="00B7211D"/>
    <w:rsid w:val="00B7280F"/>
    <w:rsid w:val="00B73991"/>
    <w:rsid w:val="00B73AA8"/>
    <w:rsid w:val="00B7553C"/>
    <w:rsid w:val="00B75AD5"/>
    <w:rsid w:val="00B76102"/>
    <w:rsid w:val="00B7707B"/>
    <w:rsid w:val="00B775DF"/>
    <w:rsid w:val="00B77636"/>
    <w:rsid w:val="00B80658"/>
    <w:rsid w:val="00B807F8"/>
    <w:rsid w:val="00B812D0"/>
    <w:rsid w:val="00B81897"/>
    <w:rsid w:val="00B822C6"/>
    <w:rsid w:val="00B8231A"/>
    <w:rsid w:val="00B82E3C"/>
    <w:rsid w:val="00B83D03"/>
    <w:rsid w:val="00B852E8"/>
    <w:rsid w:val="00B85440"/>
    <w:rsid w:val="00B85750"/>
    <w:rsid w:val="00B85D84"/>
    <w:rsid w:val="00B86628"/>
    <w:rsid w:val="00B8685D"/>
    <w:rsid w:val="00B86B4C"/>
    <w:rsid w:val="00B87230"/>
    <w:rsid w:val="00B87645"/>
    <w:rsid w:val="00B87921"/>
    <w:rsid w:val="00B87CAE"/>
    <w:rsid w:val="00B87F8F"/>
    <w:rsid w:val="00B915EB"/>
    <w:rsid w:val="00B91986"/>
    <w:rsid w:val="00B91AD4"/>
    <w:rsid w:val="00B91BDF"/>
    <w:rsid w:val="00B91D7E"/>
    <w:rsid w:val="00B924E6"/>
    <w:rsid w:val="00B92906"/>
    <w:rsid w:val="00B93556"/>
    <w:rsid w:val="00B9367F"/>
    <w:rsid w:val="00B940EB"/>
    <w:rsid w:val="00B944A2"/>
    <w:rsid w:val="00B9471A"/>
    <w:rsid w:val="00B95119"/>
    <w:rsid w:val="00B956BF"/>
    <w:rsid w:val="00B959FF"/>
    <w:rsid w:val="00B95CBA"/>
    <w:rsid w:val="00B95D0F"/>
    <w:rsid w:val="00B9604C"/>
    <w:rsid w:val="00B96F98"/>
    <w:rsid w:val="00B9708F"/>
    <w:rsid w:val="00B97825"/>
    <w:rsid w:val="00BA056E"/>
    <w:rsid w:val="00BA05A5"/>
    <w:rsid w:val="00BA0F1C"/>
    <w:rsid w:val="00BA19E8"/>
    <w:rsid w:val="00BA1EE6"/>
    <w:rsid w:val="00BA2399"/>
    <w:rsid w:val="00BA262D"/>
    <w:rsid w:val="00BA2D45"/>
    <w:rsid w:val="00BA3008"/>
    <w:rsid w:val="00BA5698"/>
    <w:rsid w:val="00BA57AA"/>
    <w:rsid w:val="00BA61D5"/>
    <w:rsid w:val="00BA63AD"/>
    <w:rsid w:val="00BA72CB"/>
    <w:rsid w:val="00BA736C"/>
    <w:rsid w:val="00BA768F"/>
    <w:rsid w:val="00BA7CA7"/>
    <w:rsid w:val="00BB0645"/>
    <w:rsid w:val="00BB11FA"/>
    <w:rsid w:val="00BB1869"/>
    <w:rsid w:val="00BB22A8"/>
    <w:rsid w:val="00BB252E"/>
    <w:rsid w:val="00BB311B"/>
    <w:rsid w:val="00BB3143"/>
    <w:rsid w:val="00BB3245"/>
    <w:rsid w:val="00BB3378"/>
    <w:rsid w:val="00BB3B6C"/>
    <w:rsid w:val="00BB44C4"/>
    <w:rsid w:val="00BB4541"/>
    <w:rsid w:val="00BB4D3C"/>
    <w:rsid w:val="00BB5125"/>
    <w:rsid w:val="00BB5229"/>
    <w:rsid w:val="00BB59FA"/>
    <w:rsid w:val="00BB670D"/>
    <w:rsid w:val="00BB694C"/>
    <w:rsid w:val="00BB7265"/>
    <w:rsid w:val="00BB7696"/>
    <w:rsid w:val="00BB7B79"/>
    <w:rsid w:val="00BC0268"/>
    <w:rsid w:val="00BC03BD"/>
    <w:rsid w:val="00BC09AA"/>
    <w:rsid w:val="00BC127E"/>
    <w:rsid w:val="00BC1B2C"/>
    <w:rsid w:val="00BC206B"/>
    <w:rsid w:val="00BC293C"/>
    <w:rsid w:val="00BC2C07"/>
    <w:rsid w:val="00BC2CDA"/>
    <w:rsid w:val="00BC3189"/>
    <w:rsid w:val="00BC3294"/>
    <w:rsid w:val="00BC330A"/>
    <w:rsid w:val="00BC386C"/>
    <w:rsid w:val="00BC400C"/>
    <w:rsid w:val="00BC4454"/>
    <w:rsid w:val="00BC478A"/>
    <w:rsid w:val="00BC480D"/>
    <w:rsid w:val="00BC48E4"/>
    <w:rsid w:val="00BC4FB9"/>
    <w:rsid w:val="00BC5630"/>
    <w:rsid w:val="00BC5D3B"/>
    <w:rsid w:val="00BC5DAA"/>
    <w:rsid w:val="00BC6271"/>
    <w:rsid w:val="00BC62B2"/>
    <w:rsid w:val="00BC66F8"/>
    <w:rsid w:val="00BC7502"/>
    <w:rsid w:val="00BC7676"/>
    <w:rsid w:val="00BC79EB"/>
    <w:rsid w:val="00BC7E06"/>
    <w:rsid w:val="00BD03DA"/>
    <w:rsid w:val="00BD0511"/>
    <w:rsid w:val="00BD05D7"/>
    <w:rsid w:val="00BD077C"/>
    <w:rsid w:val="00BD0C17"/>
    <w:rsid w:val="00BD11E8"/>
    <w:rsid w:val="00BD154F"/>
    <w:rsid w:val="00BD16C3"/>
    <w:rsid w:val="00BD1AA8"/>
    <w:rsid w:val="00BD1E3E"/>
    <w:rsid w:val="00BD1ED2"/>
    <w:rsid w:val="00BD24BB"/>
    <w:rsid w:val="00BD2F27"/>
    <w:rsid w:val="00BD3248"/>
    <w:rsid w:val="00BD328B"/>
    <w:rsid w:val="00BD3601"/>
    <w:rsid w:val="00BD3B4C"/>
    <w:rsid w:val="00BD3E7E"/>
    <w:rsid w:val="00BD531B"/>
    <w:rsid w:val="00BD552F"/>
    <w:rsid w:val="00BD583A"/>
    <w:rsid w:val="00BD63FE"/>
    <w:rsid w:val="00BD69BA"/>
    <w:rsid w:val="00BD76F8"/>
    <w:rsid w:val="00BD77B4"/>
    <w:rsid w:val="00BD7E72"/>
    <w:rsid w:val="00BD7FCF"/>
    <w:rsid w:val="00BE0A02"/>
    <w:rsid w:val="00BE2829"/>
    <w:rsid w:val="00BE297C"/>
    <w:rsid w:val="00BE2A3E"/>
    <w:rsid w:val="00BE359F"/>
    <w:rsid w:val="00BE35E4"/>
    <w:rsid w:val="00BE3C8A"/>
    <w:rsid w:val="00BE3F19"/>
    <w:rsid w:val="00BE57FA"/>
    <w:rsid w:val="00BE60F4"/>
    <w:rsid w:val="00BE6C12"/>
    <w:rsid w:val="00BE6E6A"/>
    <w:rsid w:val="00BE6E7C"/>
    <w:rsid w:val="00BE78E3"/>
    <w:rsid w:val="00BE7B85"/>
    <w:rsid w:val="00BE7FB9"/>
    <w:rsid w:val="00BF0EAA"/>
    <w:rsid w:val="00BF1224"/>
    <w:rsid w:val="00BF1502"/>
    <w:rsid w:val="00BF210F"/>
    <w:rsid w:val="00BF29E8"/>
    <w:rsid w:val="00BF3224"/>
    <w:rsid w:val="00BF3356"/>
    <w:rsid w:val="00BF335A"/>
    <w:rsid w:val="00BF35BA"/>
    <w:rsid w:val="00BF4B8C"/>
    <w:rsid w:val="00BF4D54"/>
    <w:rsid w:val="00BF56D2"/>
    <w:rsid w:val="00BF5995"/>
    <w:rsid w:val="00BF5B43"/>
    <w:rsid w:val="00BF64DF"/>
    <w:rsid w:val="00BF6933"/>
    <w:rsid w:val="00BF6B27"/>
    <w:rsid w:val="00BF6C50"/>
    <w:rsid w:val="00BF6D88"/>
    <w:rsid w:val="00BF6E35"/>
    <w:rsid w:val="00BF6F56"/>
    <w:rsid w:val="00BF728B"/>
    <w:rsid w:val="00BF7DDA"/>
    <w:rsid w:val="00BF7E3D"/>
    <w:rsid w:val="00C0054E"/>
    <w:rsid w:val="00C00566"/>
    <w:rsid w:val="00C01370"/>
    <w:rsid w:val="00C01A4E"/>
    <w:rsid w:val="00C0262D"/>
    <w:rsid w:val="00C02FE3"/>
    <w:rsid w:val="00C03694"/>
    <w:rsid w:val="00C03A4B"/>
    <w:rsid w:val="00C050C2"/>
    <w:rsid w:val="00C0533B"/>
    <w:rsid w:val="00C0571A"/>
    <w:rsid w:val="00C05D54"/>
    <w:rsid w:val="00C05EA4"/>
    <w:rsid w:val="00C0662A"/>
    <w:rsid w:val="00C06666"/>
    <w:rsid w:val="00C071C7"/>
    <w:rsid w:val="00C079B7"/>
    <w:rsid w:val="00C07DD1"/>
    <w:rsid w:val="00C10C4E"/>
    <w:rsid w:val="00C11036"/>
    <w:rsid w:val="00C118A0"/>
    <w:rsid w:val="00C127BC"/>
    <w:rsid w:val="00C1306A"/>
    <w:rsid w:val="00C1386D"/>
    <w:rsid w:val="00C1414D"/>
    <w:rsid w:val="00C141A7"/>
    <w:rsid w:val="00C145FC"/>
    <w:rsid w:val="00C14CD2"/>
    <w:rsid w:val="00C15832"/>
    <w:rsid w:val="00C15A33"/>
    <w:rsid w:val="00C16028"/>
    <w:rsid w:val="00C164F4"/>
    <w:rsid w:val="00C16644"/>
    <w:rsid w:val="00C16C6A"/>
    <w:rsid w:val="00C16C91"/>
    <w:rsid w:val="00C17762"/>
    <w:rsid w:val="00C21316"/>
    <w:rsid w:val="00C216D0"/>
    <w:rsid w:val="00C21BD4"/>
    <w:rsid w:val="00C223EE"/>
    <w:rsid w:val="00C2255B"/>
    <w:rsid w:val="00C227DF"/>
    <w:rsid w:val="00C22AC4"/>
    <w:rsid w:val="00C22E5F"/>
    <w:rsid w:val="00C22E99"/>
    <w:rsid w:val="00C2321E"/>
    <w:rsid w:val="00C2343F"/>
    <w:rsid w:val="00C23721"/>
    <w:rsid w:val="00C2374A"/>
    <w:rsid w:val="00C23C5D"/>
    <w:rsid w:val="00C24195"/>
    <w:rsid w:val="00C24C3F"/>
    <w:rsid w:val="00C250B3"/>
    <w:rsid w:val="00C25249"/>
    <w:rsid w:val="00C25296"/>
    <w:rsid w:val="00C254BE"/>
    <w:rsid w:val="00C25BDA"/>
    <w:rsid w:val="00C26A63"/>
    <w:rsid w:val="00C27982"/>
    <w:rsid w:val="00C27F79"/>
    <w:rsid w:val="00C3019D"/>
    <w:rsid w:val="00C309DF"/>
    <w:rsid w:val="00C3118B"/>
    <w:rsid w:val="00C3128F"/>
    <w:rsid w:val="00C33104"/>
    <w:rsid w:val="00C335CF"/>
    <w:rsid w:val="00C3383A"/>
    <w:rsid w:val="00C341B4"/>
    <w:rsid w:val="00C347A4"/>
    <w:rsid w:val="00C34D4B"/>
    <w:rsid w:val="00C34DEB"/>
    <w:rsid w:val="00C34EDE"/>
    <w:rsid w:val="00C354AC"/>
    <w:rsid w:val="00C35C17"/>
    <w:rsid w:val="00C3664B"/>
    <w:rsid w:val="00C3673A"/>
    <w:rsid w:val="00C3703E"/>
    <w:rsid w:val="00C37251"/>
    <w:rsid w:val="00C4022F"/>
    <w:rsid w:val="00C40D55"/>
    <w:rsid w:val="00C411F5"/>
    <w:rsid w:val="00C4194E"/>
    <w:rsid w:val="00C419E1"/>
    <w:rsid w:val="00C41C78"/>
    <w:rsid w:val="00C44D63"/>
    <w:rsid w:val="00C44FA0"/>
    <w:rsid w:val="00C455A1"/>
    <w:rsid w:val="00C45A4D"/>
    <w:rsid w:val="00C45E35"/>
    <w:rsid w:val="00C463BA"/>
    <w:rsid w:val="00C46946"/>
    <w:rsid w:val="00C46C9F"/>
    <w:rsid w:val="00C47C93"/>
    <w:rsid w:val="00C501DB"/>
    <w:rsid w:val="00C504C2"/>
    <w:rsid w:val="00C509F3"/>
    <w:rsid w:val="00C51402"/>
    <w:rsid w:val="00C515A2"/>
    <w:rsid w:val="00C51D1B"/>
    <w:rsid w:val="00C522DF"/>
    <w:rsid w:val="00C53527"/>
    <w:rsid w:val="00C53836"/>
    <w:rsid w:val="00C53EEF"/>
    <w:rsid w:val="00C53F36"/>
    <w:rsid w:val="00C54B28"/>
    <w:rsid w:val="00C564DD"/>
    <w:rsid w:val="00C572C6"/>
    <w:rsid w:val="00C57590"/>
    <w:rsid w:val="00C5798D"/>
    <w:rsid w:val="00C604CD"/>
    <w:rsid w:val="00C606DB"/>
    <w:rsid w:val="00C608A6"/>
    <w:rsid w:val="00C621DB"/>
    <w:rsid w:val="00C62C36"/>
    <w:rsid w:val="00C62E94"/>
    <w:rsid w:val="00C633E5"/>
    <w:rsid w:val="00C6354E"/>
    <w:rsid w:val="00C63A0B"/>
    <w:rsid w:val="00C64060"/>
    <w:rsid w:val="00C642B9"/>
    <w:rsid w:val="00C65622"/>
    <w:rsid w:val="00C6590B"/>
    <w:rsid w:val="00C65A52"/>
    <w:rsid w:val="00C65C6C"/>
    <w:rsid w:val="00C65D5E"/>
    <w:rsid w:val="00C65EBB"/>
    <w:rsid w:val="00C668B2"/>
    <w:rsid w:val="00C66B11"/>
    <w:rsid w:val="00C66D85"/>
    <w:rsid w:val="00C67388"/>
    <w:rsid w:val="00C7079E"/>
    <w:rsid w:val="00C709B0"/>
    <w:rsid w:val="00C70B5C"/>
    <w:rsid w:val="00C71344"/>
    <w:rsid w:val="00C71791"/>
    <w:rsid w:val="00C72D9D"/>
    <w:rsid w:val="00C731B7"/>
    <w:rsid w:val="00C73207"/>
    <w:rsid w:val="00C73ADB"/>
    <w:rsid w:val="00C73DDB"/>
    <w:rsid w:val="00C74541"/>
    <w:rsid w:val="00C7462B"/>
    <w:rsid w:val="00C7484F"/>
    <w:rsid w:val="00C74C7B"/>
    <w:rsid w:val="00C7518C"/>
    <w:rsid w:val="00C751BB"/>
    <w:rsid w:val="00C75E53"/>
    <w:rsid w:val="00C760FB"/>
    <w:rsid w:val="00C76A49"/>
    <w:rsid w:val="00C770D1"/>
    <w:rsid w:val="00C77405"/>
    <w:rsid w:val="00C7767B"/>
    <w:rsid w:val="00C777BF"/>
    <w:rsid w:val="00C77F5E"/>
    <w:rsid w:val="00C80322"/>
    <w:rsid w:val="00C803B6"/>
    <w:rsid w:val="00C807DA"/>
    <w:rsid w:val="00C809BD"/>
    <w:rsid w:val="00C8109F"/>
    <w:rsid w:val="00C81673"/>
    <w:rsid w:val="00C818D3"/>
    <w:rsid w:val="00C819F2"/>
    <w:rsid w:val="00C81BA7"/>
    <w:rsid w:val="00C81EA4"/>
    <w:rsid w:val="00C81EDB"/>
    <w:rsid w:val="00C827F7"/>
    <w:rsid w:val="00C83039"/>
    <w:rsid w:val="00C83D06"/>
    <w:rsid w:val="00C84889"/>
    <w:rsid w:val="00C85210"/>
    <w:rsid w:val="00C8524E"/>
    <w:rsid w:val="00C85449"/>
    <w:rsid w:val="00C854D4"/>
    <w:rsid w:val="00C85902"/>
    <w:rsid w:val="00C85C27"/>
    <w:rsid w:val="00C85DA0"/>
    <w:rsid w:val="00C86218"/>
    <w:rsid w:val="00C86688"/>
    <w:rsid w:val="00C867C7"/>
    <w:rsid w:val="00C872ED"/>
    <w:rsid w:val="00C87783"/>
    <w:rsid w:val="00C878C9"/>
    <w:rsid w:val="00C878F2"/>
    <w:rsid w:val="00C87A80"/>
    <w:rsid w:val="00C87F98"/>
    <w:rsid w:val="00C90556"/>
    <w:rsid w:val="00C90E08"/>
    <w:rsid w:val="00C91886"/>
    <w:rsid w:val="00C925ED"/>
    <w:rsid w:val="00C92A94"/>
    <w:rsid w:val="00C92D57"/>
    <w:rsid w:val="00C930A5"/>
    <w:rsid w:val="00C934F9"/>
    <w:rsid w:val="00C9393F"/>
    <w:rsid w:val="00C93FC2"/>
    <w:rsid w:val="00C9465B"/>
    <w:rsid w:val="00C97AEE"/>
    <w:rsid w:val="00C97B7F"/>
    <w:rsid w:val="00CA031D"/>
    <w:rsid w:val="00CA0498"/>
    <w:rsid w:val="00CA0D78"/>
    <w:rsid w:val="00CA0DEB"/>
    <w:rsid w:val="00CA106C"/>
    <w:rsid w:val="00CA1E36"/>
    <w:rsid w:val="00CA2836"/>
    <w:rsid w:val="00CA2F1B"/>
    <w:rsid w:val="00CA32C6"/>
    <w:rsid w:val="00CA3CB9"/>
    <w:rsid w:val="00CA3D60"/>
    <w:rsid w:val="00CA4855"/>
    <w:rsid w:val="00CA57B0"/>
    <w:rsid w:val="00CA611E"/>
    <w:rsid w:val="00CA6337"/>
    <w:rsid w:val="00CA69D6"/>
    <w:rsid w:val="00CA6FFF"/>
    <w:rsid w:val="00CB02C6"/>
    <w:rsid w:val="00CB0B1B"/>
    <w:rsid w:val="00CB0C19"/>
    <w:rsid w:val="00CB10BC"/>
    <w:rsid w:val="00CB151F"/>
    <w:rsid w:val="00CB24FE"/>
    <w:rsid w:val="00CB2900"/>
    <w:rsid w:val="00CB337D"/>
    <w:rsid w:val="00CB3FF5"/>
    <w:rsid w:val="00CB4497"/>
    <w:rsid w:val="00CB4AD8"/>
    <w:rsid w:val="00CB5E3F"/>
    <w:rsid w:val="00CB68D9"/>
    <w:rsid w:val="00CB70E3"/>
    <w:rsid w:val="00CB7209"/>
    <w:rsid w:val="00CB731A"/>
    <w:rsid w:val="00CB797F"/>
    <w:rsid w:val="00CB7B72"/>
    <w:rsid w:val="00CC0540"/>
    <w:rsid w:val="00CC10BE"/>
    <w:rsid w:val="00CC17AE"/>
    <w:rsid w:val="00CC1BFB"/>
    <w:rsid w:val="00CC1E11"/>
    <w:rsid w:val="00CC1ED3"/>
    <w:rsid w:val="00CC2ADC"/>
    <w:rsid w:val="00CC43B9"/>
    <w:rsid w:val="00CC43C4"/>
    <w:rsid w:val="00CC48CE"/>
    <w:rsid w:val="00CC4DA7"/>
    <w:rsid w:val="00CC5E72"/>
    <w:rsid w:val="00CC606A"/>
    <w:rsid w:val="00CC64B5"/>
    <w:rsid w:val="00CC6ED3"/>
    <w:rsid w:val="00CC6FF7"/>
    <w:rsid w:val="00CC7CFF"/>
    <w:rsid w:val="00CC7D82"/>
    <w:rsid w:val="00CD0830"/>
    <w:rsid w:val="00CD0B32"/>
    <w:rsid w:val="00CD0E92"/>
    <w:rsid w:val="00CD16A9"/>
    <w:rsid w:val="00CD18A4"/>
    <w:rsid w:val="00CD1AE0"/>
    <w:rsid w:val="00CD2642"/>
    <w:rsid w:val="00CD2CC2"/>
    <w:rsid w:val="00CD2DDF"/>
    <w:rsid w:val="00CD3070"/>
    <w:rsid w:val="00CD317E"/>
    <w:rsid w:val="00CD403F"/>
    <w:rsid w:val="00CD4669"/>
    <w:rsid w:val="00CD493B"/>
    <w:rsid w:val="00CD4A50"/>
    <w:rsid w:val="00CD5009"/>
    <w:rsid w:val="00CD510B"/>
    <w:rsid w:val="00CD55C0"/>
    <w:rsid w:val="00CD58FD"/>
    <w:rsid w:val="00CD5B82"/>
    <w:rsid w:val="00CD6816"/>
    <w:rsid w:val="00CD707E"/>
    <w:rsid w:val="00CD731D"/>
    <w:rsid w:val="00CD73DB"/>
    <w:rsid w:val="00CE022D"/>
    <w:rsid w:val="00CE12EA"/>
    <w:rsid w:val="00CE1755"/>
    <w:rsid w:val="00CE283B"/>
    <w:rsid w:val="00CE304A"/>
    <w:rsid w:val="00CE3490"/>
    <w:rsid w:val="00CE3CE1"/>
    <w:rsid w:val="00CE4C81"/>
    <w:rsid w:val="00CE5FBB"/>
    <w:rsid w:val="00CE72BE"/>
    <w:rsid w:val="00CE7F24"/>
    <w:rsid w:val="00CF0D9E"/>
    <w:rsid w:val="00CF3264"/>
    <w:rsid w:val="00CF4182"/>
    <w:rsid w:val="00CF41B3"/>
    <w:rsid w:val="00CF495A"/>
    <w:rsid w:val="00CF4D09"/>
    <w:rsid w:val="00CF4D97"/>
    <w:rsid w:val="00CF545C"/>
    <w:rsid w:val="00CF5754"/>
    <w:rsid w:val="00CF5FD4"/>
    <w:rsid w:val="00CF6411"/>
    <w:rsid w:val="00CF6507"/>
    <w:rsid w:val="00CF6B4F"/>
    <w:rsid w:val="00CF742F"/>
    <w:rsid w:val="00CF7C65"/>
    <w:rsid w:val="00D00759"/>
    <w:rsid w:val="00D00E40"/>
    <w:rsid w:val="00D00E46"/>
    <w:rsid w:val="00D00E5A"/>
    <w:rsid w:val="00D010EA"/>
    <w:rsid w:val="00D01252"/>
    <w:rsid w:val="00D01BF3"/>
    <w:rsid w:val="00D0240B"/>
    <w:rsid w:val="00D02514"/>
    <w:rsid w:val="00D02C97"/>
    <w:rsid w:val="00D03116"/>
    <w:rsid w:val="00D0331F"/>
    <w:rsid w:val="00D03FBA"/>
    <w:rsid w:val="00D0427E"/>
    <w:rsid w:val="00D05351"/>
    <w:rsid w:val="00D06360"/>
    <w:rsid w:val="00D06417"/>
    <w:rsid w:val="00D06E5E"/>
    <w:rsid w:val="00D073D4"/>
    <w:rsid w:val="00D076BA"/>
    <w:rsid w:val="00D0770D"/>
    <w:rsid w:val="00D07FF0"/>
    <w:rsid w:val="00D104F3"/>
    <w:rsid w:val="00D1079D"/>
    <w:rsid w:val="00D11893"/>
    <w:rsid w:val="00D119B9"/>
    <w:rsid w:val="00D119CD"/>
    <w:rsid w:val="00D1224A"/>
    <w:rsid w:val="00D1288D"/>
    <w:rsid w:val="00D12AE9"/>
    <w:rsid w:val="00D13C5A"/>
    <w:rsid w:val="00D14EAA"/>
    <w:rsid w:val="00D15C8C"/>
    <w:rsid w:val="00D16172"/>
    <w:rsid w:val="00D16D53"/>
    <w:rsid w:val="00D1748E"/>
    <w:rsid w:val="00D175B1"/>
    <w:rsid w:val="00D17D89"/>
    <w:rsid w:val="00D17DB1"/>
    <w:rsid w:val="00D20151"/>
    <w:rsid w:val="00D2136F"/>
    <w:rsid w:val="00D21A64"/>
    <w:rsid w:val="00D222F3"/>
    <w:rsid w:val="00D2286F"/>
    <w:rsid w:val="00D230E9"/>
    <w:rsid w:val="00D23639"/>
    <w:rsid w:val="00D23F84"/>
    <w:rsid w:val="00D244F8"/>
    <w:rsid w:val="00D247DF"/>
    <w:rsid w:val="00D249E1"/>
    <w:rsid w:val="00D249EA"/>
    <w:rsid w:val="00D24A8B"/>
    <w:rsid w:val="00D24D39"/>
    <w:rsid w:val="00D24FC7"/>
    <w:rsid w:val="00D25D75"/>
    <w:rsid w:val="00D25F57"/>
    <w:rsid w:val="00D2648E"/>
    <w:rsid w:val="00D26823"/>
    <w:rsid w:val="00D26846"/>
    <w:rsid w:val="00D26CBA"/>
    <w:rsid w:val="00D26FA7"/>
    <w:rsid w:val="00D30131"/>
    <w:rsid w:val="00D307E2"/>
    <w:rsid w:val="00D30874"/>
    <w:rsid w:val="00D30A61"/>
    <w:rsid w:val="00D30D83"/>
    <w:rsid w:val="00D31011"/>
    <w:rsid w:val="00D319F2"/>
    <w:rsid w:val="00D31D27"/>
    <w:rsid w:val="00D32167"/>
    <w:rsid w:val="00D323C4"/>
    <w:rsid w:val="00D327A5"/>
    <w:rsid w:val="00D32965"/>
    <w:rsid w:val="00D32BA6"/>
    <w:rsid w:val="00D32DBE"/>
    <w:rsid w:val="00D33004"/>
    <w:rsid w:val="00D339EE"/>
    <w:rsid w:val="00D33AD6"/>
    <w:rsid w:val="00D33CD5"/>
    <w:rsid w:val="00D343FA"/>
    <w:rsid w:val="00D34B21"/>
    <w:rsid w:val="00D353B0"/>
    <w:rsid w:val="00D356D8"/>
    <w:rsid w:val="00D3572B"/>
    <w:rsid w:val="00D359AA"/>
    <w:rsid w:val="00D35A26"/>
    <w:rsid w:val="00D35AE1"/>
    <w:rsid w:val="00D35DE5"/>
    <w:rsid w:val="00D35FF0"/>
    <w:rsid w:val="00D3622C"/>
    <w:rsid w:val="00D3642A"/>
    <w:rsid w:val="00D36A28"/>
    <w:rsid w:val="00D36B0C"/>
    <w:rsid w:val="00D378BC"/>
    <w:rsid w:val="00D413EE"/>
    <w:rsid w:val="00D418FF"/>
    <w:rsid w:val="00D4261C"/>
    <w:rsid w:val="00D42A59"/>
    <w:rsid w:val="00D43B26"/>
    <w:rsid w:val="00D43FA1"/>
    <w:rsid w:val="00D44588"/>
    <w:rsid w:val="00D44961"/>
    <w:rsid w:val="00D44B07"/>
    <w:rsid w:val="00D44C48"/>
    <w:rsid w:val="00D44D8E"/>
    <w:rsid w:val="00D45026"/>
    <w:rsid w:val="00D4559F"/>
    <w:rsid w:val="00D45853"/>
    <w:rsid w:val="00D45A2E"/>
    <w:rsid w:val="00D46311"/>
    <w:rsid w:val="00D4631A"/>
    <w:rsid w:val="00D469FF"/>
    <w:rsid w:val="00D46B9B"/>
    <w:rsid w:val="00D46C58"/>
    <w:rsid w:val="00D46D75"/>
    <w:rsid w:val="00D4705B"/>
    <w:rsid w:val="00D47228"/>
    <w:rsid w:val="00D47EAB"/>
    <w:rsid w:val="00D50250"/>
    <w:rsid w:val="00D5037F"/>
    <w:rsid w:val="00D50AE1"/>
    <w:rsid w:val="00D50C49"/>
    <w:rsid w:val="00D51128"/>
    <w:rsid w:val="00D515D9"/>
    <w:rsid w:val="00D51B77"/>
    <w:rsid w:val="00D51DD2"/>
    <w:rsid w:val="00D5202B"/>
    <w:rsid w:val="00D5245F"/>
    <w:rsid w:val="00D52A7A"/>
    <w:rsid w:val="00D52EC5"/>
    <w:rsid w:val="00D53218"/>
    <w:rsid w:val="00D53352"/>
    <w:rsid w:val="00D53D3F"/>
    <w:rsid w:val="00D53EE0"/>
    <w:rsid w:val="00D54158"/>
    <w:rsid w:val="00D543EA"/>
    <w:rsid w:val="00D55DF8"/>
    <w:rsid w:val="00D5673E"/>
    <w:rsid w:val="00D56B00"/>
    <w:rsid w:val="00D57A1D"/>
    <w:rsid w:val="00D6050D"/>
    <w:rsid w:val="00D60E2D"/>
    <w:rsid w:val="00D60E35"/>
    <w:rsid w:val="00D60E9D"/>
    <w:rsid w:val="00D60FDB"/>
    <w:rsid w:val="00D615BE"/>
    <w:rsid w:val="00D615C0"/>
    <w:rsid w:val="00D61E19"/>
    <w:rsid w:val="00D6362E"/>
    <w:rsid w:val="00D636ED"/>
    <w:rsid w:val="00D64A2C"/>
    <w:rsid w:val="00D6585F"/>
    <w:rsid w:val="00D65C76"/>
    <w:rsid w:val="00D65FC8"/>
    <w:rsid w:val="00D6659A"/>
    <w:rsid w:val="00D66631"/>
    <w:rsid w:val="00D66E82"/>
    <w:rsid w:val="00D67141"/>
    <w:rsid w:val="00D6715B"/>
    <w:rsid w:val="00D67534"/>
    <w:rsid w:val="00D67DD8"/>
    <w:rsid w:val="00D67DE9"/>
    <w:rsid w:val="00D67F79"/>
    <w:rsid w:val="00D70201"/>
    <w:rsid w:val="00D704A3"/>
    <w:rsid w:val="00D708B5"/>
    <w:rsid w:val="00D70A1F"/>
    <w:rsid w:val="00D714A3"/>
    <w:rsid w:val="00D725AC"/>
    <w:rsid w:val="00D729AD"/>
    <w:rsid w:val="00D72FF6"/>
    <w:rsid w:val="00D731E9"/>
    <w:rsid w:val="00D734C7"/>
    <w:rsid w:val="00D73806"/>
    <w:rsid w:val="00D73B11"/>
    <w:rsid w:val="00D742E7"/>
    <w:rsid w:val="00D744DA"/>
    <w:rsid w:val="00D75703"/>
    <w:rsid w:val="00D75731"/>
    <w:rsid w:val="00D757C6"/>
    <w:rsid w:val="00D757E9"/>
    <w:rsid w:val="00D75AA4"/>
    <w:rsid w:val="00D77495"/>
    <w:rsid w:val="00D77DEC"/>
    <w:rsid w:val="00D80209"/>
    <w:rsid w:val="00D810F1"/>
    <w:rsid w:val="00D816FF"/>
    <w:rsid w:val="00D81C99"/>
    <w:rsid w:val="00D824E3"/>
    <w:rsid w:val="00D82961"/>
    <w:rsid w:val="00D829C7"/>
    <w:rsid w:val="00D82D3E"/>
    <w:rsid w:val="00D8328B"/>
    <w:rsid w:val="00D8347E"/>
    <w:rsid w:val="00D83773"/>
    <w:rsid w:val="00D84071"/>
    <w:rsid w:val="00D84298"/>
    <w:rsid w:val="00D846B3"/>
    <w:rsid w:val="00D84A8A"/>
    <w:rsid w:val="00D85069"/>
    <w:rsid w:val="00D8534D"/>
    <w:rsid w:val="00D85390"/>
    <w:rsid w:val="00D853EF"/>
    <w:rsid w:val="00D86503"/>
    <w:rsid w:val="00D86504"/>
    <w:rsid w:val="00D8736B"/>
    <w:rsid w:val="00D8781E"/>
    <w:rsid w:val="00D907D5"/>
    <w:rsid w:val="00D90C11"/>
    <w:rsid w:val="00D90FE9"/>
    <w:rsid w:val="00D91AF0"/>
    <w:rsid w:val="00D91D57"/>
    <w:rsid w:val="00D91F54"/>
    <w:rsid w:val="00D93267"/>
    <w:rsid w:val="00D939C8"/>
    <w:rsid w:val="00D93D21"/>
    <w:rsid w:val="00D94270"/>
    <w:rsid w:val="00D9435C"/>
    <w:rsid w:val="00D94743"/>
    <w:rsid w:val="00D966F7"/>
    <w:rsid w:val="00D97389"/>
    <w:rsid w:val="00D97F11"/>
    <w:rsid w:val="00DA0046"/>
    <w:rsid w:val="00DA018B"/>
    <w:rsid w:val="00DA01B8"/>
    <w:rsid w:val="00DA08AE"/>
    <w:rsid w:val="00DA0F78"/>
    <w:rsid w:val="00DA2267"/>
    <w:rsid w:val="00DA25CB"/>
    <w:rsid w:val="00DA28D9"/>
    <w:rsid w:val="00DA2DC8"/>
    <w:rsid w:val="00DA2E75"/>
    <w:rsid w:val="00DA2F73"/>
    <w:rsid w:val="00DA3CE3"/>
    <w:rsid w:val="00DA4666"/>
    <w:rsid w:val="00DA46FD"/>
    <w:rsid w:val="00DA47AD"/>
    <w:rsid w:val="00DA4BF1"/>
    <w:rsid w:val="00DA5E11"/>
    <w:rsid w:val="00DA5F9D"/>
    <w:rsid w:val="00DA6951"/>
    <w:rsid w:val="00DA6CE6"/>
    <w:rsid w:val="00DA70B1"/>
    <w:rsid w:val="00DA73A1"/>
    <w:rsid w:val="00DB007F"/>
    <w:rsid w:val="00DB064C"/>
    <w:rsid w:val="00DB0C25"/>
    <w:rsid w:val="00DB0C8E"/>
    <w:rsid w:val="00DB0D7E"/>
    <w:rsid w:val="00DB0EAE"/>
    <w:rsid w:val="00DB14A5"/>
    <w:rsid w:val="00DB2724"/>
    <w:rsid w:val="00DB2791"/>
    <w:rsid w:val="00DB309F"/>
    <w:rsid w:val="00DB30ED"/>
    <w:rsid w:val="00DB3A6C"/>
    <w:rsid w:val="00DB3EC2"/>
    <w:rsid w:val="00DB422E"/>
    <w:rsid w:val="00DB492F"/>
    <w:rsid w:val="00DB4F6B"/>
    <w:rsid w:val="00DB5110"/>
    <w:rsid w:val="00DB5416"/>
    <w:rsid w:val="00DB63C2"/>
    <w:rsid w:val="00DB6693"/>
    <w:rsid w:val="00DB68FB"/>
    <w:rsid w:val="00DB6C47"/>
    <w:rsid w:val="00DB6DA8"/>
    <w:rsid w:val="00DB6FEC"/>
    <w:rsid w:val="00DB745B"/>
    <w:rsid w:val="00DB760F"/>
    <w:rsid w:val="00DB766D"/>
    <w:rsid w:val="00DC09C2"/>
    <w:rsid w:val="00DC0C39"/>
    <w:rsid w:val="00DC0E13"/>
    <w:rsid w:val="00DC2180"/>
    <w:rsid w:val="00DC2B44"/>
    <w:rsid w:val="00DC310B"/>
    <w:rsid w:val="00DC31F6"/>
    <w:rsid w:val="00DC3857"/>
    <w:rsid w:val="00DC4617"/>
    <w:rsid w:val="00DC462F"/>
    <w:rsid w:val="00DC5078"/>
    <w:rsid w:val="00DC6A2D"/>
    <w:rsid w:val="00DC6A47"/>
    <w:rsid w:val="00DC7E86"/>
    <w:rsid w:val="00DC7EE2"/>
    <w:rsid w:val="00DD02DD"/>
    <w:rsid w:val="00DD080F"/>
    <w:rsid w:val="00DD08A6"/>
    <w:rsid w:val="00DD092F"/>
    <w:rsid w:val="00DD098E"/>
    <w:rsid w:val="00DD1A86"/>
    <w:rsid w:val="00DD1C8B"/>
    <w:rsid w:val="00DD2394"/>
    <w:rsid w:val="00DD24D3"/>
    <w:rsid w:val="00DD5468"/>
    <w:rsid w:val="00DD5AAC"/>
    <w:rsid w:val="00DD62D7"/>
    <w:rsid w:val="00DD6583"/>
    <w:rsid w:val="00DD6A21"/>
    <w:rsid w:val="00DD7A86"/>
    <w:rsid w:val="00DD7D52"/>
    <w:rsid w:val="00DD7E3B"/>
    <w:rsid w:val="00DE0971"/>
    <w:rsid w:val="00DE1429"/>
    <w:rsid w:val="00DE14BE"/>
    <w:rsid w:val="00DE1AEB"/>
    <w:rsid w:val="00DE1D2C"/>
    <w:rsid w:val="00DE1E52"/>
    <w:rsid w:val="00DE254D"/>
    <w:rsid w:val="00DE2650"/>
    <w:rsid w:val="00DE26D9"/>
    <w:rsid w:val="00DE3588"/>
    <w:rsid w:val="00DE496A"/>
    <w:rsid w:val="00DE4EAB"/>
    <w:rsid w:val="00DE501A"/>
    <w:rsid w:val="00DE6075"/>
    <w:rsid w:val="00DE60CA"/>
    <w:rsid w:val="00DE6339"/>
    <w:rsid w:val="00DE699D"/>
    <w:rsid w:val="00DE6CED"/>
    <w:rsid w:val="00DE6D17"/>
    <w:rsid w:val="00DE6E9B"/>
    <w:rsid w:val="00DE7322"/>
    <w:rsid w:val="00DE7A5D"/>
    <w:rsid w:val="00DE7ACF"/>
    <w:rsid w:val="00DE7AE4"/>
    <w:rsid w:val="00DE7B32"/>
    <w:rsid w:val="00DF0D4B"/>
    <w:rsid w:val="00DF0E1B"/>
    <w:rsid w:val="00DF1BC6"/>
    <w:rsid w:val="00DF1E1C"/>
    <w:rsid w:val="00DF1EAD"/>
    <w:rsid w:val="00DF238F"/>
    <w:rsid w:val="00DF276C"/>
    <w:rsid w:val="00DF34F0"/>
    <w:rsid w:val="00DF3BA8"/>
    <w:rsid w:val="00DF3D7B"/>
    <w:rsid w:val="00DF3D91"/>
    <w:rsid w:val="00DF4570"/>
    <w:rsid w:val="00DF4A51"/>
    <w:rsid w:val="00DF4EFE"/>
    <w:rsid w:val="00DF4FDF"/>
    <w:rsid w:val="00DF50BE"/>
    <w:rsid w:val="00DF5E1D"/>
    <w:rsid w:val="00DF5FC3"/>
    <w:rsid w:val="00DF60AF"/>
    <w:rsid w:val="00DF650C"/>
    <w:rsid w:val="00DF6947"/>
    <w:rsid w:val="00DF6C3C"/>
    <w:rsid w:val="00E00749"/>
    <w:rsid w:val="00E00AB2"/>
    <w:rsid w:val="00E01030"/>
    <w:rsid w:val="00E016D0"/>
    <w:rsid w:val="00E01B6A"/>
    <w:rsid w:val="00E02641"/>
    <w:rsid w:val="00E02887"/>
    <w:rsid w:val="00E02932"/>
    <w:rsid w:val="00E02AC3"/>
    <w:rsid w:val="00E0305C"/>
    <w:rsid w:val="00E03511"/>
    <w:rsid w:val="00E0358C"/>
    <w:rsid w:val="00E036B7"/>
    <w:rsid w:val="00E03C82"/>
    <w:rsid w:val="00E03F5E"/>
    <w:rsid w:val="00E03FE3"/>
    <w:rsid w:val="00E042CB"/>
    <w:rsid w:val="00E044E2"/>
    <w:rsid w:val="00E04E6D"/>
    <w:rsid w:val="00E04E92"/>
    <w:rsid w:val="00E052F0"/>
    <w:rsid w:val="00E059D1"/>
    <w:rsid w:val="00E06298"/>
    <w:rsid w:val="00E078F1"/>
    <w:rsid w:val="00E10DB8"/>
    <w:rsid w:val="00E115D9"/>
    <w:rsid w:val="00E125D1"/>
    <w:rsid w:val="00E13837"/>
    <w:rsid w:val="00E141B4"/>
    <w:rsid w:val="00E141E9"/>
    <w:rsid w:val="00E1443A"/>
    <w:rsid w:val="00E14448"/>
    <w:rsid w:val="00E14876"/>
    <w:rsid w:val="00E159FB"/>
    <w:rsid w:val="00E164CB"/>
    <w:rsid w:val="00E1664A"/>
    <w:rsid w:val="00E167D9"/>
    <w:rsid w:val="00E16B4F"/>
    <w:rsid w:val="00E16C0E"/>
    <w:rsid w:val="00E16EB8"/>
    <w:rsid w:val="00E16EB9"/>
    <w:rsid w:val="00E17200"/>
    <w:rsid w:val="00E17598"/>
    <w:rsid w:val="00E175DD"/>
    <w:rsid w:val="00E17988"/>
    <w:rsid w:val="00E17ED4"/>
    <w:rsid w:val="00E2023F"/>
    <w:rsid w:val="00E2119D"/>
    <w:rsid w:val="00E216A0"/>
    <w:rsid w:val="00E21963"/>
    <w:rsid w:val="00E223EC"/>
    <w:rsid w:val="00E226BA"/>
    <w:rsid w:val="00E22A83"/>
    <w:rsid w:val="00E22B69"/>
    <w:rsid w:val="00E2334F"/>
    <w:rsid w:val="00E23D30"/>
    <w:rsid w:val="00E23EE8"/>
    <w:rsid w:val="00E24543"/>
    <w:rsid w:val="00E24838"/>
    <w:rsid w:val="00E24DE9"/>
    <w:rsid w:val="00E24FA3"/>
    <w:rsid w:val="00E25492"/>
    <w:rsid w:val="00E25C46"/>
    <w:rsid w:val="00E2672D"/>
    <w:rsid w:val="00E26B28"/>
    <w:rsid w:val="00E27596"/>
    <w:rsid w:val="00E301E3"/>
    <w:rsid w:val="00E30614"/>
    <w:rsid w:val="00E307E3"/>
    <w:rsid w:val="00E30B96"/>
    <w:rsid w:val="00E31465"/>
    <w:rsid w:val="00E3161F"/>
    <w:rsid w:val="00E317BF"/>
    <w:rsid w:val="00E319F8"/>
    <w:rsid w:val="00E31C22"/>
    <w:rsid w:val="00E32080"/>
    <w:rsid w:val="00E32469"/>
    <w:rsid w:val="00E328CD"/>
    <w:rsid w:val="00E32B18"/>
    <w:rsid w:val="00E32E71"/>
    <w:rsid w:val="00E33FF3"/>
    <w:rsid w:val="00E341E6"/>
    <w:rsid w:val="00E347BC"/>
    <w:rsid w:val="00E34E4E"/>
    <w:rsid w:val="00E34F9B"/>
    <w:rsid w:val="00E3580B"/>
    <w:rsid w:val="00E367A8"/>
    <w:rsid w:val="00E36B95"/>
    <w:rsid w:val="00E3703B"/>
    <w:rsid w:val="00E37252"/>
    <w:rsid w:val="00E37D02"/>
    <w:rsid w:val="00E4003F"/>
    <w:rsid w:val="00E41287"/>
    <w:rsid w:val="00E41754"/>
    <w:rsid w:val="00E41774"/>
    <w:rsid w:val="00E418B8"/>
    <w:rsid w:val="00E41C55"/>
    <w:rsid w:val="00E41CB3"/>
    <w:rsid w:val="00E427B9"/>
    <w:rsid w:val="00E429E3"/>
    <w:rsid w:val="00E43274"/>
    <w:rsid w:val="00E43674"/>
    <w:rsid w:val="00E44339"/>
    <w:rsid w:val="00E44403"/>
    <w:rsid w:val="00E44663"/>
    <w:rsid w:val="00E458F6"/>
    <w:rsid w:val="00E45954"/>
    <w:rsid w:val="00E46115"/>
    <w:rsid w:val="00E46410"/>
    <w:rsid w:val="00E464D0"/>
    <w:rsid w:val="00E46946"/>
    <w:rsid w:val="00E46DBA"/>
    <w:rsid w:val="00E4718B"/>
    <w:rsid w:val="00E47286"/>
    <w:rsid w:val="00E5013E"/>
    <w:rsid w:val="00E5038B"/>
    <w:rsid w:val="00E5043B"/>
    <w:rsid w:val="00E5146D"/>
    <w:rsid w:val="00E51567"/>
    <w:rsid w:val="00E519AE"/>
    <w:rsid w:val="00E51C34"/>
    <w:rsid w:val="00E51E3B"/>
    <w:rsid w:val="00E52CE4"/>
    <w:rsid w:val="00E5315C"/>
    <w:rsid w:val="00E535B6"/>
    <w:rsid w:val="00E53A78"/>
    <w:rsid w:val="00E53F34"/>
    <w:rsid w:val="00E558A1"/>
    <w:rsid w:val="00E558EC"/>
    <w:rsid w:val="00E565FE"/>
    <w:rsid w:val="00E566AE"/>
    <w:rsid w:val="00E56886"/>
    <w:rsid w:val="00E6017F"/>
    <w:rsid w:val="00E61054"/>
    <w:rsid w:val="00E615DC"/>
    <w:rsid w:val="00E61CFA"/>
    <w:rsid w:val="00E61DD5"/>
    <w:rsid w:val="00E6243E"/>
    <w:rsid w:val="00E627BB"/>
    <w:rsid w:val="00E62E86"/>
    <w:rsid w:val="00E62F6D"/>
    <w:rsid w:val="00E637D5"/>
    <w:rsid w:val="00E63803"/>
    <w:rsid w:val="00E63902"/>
    <w:rsid w:val="00E63DBF"/>
    <w:rsid w:val="00E643FB"/>
    <w:rsid w:val="00E64CB9"/>
    <w:rsid w:val="00E64DDD"/>
    <w:rsid w:val="00E66021"/>
    <w:rsid w:val="00E66B48"/>
    <w:rsid w:val="00E66BAA"/>
    <w:rsid w:val="00E66C26"/>
    <w:rsid w:val="00E66FBD"/>
    <w:rsid w:val="00E66FF5"/>
    <w:rsid w:val="00E67213"/>
    <w:rsid w:val="00E708C9"/>
    <w:rsid w:val="00E70B98"/>
    <w:rsid w:val="00E70D7F"/>
    <w:rsid w:val="00E713C9"/>
    <w:rsid w:val="00E71A67"/>
    <w:rsid w:val="00E71DE5"/>
    <w:rsid w:val="00E72139"/>
    <w:rsid w:val="00E72252"/>
    <w:rsid w:val="00E722F5"/>
    <w:rsid w:val="00E7231C"/>
    <w:rsid w:val="00E72CDF"/>
    <w:rsid w:val="00E72DDA"/>
    <w:rsid w:val="00E72F43"/>
    <w:rsid w:val="00E72F65"/>
    <w:rsid w:val="00E73300"/>
    <w:rsid w:val="00E7382A"/>
    <w:rsid w:val="00E73AF7"/>
    <w:rsid w:val="00E73BAD"/>
    <w:rsid w:val="00E73FBA"/>
    <w:rsid w:val="00E74188"/>
    <w:rsid w:val="00E7469C"/>
    <w:rsid w:val="00E74941"/>
    <w:rsid w:val="00E74F4B"/>
    <w:rsid w:val="00E75D4C"/>
    <w:rsid w:val="00E7665B"/>
    <w:rsid w:val="00E77236"/>
    <w:rsid w:val="00E803F7"/>
    <w:rsid w:val="00E808D4"/>
    <w:rsid w:val="00E81894"/>
    <w:rsid w:val="00E829A5"/>
    <w:rsid w:val="00E82B38"/>
    <w:rsid w:val="00E82CDD"/>
    <w:rsid w:val="00E838A5"/>
    <w:rsid w:val="00E8401F"/>
    <w:rsid w:val="00E843B8"/>
    <w:rsid w:val="00E84996"/>
    <w:rsid w:val="00E8505C"/>
    <w:rsid w:val="00E85194"/>
    <w:rsid w:val="00E858C0"/>
    <w:rsid w:val="00E86328"/>
    <w:rsid w:val="00E863FD"/>
    <w:rsid w:val="00E8678B"/>
    <w:rsid w:val="00E86B02"/>
    <w:rsid w:val="00E86FD8"/>
    <w:rsid w:val="00E8722E"/>
    <w:rsid w:val="00E87256"/>
    <w:rsid w:val="00E9093B"/>
    <w:rsid w:val="00E91434"/>
    <w:rsid w:val="00E91A71"/>
    <w:rsid w:val="00E924A3"/>
    <w:rsid w:val="00E92584"/>
    <w:rsid w:val="00E93207"/>
    <w:rsid w:val="00E93262"/>
    <w:rsid w:val="00E94211"/>
    <w:rsid w:val="00E944BB"/>
    <w:rsid w:val="00E94DFF"/>
    <w:rsid w:val="00E952E2"/>
    <w:rsid w:val="00E95BDE"/>
    <w:rsid w:val="00E96139"/>
    <w:rsid w:val="00E965E8"/>
    <w:rsid w:val="00E9686F"/>
    <w:rsid w:val="00E96A78"/>
    <w:rsid w:val="00E972CF"/>
    <w:rsid w:val="00E97575"/>
    <w:rsid w:val="00E97BCB"/>
    <w:rsid w:val="00E97DE1"/>
    <w:rsid w:val="00E97FE7"/>
    <w:rsid w:val="00EA1541"/>
    <w:rsid w:val="00EA15B8"/>
    <w:rsid w:val="00EA1628"/>
    <w:rsid w:val="00EA1A1B"/>
    <w:rsid w:val="00EA1C8F"/>
    <w:rsid w:val="00EA2210"/>
    <w:rsid w:val="00EA243E"/>
    <w:rsid w:val="00EA2A4D"/>
    <w:rsid w:val="00EA2BD4"/>
    <w:rsid w:val="00EA3139"/>
    <w:rsid w:val="00EA415D"/>
    <w:rsid w:val="00EA441F"/>
    <w:rsid w:val="00EA44D9"/>
    <w:rsid w:val="00EA45FB"/>
    <w:rsid w:val="00EA4633"/>
    <w:rsid w:val="00EA4C5D"/>
    <w:rsid w:val="00EA4CB8"/>
    <w:rsid w:val="00EA5329"/>
    <w:rsid w:val="00EA5612"/>
    <w:rsid w:val="00EA6367"/>
    <w:rsid w:val="00EA6A90"/>
    <w:rsid w:val="00EA7434"/>
    <w:rsid w:val="00EA7A9C"/>
    <w:rsid w:val="00EA7D3A"/>
    <w:rsid w:val="00EA7FA8"/>
    <w:rsid w:val="00EB0221"/>
    <w:rsid w:val="00EB02EF"/>
    <w:rsid w:val="00EB0AD6"/>
    <w:rsid w:val="00EB158D"/>
    <w:rsid w:val="00EB1869"/>
    <w:rsid w:val="00EB1876"/>
    <w:rsid w:val="00EB1FC5"/>
    <w:rsid w:val="00EB2132"/>
    <w:rsid w:val="00EB2961"/>
    <w:rsid w:val="00EB2D4E"/>
    <w:rsid w:val="00EB32B5"/>
    <w:rsid w:val="00EB32F1"/>
    <w:rsid w:val="00EB349E"/>
    <w:rsid w:val="00EB35BF"/>
    <w:rsid w:val="00EB3EA5"/>
    <w:rsid w:val="00EB4431"/>
    <w:rsid w:val="00EB4C9F"/>
    <w:rsid w:val="00EB4CBA"/>
    <w:rsid w:val="00EB50CC"/>
    <w:rsid w:val="00EB522C"/>
    <w:rsid w:val="00EB566A"/>
    <w:rsid w:val="00EB6A76"/>
    <w:rsid w:val="00EB6E01"/>
    <w:rsid w:val="00EB6E54"/>
    <w:rsid w:val="00EB6F58"/>
    <w:rsid w:val="00EB7660"/>
    <w:rsid w:val="00EB7E09"/>
    <w:rsid w:val="00EC0016"/>
    <w:rsid w:val="00EC01F4"/>
    <w:rsid w:val="00EC0358"/>
    <w:rsid w:val="00EC05B8"/>
    <w:rsid w:val="00EC062A"/>
    <w:rsid w:val="00EC0F47"/>
    <w:rsid w:val="00EC1240"/>
    <w:rsid w:val="00EC1ABA"/>
    <w:rsid w:val="00EC1F58"/>
    <w:rsid w:val="00EC2B5E"/>
    <w:rsid w:val="00EC2E83"/>
    <w:rsid w:val="00EC3646"/>
    <w:rsid w:val="00EC3BB8"/>
    <w:rsid w:val="00EC4589"/>
    <w:rsid w:val="00EC4891"/>
    <w:rsid w:val="00EC4B80"/>
    <w:rsid w:val="00EC4E16"/>
    <w:rsid w:val="00EC5910"/>
    <w:rsid w:val="00EC5AD2"/>
    <w:rsid w:val="00EC6B34"/>
    <w:rsid w:val="00EC6D18"/>
    <w:rsid w:val="00EC7035"/>
    <w:rsid w:val="00EC7097"/>
    <w:rsid w:val="00EC7330"/>
    <w:rsid w:val="00ED067C"/>
    <w:rsid w:val="00ED0F16"/>
    <w:rsid w:val="00ED12B4"/>
    <w:rsid w:val="00ED2509"/>
    <w:rsid w:val="00ED2691"/>
    <w:rsid w:val="00ED2A13"/>
    <w:rsid w:val="00ED3060"/>
    <w:rsid w:val="00ED318D"/>
    <w:rsid w:val="00ED31E4"/>
    <w:rsid w:val="00ED3613"/>
    <w:rsid w:val="00ED3CC1"/>
    <w:rsid w:val="00ED46C0"/>
    <w:rsid w:val="00ED5884"/>
    <w:rsid w:val="00ED607D"/>
    <w:rsid w:val="00ED6186"/>
    <w:rsid w:val="00ED6575"/>
    <w:rsid w:val="00ED6CC0"/>
    <w:rsid w:val="00ED707B"/>
    <w:rsid w:val="00ED7873"/>
    <w:rsid w:val="00ED7A3E"/>
    <w:rsid w:val="00EE0606"/>
    <w:rsid w:val="00EE075E"/>
    <w:rsid w:val="00EE2DFE"/>
    <w:rsid w:val="00EE2E4D"/>
    <w:rsid w:val="00EE3B78"/>
    <w:rsid w:val="00EE4015"/>
    <w:rsid w:val="00EE47DE"/>
    <w:rsid w:val="00EE4882"/>
    <w:rsid w:val="00EE48E5"/>
    <w:rsid w:val="00EE56CA"/>
    <w:rsid w:val="00EE5EDC"/>
    <w:rsid w:val="00EE607A"/>
    <w:rsid w:val="00EE616C"/>
    <w:rsid w:val="00EE74FC"/>
    <w:rsid w:val="00EF0073"/>
    <w:rsid w:val="00EF0731"/>
    <w:rsid w:val="00EF085B"/>
    <w:rsid w:val="00EF109D"/>
    <w:rsid w:val="00EF14D5"/>
    <w:rsid w:val="00EF17A3"/>
    <w:rsid w:val="00EF1A6B"/>
    <w:rsid w:val="00EF3520"/>
    <w:rsid w:val="00EF37CB"/>
    <w:rsid w:val="00EF3F65"/>
    <w:rsid w:val="00EF4319"/>
    <w:rsid w:val="00EF45CA"/>
    <w:rsid w:val="00EF4C13"/>
    <w:rsid w:val="00EF516B"/>
    <w:rsid w:val="00EF527A"/>
    <w:rsid w:val="00EF53D3"/>
    <w:rsid w:val="00EF5BCD"/>
    <w:rsid w:val="00EF6128"/>
    <w:rsid w:val="00EF7342"/>
    <w:rsid w:val="00EF73A0"/>
    <w:rsid w:val="00EF76E0"/>
    <w:rsid w:val="00EF76F6"/>
    <w:rsid w:val="00EF770D"/>
    <w:rsid w:val="00EF78B5"/>
    <w:rsid w:val="00F00398"/>
    <w:rsid w:val="00F00555"/>
    <w:rsid w:val="00F011F1"/>
    <w:rsid w:val="00F01202"/>
    <w:rsid w:val="00F0172D"/>
    <w:rsid w:val="00F01B3C"/>
    <w:rsid w:val="00F01F7D"/>
    <w:rsid w:val="00F0204D"/>
    <w:rsid w:val="00F0230F"/>
    <w:rsid w:val="00F0244C"/>
    <w:rsid w:val="00F02585"/>
    <w:rsid w:val="00F02702"/>
    <w:rsid w:val="00F02857"/>
    <w:rsid w:val="00F02BD4"/>
    <w:rsid w:val="00F03D5F"/>
    <w:rsid w:val="00F03DDC"/>
    <w:rsid w:val="00F03F38"/>
    <w:rsid w:val="00F03F9D"/>
    <w:rsid w:val="00F04728"/>
    <w:rsid w:val="00F04A46"/>
    <w:rsid w:val="00F04C49"/>
    <w:rsid w:val="00F04E73"/>
    <w:rsid w:val="00F04F17"/>
    <w:rsid w:val="00F05C0A"/>
    <w:rsid w:val="00F05D07"/>
    <w:rsid w:val="00F061BF"/>
    <w:rsid w:val="00F0658E"/>
    <w:rsid w:val="00F06685"/>
    <w:rsid w:val="00F06C38"/>
    <w:rsid w:val="00F06E64"/>
    <w:rsid w:val="00F07079"/>
    <w:rsid w:val="00F11373"/>
    <w:rsid w:val="00F11C92"/>
    <w:rsid w:val="00F127BC"/>
    <w:rsid w:val="00F136A0"/>
    <w:rsid w:val="00F13827"/>
    <w:rsid w:val="00F13D50"/>
    <w:rsid w:val="00F14C6D"/>
    <w:rsid w:val="00F14E49"/>
    <w:rsid w:val="00F15002"/>
    <w:rsid w:val="00F15149"/>
    <w:rsid w:val="00F15B62"/>
    <w:rsid w:val="00F1663F"/>
    <w:rsid w:val="00F168EF"/>
    <w:rsid w:val="00F1692F"/>
    <w:rsid w:val="00F16BC8"/>
    <w:rsid w:val="00F17299"/>
    <w:rsid w:val="00F17B3D"/>
    <w:rsid w:val="00F17EE8"/>
    <w:rsid w:val="00F206BF"/>
    <w:rsid w:val="00F20A85"/>
    <w:rsid w:val="00F20D5B"/>
    <w:rsid w:val="00F21022"/>
    <w:rsid w:val="00F214D7"/>
    <w:rsid w:val="00F214F5"/>
    <w:rsid w:val="00F21DB5"/>
    <w:rsid w:val="00F21F49"/>
    <w:rsid w:val="00F233C4"/>
    <w:rsid w:val="00F233EF"/>
    <w:rsid w:val="00F2348B"/>
    <w:rsid w:val="00F23E6F"/>
    <w:rsid w:val="00F245AF"/>
    <w:rsid w:val="00F24DCF"/>
    <w:rsid w:val="00F2511A"/>
    <w:rsid w:val="00F25557"/>
    <w:rsid w:val="00F25AA7"/>
    <w:rsid w:val="00F25F6C"/>
    <w:rsid w:val="00F2611F"/>
    <w:rsid w:val="00F30581"/>
    <w:rsid w:val="00F31333"/>
    <w:rsid w:val="00F31A98"/>
    <w:rsid w:val="00F31C5F"/>
    <w:rsid w:val="00F31C77"/>
    <w:rsid w:val="00F31CEA"/>
    <w:rsid w:val="00F31DAD"/>
    <w:rsid w:val="00F3234F"/>
    <w:rsid w:val="00F3248F"/>
    <w:rsid w:val="00F3282C"/>
    <w:rsid w:val="00F338F4"/>
    <w:rsid w:val="00F3392F"/>
    <w:rsid w:val="00F34823"/>
    <w:rsid w:val="00F35A56"/>
    <w:rsid w:val="00F361C6"/>
    <w:rsid w:val="00F362A0"/>
    <w:rsid w:val="00F363F8"/>
    <w:rsid w:val="00F3672E"/>
    <w:rsid w:val="00F36786"/>
    <w:rsid w:val="00F37AC9"/>
    <w:rsid w:val="00F40778"/>
    <w:rsid w:val="00F40DE4"/>
    <w:rsid w:val="00F40F77"/>
    <w:rsid w:val="00F411F9"/>
    <w:rsid w:val="00F4171C"/>
    <w:rsid w:val="00F417FD"/>
    <w:rsid w:val="00F4224A"/>
    <w:rsid w:val="00F42842"/>
    <w:rsid w:val="00F43181"/>
    <w:rsid w:val="00F43B12"/>
    <w:rsid w:val="00F43D4E"/>
    <w:rsid w:val="00F43F49"/>
    <w:rsid w:val="00F44088"/>
    <w:rsid w:val="00F440F3"/>
    <w:rsid w:val="00F44836"/>
    <w:rsid w:val="00F44908"/>
    <w:rsid w:val="00F44AB0"/>
    <w:rsid w:val="00F47C98"/>
    <w:rsid w:val="00F47CB9"/>
    <w:rsid w:val="00F47D17"/>
    <w:rsid w:val="00F504D8"/>
    <w:rsid w:val="00F50508"/>
    <w:rsid w:val="00F51B43"/>
    <w:rsid w:val="00F52123"/>
    <w:rsid w:val="00F523C3"/>
    <w:rsid w:val="00F528DB"/>
    <w:rsid w:val="00F52C57"/>
    <w:rsid w:val="00F53029"/>
    <w:rsid w:val="00F537F6"/>
    <w:rsid w:val="00F53D0B"/>
    <w:rsid w:val="00F54444"/>
    <w:rsid w:val="00F55052"/>
    <w:rsid w:val="00F55202"/>
    <w:rsid w:val="00F55692"/>
    <w:rsid w:val="00F56335"/>
    <w:rsid w:val="00F57243"/>
    <w:rsid w:val="00F573F1"/>
    <w:rsid w:val="00F574AF"/>
    <w:rsid w:val="00F575D6"/>
    <w:rsid w:val="00F6024F"/>
    <w:rsid w:val="00F60754"/>
    <w:rsid w:val="00F60F30"/>
    <w:rsid w:val="00F614A0"/>
    <w:rsid w:val="00F61892"/>
    <w:rsid w:val="00F61C77"/>
    <w:rsid w:val="00F624B5"/>
    <w:rsid w:val="00F62616"/>
    <w:rsid w:val="00F62DBA"/>
    <w:rsid w:val="00F62DE1"/>
    <w:rsid w:val="00F63553"/>
    <w:rsid w:val="00F63C99"/>
    <w:rsid w:val="00F642B0"/>
    <w:rsid w:val="00F65331"/>
    <w:rsid w:val="00F65729"/>
    <w:rsid w:val="00F66EBD"/>
    <w:rsid w:val="00F66FAB"/>
    <w:rsid w:val="00F67521"/>
    <w:rsid w:val="00F67878"/>
    <w:rsid w:val="00F6791E"/>
    <w:rsid w:val="00F70023"/>
    <w:rsid w:val="00F700DC"/>
    <w:rsid w:val="00F703AA"/>
    <w:rsid w:val="00F70B88"/>
    <w:rsid w:val="00F70B8D"/>
    <w:rsid w:val="00F71491"/>
    <w:rsid w:val="00F71511"/>
    <w:rsid w:val="00F728E6"/>
    <w:rsid w:val="00F729A9"/>
    <w:rsid w:val="00F72A6D"/>
    <w:rsid w:val="00F72BE7"/>
    <w:rsid w:val="00F72DCD"/>
    <w:rsid w:val="00F72F1A"/>
    <w:rsid w:val="00F73039"/>
    <w:rsid w:val="00F73E00"/>
    <w:rsid w:val="00F74291"/>
    <w:rsid w:val="00F74C57"/>
    <w:rsid w:val="00F74C75"/>
    <w:rsid w:val="00F7541F"/>
    <w:rsid w:val="00F75F06"/>
    <w:rsid w:val="00F76F31"/>
    <w:rsid w:val="00F774EE"/>
    <w:rsid w:val="00F77B85"/>
    <w:rsid w:val="00F80677"/>
    <w:rsid w:val="00F80FCE"/>
    <w:rsid w:val="00F814AA"/>
    <w:rsid w:val="00F82052"/>
    <w:rsid w:val="00F82703"/>
    <w:rsid w:val="00F8379E"/>
    <w:rsid w:val="00F837E4"/>
    <w:rsid w:val="00F840B8"/>
    <w:rsid w:val="00F84181"/>
    <w:rsid w:val="00F84676"/>
    <w:rsid w:val="00F84AB3"/>
    <w:rsid w:val="00F84C29"/>
    <w:rsid w:val="00F84DBB"/>
    <w:rsid w:val="00F84E0F"/>
    <w:rsid w:val="00F859CC"/>
    <w:rsid w:val="00F85E3F"/>
    <w:rsid w:val="00F86181"/>
    <w:rsid w:val="00F8622B"/>
    <w:rsid w:val="00F86978"/>
    <w:rsid w:val="00F870B9"/>
    <w:rsid w:val="00F90121"/>
    <w:rsid w:val="00F90712"/>
    <w:rsid w:val="00F90AF4"/>
    <w:rsid w:val="00F92886"/>
    <w:rsid w:val="00F93121"/>
    <w:rsid w:val="00F932EF"/>
    <w:rsid w:val="00F94409"/>
    <w:rsid w:val="00F94724"/>
    <w:rsid w:val="00F949B0"/>
    <w:rsid w:val="00F95270"/>
    <w:rsid w:val="00F959A0"/>
    <w:rsid w:val="00F95D96"/>
    <w:rsid w:val="00F9613C"/>
    <w:rsid w:val="00F97352"/>
    <w:rsid w:val="00FA0E15"/>
    <w:rsid w:val="00FA239D"/>
    <w:rsid w:val="00FA2AD8"/>
    <w:rsid w:val="00FA2EAC"/>
    <w:rsid w:val="00FA2FE7"/>
    <w:rsid w:val="00FA300A"/>
    <w:rsid w:val="00FA3C4F"/>
    <w:rsid w:val="00FA3C72"/>
    <w:rsid w:val="00FA3D03"/>
    <w:rsid w:val="00FA4916"/>
    <w:rsid w:val="00FA5023"/>
    <w:rsid w:val="00FA5226"/>
    <w:rsid w:val="00FA53E9"/>
    <w:rsid w:val="00FA58DA"/>
    <w:rsid w:val="00FA592C"/>
    <w:rsid w:val="00FA5C79"/>
    <w:rsid w:val="00FA5CB5"/>
    <w:rsid w:val="00FA5D19"/>
    <w:rsid w:val="00FA77B7"/>
    <w:rsid w:val="00FA7B9E"/>
    <w:rsid w:val="00FB0C62"/>
    <w:rsid w:val="00FB107F"/>
    <w:rsid w:val="00FB1677"/>
    <w:rsid w:val="00FB1AF8"/>
    <w:rsid w:val="00FB1B17"/>
    <w:rsid w:val="00FB22F5"/>
    <w:rsid w:val="00FB2A12"/>
    <w:rsid w:val="00FB3922"/>
    <w:rsid w:val="00FB3E78"/>
    <w:rsid w:val="00FB41F7"/>
    <w:rsid w:val="00FB4988"/>
    <w:rsid w:val="00FB4D9B"/>
    <w:rsid w:val="00FB541C"/>
    <w:rsid w:val="00FB5777"/>
    <w:rsid w:val="00FB5E88"/>
    <w:rsid w:val="00FB66E8"/>
    <w:rsid w:val="00FB6D82"/>
    <w:rsid w:val="00FB6F69"/>
    <w:rsid w:val="00FB7248"/>
    <w:rsid w:val="00FB7B92"/>
    <w:rsid w:val="00FC0ADF"/>
    <w:rsid w:val="00FC115B"/>
    <w:rsid w:val="00FC1C9A"/>
    <w:rsid w:val="00FC1D62"/>
    <w:rsid w:val="00FC1FA3"/>
    <w:rsid w:val="00FC2F07"/>
    <w:rsid w:val="00FC3B93"/>
    <w:rsid w:val="00FC4275"/>
    <w:rsid w:val="00FC4ED8"/>
    <w:rsid w:val="00FC5285"/>
    <w:rsid w:val="00FC56BB"/>
    <w:rsid w:val="00FC5E0E"/>
    <w:rsid w:val="00FC5F49"/>
    <w:rsid w:val="00FC5FCD"/>
    <w:rsid w:val="00FC66B2"/>
    <w:rsid w:val="00FC6834"/>
    <w:rsid w:val="00FC695E"/>
    <w:rsid w:val="00FC7387"/>
    <w:rsid w:val="00FC741F"/>
    <w:rsid w:val="00FC769B"/>
    <w:rsid w:val="00FC7E73"/>
    <w:rsid w:val="00FC7F74"/>
    <w:rsid w:val="00FD01B5"/>
    <w:rsid w:val="00FD065B"/>
    <w:rsid w:val="00FD09A8"/>
    <w:rsid w:val="00FD0B14"/>
    <w:rsid w:val="00FD0BFC"/>
    <w:rsid w:val="00FD101A"/>
    <w:rsid w:val="00FD121F"/>
    <w:rsid w:val="00FD15EE"/>
    <w:rsid w:val="00FD1941"/>
    <w:rsid w:val="00FD1E1D"/>
    <w:rsid w:val="00FD22FC"/>
    <w:rsid w:val="00FD2437"/>
    <w:rsid w:val="00FD263D"/>
    <w:rsid w:val="00FD30FC"/>
    <w:rsid w:val="00FD34C9"/>
    <w:rsid w:val="00FD3C84"/>
    <w:rsid w:val="00FD40AF"/>
    <w:rsid w:val="00FD45DB"/>
    <w:rsid w:val="00FD4A85"/>
    <w:rsid w:val="00FD4CE8"/>
    <w:rsid w:val="00FD4DC6"/>
    <w:rsid w:val="00FD4FF3"/>
    <w:rsid w:val="00FD5657"/>
    <w:rsid w:val="00FD69C9"/>
    <w:rsid w:val="00FD6ABF"/>
    <w:rsid w:val="00FD70E6"/>
    <w:rsid w:val="00FD7354"/>
    <w:rsid w:val="00FD7CAF"/>
    <w:rsid w:val="00FE0928"/>
    <w:rsid w:val="00FE0BEB"/>
    <w:rsid w:val="00FE154E"/>
    <w:rsid w:val="00FE18D2"/>
    <w:rsid w:val="00FE190A"/>
    <w:rsid w:val="00FE19D4"/>
    <w:rsid w:val="00FE1AE6"/>
    <w:rsid w:val="00FE1F21"/>
    <w:rsid w:val="00FE1FC5"/>
    <w:rsid w:val="00FE2235"/>
    <w:rsid w:val="00FE23D8"/>
    <w:rsid w:val="00FE2518"/>
    <w:rsid w:val="00FE2D1F"/>
    <w:rsid w:val="00FE37CB"/>
    <w:rsid w:val="00FE3D9B"/>
    <w:rsid w:val="00FE424D"/>
    <w:rsid w:val="00FE4432"/>
    <w:rsid w:val="00FE52DC"/>
    <w:rsid w:val="00FE5A44"/>
    <w:rsid w:val="00FE6691"/>
    <w:rsid w:val="00FE6857"/>
    <w:rsid w:val="00FE68D4"/>
    <w:rsid w:val="00FE6A42"/>
    <w:rsid w:val="00FE7777"/>
    <w:rsid w:val="00FE7A2A"/>
    <w:rsid w:val="00FF021E"/>
    <w:rsid w:val="00FF092B"/>
    <w:rsid w:val="00FF0DD2"/>
    <w:rsid w:val="00FF1300"/>
    <w:rsid w:val="00FF14B9"/>
    <w:rsid w:val="00FF16FA"/>
    <w:rsid w:val="00FF1BF1"/>
    <w:rsid w:val="00FF2077"/>
    <w:rsid w:val="00FF277E"/>
    <w:rsid w:val="00FF294E"/>
    <w:rsid w:val="00FF317E"/>
    <w:rsid w:val="00FF3343"/>
    <w:rsid w:val="00FF4965"/>
    <w:rsid w:val="00FF4A9D"/>
    <w:rsid w:val="00FF4ED0"/>
    <w:rsid w:val="00FF58B8"/>
    <w:rsid w:val="00FF6B50"/>
    <w:rsid w:val="00FF7281"/>
    <w:rsid w:val="00FF7E14"/>
    <w:rsid w:val="00FF7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C28100A"/>
  <w15:docId w15:val="{758EFA88-7BB2-4CE4-B495-E596B4DF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99"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03606D"/>
    <w:pPr>
      <w:tabs>
        <w:tab w:val="right" w:pos="2835"/>
        <w:tab w:val="right" w:pos="5670"/>
      </w:tabs>
      <w:spacing w:before="0" w:after="60"/>
    </w:pPr>
    <w:rPr>
      <w:color w:val="404040"/>
      <w:sz w:val="18"/>
    </w:rPr>
  </w:style>
  <w:style w:type="character" w:customStyle="1" w:styleId="FooterChar">
    <w:name w:val="Footer Char"/>
    <w:link w:val="Footer"/>
    <w:uiPriority w:val="99"/>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0219E4"/>
    <w:pPr>
      <w:tabs>
        <w:tab w:val="right" w:leader="dot" w:pos="9060"/>
      </w:tabs>
      <w:spacing w:before="0" w:after="120"/>
      <w:ind w:left="720" w:hanging="436"/>
    </w:pPr>
    <w:rPr>
      <w:b/>
      <w:noProof/>
    </w:rPr>
  </w:style>
  <w:style w:type="paragraph" w:styleId="TOC2">
    <w:name w:val="toc 2"/>
    <w:basedOn w:val="Normal"/>
    <w:next w:val="Normal"/>
    <w:autoRedefine/>
    <w:uiPriority w:val="39"/>
    <w:qFormat/>
    <w:locked/>
    <w:rsid w:val="0070605E"/>
    <w:pPr>
      <w:tabs>
        <w:tab w:val="right" w:leader="dot" w:pos="9060"/>
      </w:tabs>
      <w:spacing w:before="0" w:after="0"/>
      <w:ind w:left="958" w:hanging="720"/>
    </w:pPr>
    <w:rPr>
      <w:b/>
      <w:i/>
      <w:noProof/>
      <w:sz w:val="22"/>
      <w:szCs w:val="22"/>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s refss,Footnote number,Footnote,4_G,Stinking Styles"/>
    <w:uiPriority w:val="99"/>
    <w:qFormat/>
    <w:rsid w:val="000A1DB8"/>
    <w:rPr>
      <w:rFonts w:ascii="Arial" w:hAnsi="Arial"/>
      <w:sz w:val="20"/>
      <w:vertAlign w:val="superscript"/>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
    <w:basedOn w:val="Normal"/>
    <w:link w:val="FootnoteTextChar"/>
    <w:uiPriority w:val="99"/>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styleId="CommentReference">
    <w:name w:val="annotation reference"/>
    <w:basedOn w:val="DefaultParagraphFont"/>
    <w:locked/>
    <w:rsid w:val="00E708C9"/>
    <w:rPr>
      <w:sz w:val="16"/>
      <w:szCs w:val="16"/>
    </w:rPr>
  </w:style>
  <w:style w:type="paragraph" w:styleId="CommentText">
    <w:name w:val="annotation text"/>
    <w:basedOn w:val="Normal"/>
    <w:link w:val="CommentTextChar"/>
    <w:locked/>
    <w:rsid w:val="00E708C9"/>
    <w:rPr>
      <w:sz w:val="20"/>
      <w:szCs w:val="20"/>
    </w:rPr>
  </w:style>
  <w:style w:type="character" w:customStyle="1" w:styleId="CommentTextChar">
    <w:name w:val="Comment Text Char"/>
    <w:basedOn w:val="DefaultParagraphFont"/>
    <w:link w:val="CommentText"/>
    <w:rsid w:val="00E708C9"/>
    <w:rPr>
      <w:rFonts w:ascii="Arial" w:eastAsia="MS Mincho" w:hAnsi="Arial"/>
    </w:rPr>
  </w:style>
  <w:style w:type="paragraph" w:styleId="CommentSubject">
    <w:name w:val="annotation subject"/>
    <w:basedOn w:val="CommentText"/>
    <w:next w:val="CommentText"/>
    <w:link w:val="CommentSubjectChar"/>
    <w:locked/>
    <w:rsid w:val="00E708C9"/>
    <w:rPr>
      <w:b/>
      <w:bCs/>
    </w:rPr>
  </w:style>
  <w:style w:type="character" w:customStyle="1" w:styleId="CommentSubjectChar">
    <w:name w:val="Comment Subject Char"/>
    <w:basedOn w:val="CommentTextChar"/>
    <w:link w:val="CommentSubject"/>
    <w:rsid w:val="00E708C9"/>
    <w:rPr>
      <w:rFonts w:ascii="Arial" w:eastAsia="MS Mincho" w:hAnsi="Arial"/>
      <w:b/>
      <w:bCs/>
    </w:rPr>
  </w:style>
  <w:style w:type="paragraph" w:styleId="ListParagraph">
    <w:name w:val="List Paragraph"/>
    <w:basedOn w:val="Normal"/>
    <w:uiPriority w:val="34"/>
    <w:qFormat/>
    <w:rsid w:val="00A541DE"/>
    <w:pPr>
      <w:ind w:left="720"/>
      <w:contextualSpacing/>
    </w:pPr>
  </w:style>
  <w:style w:type="character" w:customStyle="1" w:styleId="Bold">
    <w:name w:val="Bold"/>
    <w:uiPriority w:val="99"/>
    <w:rsid w:val="008E5F84"/>
    <w:rPr>
      <w:b/>
      <w:bCs/>
    </w:rPr>
  </w:style>
  <w:style w:type="paragraph" w:customStyle="1" w:styleId="NormalIndented">
    <w:name w:val="Normal Indented"/>
    <w:basedOn w:val="Quote"/>
    <w:qFormat/>
    <w:rsid w:val="008E5F84"/>
    <w:pPr>
      <w:keepLines/>
      <w:spacing w:before="0" w:after="200" w:line="288" w:lineRule="auto"/>
      <w:ind w:left="1247" w:right="0"/>
      <w:jc w:val="left"/>
    </w:pPr>
    <w:rPr>
      <w:rFonts w:eastAsiaTheme="minorEastAsia"/>
      <w:i w:val="0"/>
      <w:color w:val="000000" w:themeColor="text1"/>
      <w:lang w:val="it-IT" w:eastAsia="en-US"/>
    </w:rPr>
  </w:style>
  <w:style w:type="paragraph" w:styleId="Quote">
    <w:name w:val="Quote"/>
    <w:basedOn w:val="Normal"/>
    <w:next w:val="Normal"/>
    <w:link w:val="QuoteChar"/>
    <w:uiPriority w:val="29"/>
    <w:qFormat/>
    <w:rsid w:val="008E5F8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E5F84"/>
    <w:rPr>
      <w:rFonts w:ascii="Arial" w:eastAsia="MS Mincho" w:hAnsi="Arial"/>
      <w:i/>
      <w:iCs/>
      <w:color w:val="404040" w:themeColor="text1" w:themeTint="BF"/>
      <w:sz w:val="24"/>
      <w:szCs w:val="24"/>
    </w:rPr>
  </w:style>
  <w:style w:type="character" w:customStyle="1" w:styleId="A5">
    <w:name w:val="A5"/>
    <w:uiPriority w:val="99"/>
    <w:rsid w:val="00B41316"/>
    <w:rPr>
      <w:rFonts w:cs="Archer Book"/>
      <w:color w:val="000000"/>
      <w:sz w:val="20"/>
      <w:szCs w:val="20"/>
    </w:rPr>
  </w:style>
  <w:style w:type="paragraph" w:customStyle="1" w:styleId="Pa26">
    <w:name w:val="Pa26"/>
    <w:basedOn w:val="Normal"/>
    <w:next w:val="Normal"/>
    <w:uiPriority w:val="99"/>
    <w:rsid w:val="005C517A"/>
    <w:pPr>
      <w:autoSpaceDE w:val="0"/>
      <w:autoSpaceDN w:val="0"/>
      <w:adjustRightInd w:val="0"/>
      <w:spacing w:before="0" w:after="0" w:line="221" w:lineRule="atLeast"/>
    </w:pPr>
    <w:rPr>
      <w:rFonts w:ascii="Archer Book" w:eastAsia="Times New Roman" w:hAnsi="Archer Book"/>
    </w:rPr>
  </w:style>
  <w:style w:type="paragraph" w:customStyle="1" w:styleId="Pa3">
    <w:name w:val="Pa3"/>
    <w:basedOn w:val="Normal"/>
    <w:next w:val="Normal"/>
    <w:uiPriority w:val="99"/>
    <w:rsid w:val="005C517A"/>
    <w:pPr>
      <w:autoSpaceDE w:val="0"/>
      <w:autoSpaceDN w:val="0"/>
      <w:adjustRightInd w:val="0"/>
      <w:spacing w:before="0" w:after="0" w:line="201" w:lineRule="atLeast"/>
    </w:pPr>
    <w:rPr>
      <w:rFonts w:ascii="Archer Book" w:eastAsia="Times New Roman" w:hAnsi="Archer Book"/>
    </w:rPr>
  </w:style>
  <w:style w:type="paragraph" w:customStyle="1" w:styleId="Pa30">
    <w:name w:val="Pa30"/>
    <w:basedOn w:val="Normal"/>
    <w:next w:val="Normal"/>
    <w:uiPriority w:val="99"/>
    <w:rsid w:val="005C517A"/>
    <w:pPr>
      <w:autoSpaceDE w:val="0"/>
      <w:autoSpaceDN w:val="0"/>
      <w:adjustRightInd w:val="0"/>
      <w:spacing w:before="0" w:after="0" w:line="181" w:lineRule="atLeast"/>
    </w:pPr>
    <w:rPr>
      <w:rFonts w:ascii="Archer Book" w:eastAsia="Times New Roman" w:hAnsi="Archer Book"/>
    </w:rPr>
  </w:style>
  <w:style w:type="character" w:customStyle="1" w:styleId="A12">
    <w:name w:val="A12"/>
    <w:uiPriority w:val="99"/>
    <w:rsid w:val="005C517A"/>
    <w:rPr>
      <w:rFonts w:cs="Archer Book"/>
      <w:color w:val="000000"/>
      <w:sz w:val="10"/>
      <w:szCs w:val="10"/>
    </w:rPr>
  </w:style>
  <w:style w:type="character" w:customStyle="1" w:styleId="A10">
    <w:name w:val="A10"/>
    <w:uiPriority w:val="99"/>
    <w:rsid w:val="005C517A"/>
    <w:rPr>
      <w:rFonts w:cs="Archer Book"/>
      <w:color w:val="000000"/>
      <w:sz w:val="11"/>
      <w:szCs w:val="11"/>
    </w:rPr>
  </w:style>
  <w:style w:type="paragraph" w:customStyle="1" w:styleId="Pa33">
    <w:name w:val="Pa33"/>
    <w:basedOn w:val="Normal"/>
    <w:next w:val="Normal"/>
    <w:uiPriority w:val="99"/>
    <w:rsid w:val="005615E5"/>
    <w:pPr>
      <w:autoSpaceDE w:val="0"/>
      <w:autoSpaceDN w:val="0"/>
      <w:adjustRightInd w:val="0"/>
      <w:spacing w:before="0" w:after="0" w:line="201" w:lineRule="atLeast"/>
    </w:pPr>
    <w:rPr>
      <w:rFonts w:ascii="Archer Book" w:eastAsia="Times New Roman" w:hAnsi="Archer Book"/>
    </w:rPr>
  </w:style>
  <w:style w:type="character" w:customStyle="1" w:styleId="A7">
    <w:name w:val="A7"/>
    <w:uiPriority w:val="99"/>
    <w:rsid w:val="005615E5"/>
    <w:rPr>
      <w:rFonts w:cs="Archer Book"/>
      <w:color w:val="000000"/>
    </w:rPr>
  </w:style>
  <w:style w:type="paragraph" w:customStyle="1" w:styleId="Pa50">
    <w:name w:val="Pa50"/>
    <w:basedOn w:val="Normal"/>
    <w:next w:val="Normal"/>
    <w:uiPriority w:val="99"/>
    <w:rsid w:val="00881FA9"/>
    <w:pPr>
      <w:autoSpaceDE w:val="0"/>
      <w:autoSpaceDN w:val="0"/>
      <w:adjustRightInd w:val="0"/>
      <w:spacing w:before="0" w:after="0" w:line="201" w:lineRule="atLeast"/>
    </w:pPr>
    <w:rPr>
      <w:rFonts w:ascii="Archer Book" w:eastAsia="Times New Roman" w:hAnsi="Archer Book"/>
    </w:rPr>
  </w:style>
  <w:style w:type="paragraph" w:customStyle="1" w:styleId="Pa29">
    <w:name w:val="Pa29"/>
    <w:basedOn w:val="Normal"/>
    <w:next w:val="Normal"/>
    <w:uiPriority w:val="99"/>
    <w:rsid w:val="008078AD"/>
    <w:pPr>
      <w:autoSpaceDE w:val="0"/>
      <w:autoSpaceDN w:val="0"/>
      <w:adjustRightInd w:val="0"/>
      <w:spacing w:before="0" w:after="0" w:line="201" w:lineRule="atLeast"/>
    </w:pPr>
    <w:rPr>
      <w:rFonts w:ascii="Archer Book" w:eastAsia="Times New Roman" w:hAnsi="Archer Book"/>
    </w:rPr>
  </w:style>
  <w:style w:type="paragraph" w:customStyle="1" w:styleId="Pa42">
    <w:name w:val="Pa42"/>
    <w:basedOn w:val="Normal"/>
    <w:next w:val="Normal"/>
    <w:uiPriority w:val="99"/>
    <w:rsid w:val="0030626C"/>
    <w:pPr>
      <w:autoSpaceDE w:val="0"/>
      <w:autoSpaceDN w:val="0"/>
      <w:adjustRightInd w:val="0"/>
      <w:spacing w:before="0" w:after="0" w:line="221" w:lineRule="atLeast"/>
    </w:pPr>
    <w:rPr>
      <w:rFonts w:ascii="Archer Book" w:eastAsia="Times New Roman" w:hAnsi="Archer Book"/>
    </w:rPr>
  </w:style>
  <w:style w:type="paragraph" w:customStyle="1" w:styleId="Pa11">
    <w:name w:val="Pa11"/>
    <w:basedOn w:val="Normal"/>
    <w:next w:val="Normal"/>
    <w:uiPriority w:val="99"/>
    <w:rsid w:val="00822952"/>
    <w:pPr>
      <w:autoSpaceDE w:val="0"/>
      <w:autoSpaceDN w:val="0"/>
      <w:adjustRightInd w:val="0"/>
      <w:spacing w:before="0" w:after="0" w:line="201" w:lineRule="atLeast"/>
    </w:pPr>
    <w:rPr>
      <w:rFonts w:ascii="Archer Book" w:eastAsia="Times New Roman" w:hAnsi="Archer Book"/>
    </w:rPr>
  </w:style>
  <w:style w:type="character" w:customStyle="1" w:styleId="FootnoteTextChar">
    <w:name w:val="Footnote Text Char"/>
    <w:aliases w:val="Footnote Text Char Char Char Char Char Char Char,Footnote Text Char Char Char Char Char Char Char Char Char Char Char Char Char Char Char Char Char Char,C Char1"/>
    <w:link w:val="FootnoteText"/>
    <w:uiPriority w:val="99"/>
    <w:rsid w:val="009268C2"/>
    <w:rPr>
      <w:rFonts w:ascii="Arial" w:eastAsia="MS Mincho" w:hAnsi="Arial"/>
    </w:rPr>
  </w:style>
  <w:style w:type="paragraph" w:customStyle="1" w:styleId="MarginText">
    <w:name w:val="Margin Text"/>
    <w:basedOn w:val="Normal"/>
    <w:link w:val="MarginTextChar"/>
    <w:rsid w:val="005E12B5"/>
    <w:pPr>
      <w:adjustRightInd w:val="0"/>
      <w:spacing w:before="0"/>
      <w:jc w:val="both"/>
    </w:pPr>
    <w:rPr>
      <w:rFonts w:ascii="Times New Roman" w:eastAsia="STZhongsong" w:hAnsi="Times New Roman"/>
      <w:sz w:val="22"/>
      <w:szCs w:val="20"/>
      <w:lang w:eastAsia="zh-CN"/>
    </w:rPr>
  </w:style>
  <w:style w:type="character" w:customStyle="1" w:styleId="MarginTextChar">
    <w:name w:val="Margin Text Char"/>
    <w:basedOn w:val="DefaultParagraphFont"/>
    <w:link w:val="MarginText"/>
    <w:rsid w:val="005E12B5"/>
    <w:rPr>
      <w:rFonts w:eastAsia="STZhongsong"/>
      <w:sz w:val="22"/>
      <w:lang w:eastAsia="zh-CN"/>
    </w:rPr>
  </w:style>
  <w:style w:type="character" w:customStyle="1" w:styleId="SingleTxtGChar">
    <w:name w:val="_ Single Txt_G Char"/>
    <w:link w:val="SingleTxtG"/>
    <w:locked/>
    <w:rsid w:val="008B776D"/>
    <w:rPr>
      <w:lang w:val="en-GB" w:eastAsia="en-US"/>
    </w:rPr>
  </w:style>
  <w:style w:type="paragraph" w:customStyle="1" w:styleId="SingleTxtG">
    <w:name w:val="_ Single Txt_G"/>
    <w:basedOn w:val="Normal"/>
    <w:link w:val="SingleTxtGChar"/>
    <w:rsid w:val="008B776D"/>
    <w:pPr>
      <w:suppressAutoHyphens/>
      <w:spacing w:before="0" w:after="120" w:line="240" w:lineRule="atLeast"/>
      <w:ind w:left="1134" w:right="1134"/>
      <w:jc w:val="both"/>
    </w:pPr>
    <w:rPr>
      <w:rFonts w:ascii="Times New Roman" w:eastAsia="Times New Roman" w:hAnsi="Times New Roman"/>
      <w:sz w:val="20"/>
      <w:szCs w:val="20"/>
      <w:lang w:val="en-GB" w:eastAsia="en-US"/>
    </w:rPr>
  </w:style>
  <w:style w:type="paragraph" w:customStyle="1" w:styleId="Default">
    <w:name w:val="Default"/>
    <w:rsid w:val="00D25D75"/>
    <w:pPr>
      <w:autoSpaceDE w:val="0"/>
      <w:autoSpaceDN w:val="0"/>
      <w:adjustRightInd w:val="0"/>
    </w:pPr>
    <w:rPr>
      <w:rFonts w:ascii="Helvetica Neue" w:hAnsi="Helvetica Neue" w:cs="Helvetica Neue"/>
      <w:color w:val="000000"/>
      <w:sz w:val="24"/>
      <w:szCs w:val="24"/>
    </w:rPr>
  </w:style>
  <w:style w:type="character" w:customStyle="1" w:styleId="A11">
    <w:name w:val="A11"/>
    <w:uiPriority w:val="99"/>
    <w:rsid w:val="00D54158"/>
    <w:rPr>
      <w:rFonts w:ascii="Helvetica Neue" w:hAnsi="Helvetica Neue" w:cs="Helvetica Neue"/>
      <w:color w:val="000000"/>
      <w:sz w:val="10"/>
      <w:szCs w:val="10"/>
    </w:rPr>
  </w:style>
  <w:style w:type="paragraph" w:customStyle="1" w:styleId="H23G">
    <w:name w:val="_ H_2/3_G"/>
    <w:basedOn w:val="Normal"/>
    <w:next w:val="Normal"/>
    <w:link w:val="H23GChar"/>
    <w:rsid w:val="00A236F4"/>
    <w:pPr>
      <w:keepNext/>
      <w:keepLines/>
      <w:tabs>
        <w:tab w:val="right" w:pos="851"/>
      </w:tabs>
      <w:suppressAutoHyphens/>
      <w:spacing w:after="120" w:line="240" w:lineRule="exact"/>
      <w:ind w:left="1134" w:right="1134" w:hanging="1134"/>
    </w:pPr>
    <w:rPr>
      <w:rFonts w:ascii="Times New Roman" w:eastAsia="Times New Roman" w:hAnsi="Times New Roman"/>
      <w:b/>
      <w:sz w:val="20"/>
      <w:szCs w:val="20"/>
      <w:lang w:val="en-GB" w:eastAsia="en-US"/>
    </w:rPr>
  </w:style>
  <w:style w:type="character" w:customStyle="1" w:styleId="H23GChar">
    <w:name w:val="_ H_2/3_G Char"/>
    <w:link w:val="H23G"/>
    <w:locked/>
    <w:rsid w:val="00A236F4"/>
    <w:rPr>
      <w:b/>
      <w:lang w:val="en-GB" w:eastAsia="en-US"/>
    </w:rPr>
  </w:style>
  <w:style w:type="paragraph" w:customStyle="1" w:styleId="PFNumLevel4">
    <w:name w:val="PF (Num) Level 4"/>
    <w:basedOn w:val="Normal"/>
    <w:rsid w:val="001B402E"/>
    <w:pPr>
      <w:numPr>
        <w:ilvl w:val="3"/>
        <w:numId w:val="19"/>
      </w:numPr>
      <w:tabs>
        <w:tab w:val="clear" w:pos="3697"/>
      </w:tabs>
      <w:spacing w:before="120" w:after="120" w:line="276" w:lineRule="auto"/>
      <w:ind w:left="1702" w:hanging="851"/>
    </w:pPr>
    <w:rPr>
      <w:rFonts w:ascii="Calibri" w:eastAsia="Times New Roman" w:hAnsi="Calibri" w:cs="Calibri"/>
      <w:color w:val="000000"/>
      <w:sz w:val="22"/>
      <w:szCs w:val="20"/>
      <w:lang w:eastAsia="en-US"/>
    </w:rPr>
  </w:style>
  <w:style w:type="paragraph" w:customStyle="1" w:styleId="PFDashLevel2">
    <w:name w:val="PF Dash Level 2"/>
    <w:basedOn w:val="Normal"/>
    <w:rsid w:val="001B402E"/>
    <w:pPr>
      <w:numPr>
        <w:numId w:val="18"/>
      </w:numPr>
      <w:tabs>
        <w:tab w:val="left" w:pos="924"/>
        <w:tab w:val="left" w:pos="1848"/>
        <w:tab w:val="left" w:pos="3697"/>
        <w:tab w:val="left" w:pos="4621"/>
        <w:tab w:val="left" w:pos="5545"/>
        <w:tab w:val="left" w:pos="6469"/>
        <w:tab w:val="left" w:pos="7394"/>
        <w:tab w:val="left" w:pos="8318"/>
        <w:tab w:val="right" w:pos="8930"/>
      </w:tabs>
      <w:spacing w:before="120" w:after="120" w:line="276" w:lineRule="auto"/>
    </w:pPr>
    <w:rPr>
      <w:rFonts w:ascii="Times New Roman" w:eastAsia="Times New Roman" w:hAnsi="Times New Roman"/>
      <w:snapToGrid w:val="0"/>
      <w:sz w:val="21"/>
      <w:szCs w:val="20"/>
      <w:lang w:eastAsia="en-US"/>
    </w:rPr>
  </w:style>
  <w:style w:type="paragraph" w:customStyle="1" w:styleId="PFNumLevel1">
    <w:name w:val="PF (Num) Level 1"/>
    <w:basedOn w:val="Normal"/>
    <w:rsid w:val="001B402E"/>
    <w:pPr>
      <w:numPr>
        <w:numId w:val="19"/>
      </w:numPr>
      <w:tabs>
        <w:tab w:val="clear" w:pos="924"/>
        <w:tab w:val="left" w:pos="851"/>
      </w:tabs>
      <w:spacing w:after="120" w:line="276" w:lineRule="auto"/>
      <w:ind w:left="851" w:hanging="851"/>
      <w:outlineLvl w:val="0"/>
    </w:pPr>
    <w:rPr>
      <w:rFonts w:ascii="Calibri" w:eastAsia="Times New Roman" w:hAnsi="Calibri" w:cs="Calibri"/>
      <w:color w:val="000000"/>
      <w:kern w:val="28"/>
      <w:sz w:val="22"/>
      <w:szCs w:val="20"/>
      <w:lang w:val="x-none"/>
    </w:rPr>
  </w:style>
  <w:style w:type="paragraph" w:customStyle="1" w:styleId="PFBulletMargin">
    <w:name w:val="PF Bullet Margin"/>
    <w:basedOn w:val="Normal"/>
    <w:rsid w:val="001F30C9"/>
    <w:pPr>
      <w:numPr>
        <w:ilvl w:val="1"/>
        <w:numId w:val="22"/>
      </w:numPr>
      <w:spacing w:before="120" w:after="120" w:line="276" w:lineRule="auto"/>
      <w:ind w:left="851" w:hanging="851"/>
    </w:pPr>
    <w:rPr>
      <w:rFonts w:ascii="Calibri" w:eastAsia="Times New Roman" w:hAnsi="Calibri" w:cs="Calibri"/>
      <w:color w:val="000000"/>
      <w:sz w:val="22"/>
      <w:szCs w:val="20"/>
      <w:lang w:val="x-none" w:eastAsia="en-US"/>
    </w:rPr>
  </w:style>
  <w:style w:type="paragraph" w:customStyle="1" w:styleId="PFBackgroundNum">
    <w:name w:val="PF Background (Num)"/>
    <w:basedOn w:val="Normal"/>
    <w:rsid w:val="001F30C9"/>
    <w:pPr>
      <w:numPr>
        <w:numId w:val="20"/>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Times New Roman" w:eastAsia="Times New Roman" w:hAnsi="Times New Roman"/>
      <w:color w:val="000000"/>
      <w:sz w:val="22"/>
      <w:szCs w:val="20"/>
      <w:lang w:eastAsia="en-US"/>
    </w:rPr>
  </w:style>
  <w:style w:type="paragraph" w:customStyle="1" w:styleId="level1">
    <w:name w:val="level1"/>
    <w:basedOn w:val="Normal"/>
    <w:rsid w:val="001F30C9"/>
    <w:pPr>
      <w:numPr>
        <w:numId w:val="21"/>
      </w:numPr>
      <w:spacing w:before="100" w:after="0" w:line="312" w:lineRule="auto"/>
    </w:pPr>
    <w:rPr>
      <w:rFonts w:eastAsia="Times New Roman"/>
      <w:color w:val="000000"/>
      <w:sz w:val="20"/>
      <w:szCs w:val="20"/>
      <w:lang w:val="x-none" w:eastAsia="en-US"/>
    </w:rPr>
  </w:style>
  <w:style w:type="paragraph" w:customStyle="1" w:styleId="level2">
    <w:name w:val="level2"/>
    <w:basedOn w:val="Normal"/>
    <w:rsid w:val="001F30C9"/>
    <w:pPr>
      <w:numPr>
        <w:ilvl w:val="1"/>
        <w:numId w:val="21"/>
      </w:numPr>
      <w:spacing w:before="100" w:after="0" w:line="312" w:lineRule="auto"/>
    </w:pPr>
    <w:rPr>
      <w:rFonts w:eastAsia="Times New Roman"/>
      <w:color w:val="000000"/>
      <w:sz w:val="20"/>
      <w:szCs w:val="20"/>
      <w:lang w:eastAsia="en-US"/>
    </w:rPr>
  </w:style>
  <w:style w:type="paragraph" w:customStyle="1" w:styleId="level3">
    <w:name w:val="level3"/>
    <w:basedOn w:val="Normal"/>
    <w:rsid w:val="001F30C9"/>
    <w:pPr>
      <w:numPr>
        <w:ilvl w:val="2"/>
        <w:numId w:val="21"/>
      </w:numPr>
      <w:spacing w:before="100" w:after="0" w:line="312" w:lineRule="auto"/>
    </w:pPr>
    <w:rPr>
      <w:rFonts w:eastAsia="Times New Roman"/>
      <w:color w:val="000000"/>
      <w:sz w:val="20"/>
      <w:szCs w:val="20"/>
      <w:lang w:eastAsia="en-US"/>
    </w:rPr>
  </w:style>
  <w:style w:type="paragraph" w:customStyle="1" w:styleId="level4">
    <w:name w:val="level4"/>
    <w:basedOn w:val="Normal"/>
    <w:rsid w:val="001F30C9"/>
    <w:pPr>
      <w:numPr>
        <w:ilvl w:val="3"/>
        <w:numId w:val="21"/>
      </w:numPr>
      <w:spacing w:before="100" w:after="0" w:line="312" w:lineRule="auto"/>
    </w:pPr>
    <w:rPr>
      <w:rFonts w:eastAsia="Times New Roman"/>
      <w:color w:val="000000"/>
      <w:sz w:val="20"/>
      <w:szCs w:val="20"/>
      <w:lang w:eastAsia="en-US"/>
    </w:rPr>
  </w:style>
  <w:style w:type="paragraph" w:customStyle="1" w:styleId="level5">
    <w:name w:val="level5"/>
    <w:basedOn w:val="Normal"/>
    <w:rsid w:val="001F30C9"/>
    <w:pPr>
      <w:numPr>
        <w:ilvl w:val="4"/>
        <w:numId w:val="21"/>
      </w:numPr>
      <w:spacing w:before="100" w:after="0" w:line="312" w:lineRule="auto"/>
    </w:pPr>
    <w:rPr>
      <w:rFonts w:eastAsia="Times New Roman"/>
      <w:color w:val="000000"/>
      <w:sz w:val="20"/>
      <w:szCs w:val="20"/>
      <w:lang w:eastAsia="en-US"/>
    </w:rPr>
  </w:style>
  <w:style w:type="paragraph" w:customStyle="1" w:styleId="level6">
    <w:name w:val="level6"/>
    <w:basedOn w:val="Normal"/>
    <w:rsid w:val="001F30C9"/>
    <w:pPr>
      <w:numPr>
        <w:ilvl w:val="5"/>
        <w:numId w:val="21"/>
      </w:numPr>
      <w:spacing w:before="100" w:after="0" w:line="312" w:lineRule="auto"/>
    </w:pPr>
    <w:rPr>
      <w:rFonts w:eastAsia="Times New Roman"/>
      <w:color w:val="000000"/>
      <w:sz w:val="20"/>
      <w:szCs w:val="20"/>
      <w:lang w:eastAsia="en-US"/>
    </w:rPr>
  </w:style>
  <w:style w:type="character" w:customStyle="1" w:styleId="apple-converted-space">
    <w:name w:val="apple-converted-space"/>
    <w:basedOn w:val="DefaultParagraphFont"/>
    <w:rsid w:val="00AD5D4F"/>
  </w:style>
  <w:style w:type="character" w:customStyle="1" w:styleId="VEOHRCBodytextChar">
    <w:name w:val="VEOHRC Body text Char"/>
    <w:link w:val="VEOHRCBodytext"/>
    <w:locked/>
    <w:rsid w:val="00182331"/>
    <w:rPr>
      <w:rFonts w:ascii="Arial" w:hAnsi="Arial" w:cs="Arial"/>
      <w:sz w:val="24"/>
      <w:szCs w:val="24"/>
      <w:lang w:val="en-GB"/>
    </w:rPr>
  </w:style>
  <w:style w:type="paragraph" w:customStyle="1" w:styleId="VEOHRCBodytext">
    <w:name w:val="VEOHRC Body text"/>
    <w:basedOn w:val="Normal"/>
    <w:link w:val="VEOHRCBodytextChar"/>
    <w:rsid w:val="00182331"/>
    <w:pPr>
      <w:spacing w:before="80" w:after="120"/>
    </w:pPr>
    <w:rPr>
      <w:rFonts w:eastAsia="Times New Roman" w:cs="Arial"/>
      <w:lang w:val="en-GB"/>
    </w:rPr>
  </w:style>
  <w:style w:type="character" w:customStyle="1" w:styleId="FootnoteTextChar2">
    <w:name w:val="Footnote Text Char2"/>
    <w:aliases w:val="single space Char Char,single space Char1,Footnote reference Char,FA Fu Char,Footnote Text Char Char Char Char Char1,vFootnote Text Char,Footnote Text Char1 Char,C Char"/>
    <w:semiHidden/>
    <w:locked/>
    <w:rsid w:val="00182331"/>
    <w:rPr>
      <w:rFonts w:ascii="Calibri" w:hAnsi="Calibri"/>
      <w:lang w:eastAsia="en-US"/>
    </w:rPr>
  </w:style>
  <w:style w:type="paragraph" w:customStyle="1" w:styleId="Pa28">
    <w:name w:val="Pa28"/>
    <w:basedOn w:val="Default"/>
    <w:next w:val="Default"/>
    <w:uiPriority w:val="99"/>
    <w:rsid w:val="002B4891"/>
    <w:pPr>
      <w:spacing w:line="201" w:lineRule="atLeast"/>
    </w:pPr>
    <w:rPr>
      <w:rFonts w:ascii="Archer Book" w:hAnsi="Archer Book" w:cs="Times New Roman"/>
      <w:color w:val="auto"/>
    </w:rPr>
  </w:style>
  <w:style w:type="character" w:styleId="SubtleReference">
    <w:name w:val="Subtle Reference"/>
    <w:basedOn w:val="DefaultParagraphFont"/>
    <w:uiPriority w:val="31"/>
    <w:qFormat/>
    <w:rsid w:val="00A33E16"/>
    <w:rPr>
      <w:smallCaps/>
      <w:color w:val="5A5A5A" w:themeColor="text1" w:themeTint="A5"/>
    </w:rPr>
  </w:style>
  <w:style w:type="paragraph" w:customStyle="1" w:styleId="Pa2">
    <w:name w:val="Pa2"/>
    <w:basedOn w:val="Default"/>
    <w:next w:val="Default"/>
    <w:uiPriority w:val="99"/>
    <w:rsid w:val="001614D0"/>
    <w:pPr>
      <w:spacing w:line="201" w:lineRule="atLeast"/>
    </w:pPr>
    <w:rPr>
      <w:rFonts w:ascii="HelveticaNeueLT Std Lt" w:hAnsi="HelveticaNeueLT Std Lt" w:cs="Times New Roman"/>
      <w:color w:val="auto"/>
    </w:rPr>
  </w:style>
  <w:style w:type="character" w:customStyle="1" w:styleId="A8">
    <w:name w:val="A8"/>
    <w:uiPriority w:val="99"/>
    <w:rsid w:val="001614D0"/>
    <w:rPr>
      <w:rFonts w:cs="HelveticaNeueLT Std 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223">
      <w:bodyDiv w:val="1"/>
      <w:marLeft w:val="0"/>
      <w:marRight w:val="0"/>
      <w:marTop w:val="0"/>
      <w:marBottom w:val="0"/>
      <w:divBdr>
        <w:top w:val="none" w:sz="0" w:space="0" w:color="auto"/>
        <w:left w:val="none" w:sz="0" w:space="0" w:color="auto"/>
        <w:bottom w:val="none" w:sz="0" w:space="0" w:color="auto"/>
        <w:right w:val="none" w:sz="0" w:space="0" w:color="auto"/>
      </w:divBdr>
      <w:divsChild>
        <w:div w:id="415325931">
          <w:marLeft w:val="0"/>
          <w:marRight w:val="0"/>
          <w:marTop w:val="0"/>
          <w:marBottom w:val="0"/>
          <w:divBdr>
            <w:top w:val="none" w:sz="0" w:space="0" w:color="auto"/>
            <w:left w:val="none" w:sz="0" w:space="0" w:color="auto"/>
            <w:bottom w:val="none" w:sz="0" w:space="0" w:color="auto"/>
            <w:right w:val="none" w:sz="0" w:space="0" w:color="auto"/>
          </w:divBdr>
          <w:divsChild>
            <w:div w:id="120272398">
              <w:marLeft w:val="0"/>
              <w:marRight w:val="0"/>
              <w:marTop w:val="0"/>
              <w:marBottom w:val="0"/>
              <w:divBdr>
                <w:top w:val="none" w:sz="0" w:space="0" w:color="auto"/>
                <w:left w:val="none" w:sz="0" w:space="0" w:color="auto"/>
                <w:bottom w:val="none" w:sz="0" w:space="0" w:color="auto"/>
                <w:right w:val="none" w:sz="0" w:space="0" w:color="auto"/>
              </w:divBdr>
              <w:divsChild>
                <w:div w:id="9713262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8817">
      <w:bodyDiv w:val="1"/>
      <w:marLeft w:val="0"/>
      <w:marRight w:val="0"/>
      <w:marTop w:val="0"/>
      <w:marBottom w:val="0"/>
      <w:divBdr>
        <w:top w:val="none" w:sz="0" w:space="0" w:color="auto"/>
        <w:left w:val="none" w:sz="0" w:space="0" w:color="auto"/>
        <w:bottom w:val="none" w:sz="0" w:space="0" w:color="auto"/>
        <w:right w:val="none" w:sz="0" w:space="0" w:color="auto"/>
      </w:divBdr>
      <w:divsChild>
        <w:div w:id="1611158894">
          <w:marLeft w:val="0"/>
          <w:marRight w:val="0"/>
          <w:marTop w:val="0"/>
          <w:marBottom w:val="0"/>
          <w:divBdr>
            <w:top w:val="none" w:sz="0" w:space="0" w:color="auto"/>
            <w:left w:val="none" w:sz="0" w:space="0" w:color="auto"/>
            <w:bottom w:val="none" w:sz="0" w:space="0" w:color="auto"/>
            <w:right w:val="none" w:sz="0" w:space="0" w:color="auto"/>
          </w:divBdr>
          <w:divsChild>
            <w:div w:id="1951740707">
              <w:marLeft w:val="0"/>
              <w:marRight w:val="0"/>
              <w:marTop w:val="0"/>
              <w:marBottom w:val="0"/>
              <w:divBdr>
                <w:top w:val="none" w:sz="0" w:space="0" w:color="auto"/>
                <w:left w:val="none" w:sz="0" w:space="0" w:color="auto"/>
                <w:bottom w:val="none" w:sz="0" w:space="0" w:color="auto"/>
                <w:right w:val="none" w:sz="0" w:space="0" w:color="auto"/>
              </w:divBdr>
              <w:divsChild>
                <w:div w:id="1540974315">
                  <w:marLeft w:val="0"/>
                  <w:marRight w:val="0"/>
                  <w:marTop w:val="0"/>
                  <w:marBottom w:val="0"/>
                  <w:divBdr>
                    <w:top w:val="none" w:sz="0" w:space="0" w:color="auto"/>
                    <w:left w:val="none" w:sz="0" w:space="0" w:color="auto"/>
                    <w:bottom w:val="none" w:sz="0" w:space="0" w:color="auto"/>
                    <w:right w:val="none" w:sz="0" w:space="0" w:color="auto"/>
                  </w:divBdr>
                  <w:divsChild>
                    <w:div w:id="1536691867">
                      <w:marLeft w:val="0"/>
                      <w:marRight w:val="0"/>
                      <w:marTop w:val="0"/>
                      <w:marBottom w:val="0"/>
                      <w:divBdr>
                        <w:top w:val="none" w:sz="0" w:space="0" w:color="auto"/>
                        <w:left w:val="none" w:sz="0" w:space="0" w:color="auto"/>
                        <w:bottom w:val="none" w:sz="0" w:space="0" w:color="auto"/>
                        <w:right w:val="none" w:sz="0" w:space="0" w:color="auto"/>
                      </w:divBdr>
                      <w:divsChild>
                        <w:div w:id="998465969">
                          <w:marLeft w:val="0"/>
                          <w:marRight w:val="0"/>
                          <w:marTop w:val="0"/>
                          <w:marBottom w:val="0"/>
                          <w:divBdr>
                            <w:top w:val="none" w:sz="0" w:space="0" w:color="auto"/>
                            <w:left w:val="none" w:sz="0" w:space="0" w:color="auto"/>
                            <w:bottom w:val="none" w:sz="0" w:space="0" w:color="auto"/>
                            <w:right w:val="none" w:sz="0" w:space="0" w:color="auto"/>
                          </w:divBdr>
                          <w:divsChild>
                            <w:div w:id="1435252288">
                              <w:marLeft w:val="0"/>
                              <w:marRight w:val="0"/>
                              <w:marTop w:val="0"/>
                              <w:marBottom w:val="0"/>
                              <w:divBdr>
                                <w:top w:val="none" w:sz="0" w:space="0" w:color="auto"/>
                                <w:left w:val="none" w:sz="0" w:space="0" w:color="auto"/>
                                <w:bottom w:val="none" w:sz="0" w:space="0" w:color="auto"/>
                                <w:right w:val="none" w:sz="0" w:space="0" w:color="auto"/>
                              </w:divBdr>
                              <w:divsChild>
                                <w:div w:id="20478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28018">
      <w:bodyDiv w:val="1"/>
      <w:marLeft w:val="0"/>
      <w:marRight w:val="0"/>
      <w:marTop w:val="0"/>
      <w:marBottom w:val="0"/>
      <w:divBdr>
        <w:top w:val="none" w:sz="0" w:space="0" w:color="auto"/>
        <w:left w:val="none" w:sz="0" w:space="0" w:color="auto"/>
        <w:bottom w:val="none" w:sz="0" w:space="0" w:color="auto"/>
        <w:right w:val="none" w:sz="0" w:space="0" w:color="auto"/>
      </w:divBdr>
    </w:div>
    <w:div w:id="346248033">
      <w:bodyDiv w:val="1"/>
      <w:marLeft w:val="0"/>
      <w:marRight w:val="0"/>
      <w:marTop w:val="0"/>
      <w:marBottom w:val="0"/>
      <w:divBdr>
        <w:top w:val="none" w:sz="0" w:space="0" w:color="auto"/>
        <w:left w:val="none" w:sz="0" w:space="0" w:color="auto"/>
        <w:bottom w:val="none" w:sz="0" w:space="0" w:color="auto"/>
        <w:right w:val="none" w:sz="0" w:space="0" w:color="auto"/>
      </w:divBdr>
    </w:div>
    <w:div w:id="347410429">
      <w:bodyDiv w:val="1"/>
      <w:marLeft w:val="0"/>
      <w:marRight w:val="0"/>
      <w:marTop w:val="0"/>
      <w:marBottom w:val="0"/>
      <w:divBdr>
        <w:top w:val="none" w:sz="0" w:space="0" w:color="auto"/>
        <w:left w:val="none" w:sz="0" w:space="0" w:color="auto"/>
        <w:bottom w:val="none" w:sz="0" w:space="0" w:color="auto"/>
        <w:right w:val="none" w:sz="0" w:space="0" w:color="auto"/>
      </w:divBdr>
      <w:divsChild>
        <w:div w:id="1288511124">
          <w:marLeft w:val="0"/>
          <w:marRight w:val="0"/>
          <w:marTop w:val="0"/>
          <w:marBottom w:val="0"/>
          <w:divBdr>
            <w:top w:val="none" w:sz="0" w:space="0" w:color="auto"/>
            <w:left w:val="none" w:sz="0" w:space="0" w:color="auto"/>
            <w:bottom w:val="none" w:sz="0" w:space="0" w:color="auto"/>
            <w:right w:val="none" w:sz="0" w:space="0" w:color="auto"/>
          </w:divBdr>
          <w:divsChild>
            <w:div w:id="1100639522">
              <w:marLeft w:val="0"/>
              <w:marRight w:val="0"/>
              <w:marTop w:val="0"/>
              <w:marBottom w:val="0"/>
              <w:divBdr>
                <w:top w:val="none" w:sz="0" w:space="0" w:color="auto"/>
                <w:left w:val="none" w:sz="0" w:space="0" w:color="auto"/>
                <w:bottom w:val="none" w:sz="0" w:space="0" w:color="auto"/>
                <w:right w:val="none" w:sz="0" w:space="0" w:color="auto"/>
              </w:divBdr>
              <w:divsChild>
                <w:div w:id="645667840">
                  <w:marLeft w:val="0"/>
                  <w:marRight w:val="0"/>
                  <w:marTop w:val="0"/>
                  <w:marBottom w:val="0"/>
                  <w:divBdr>
                    <w:top w:val="none" w:sz="0" w:space="0" w:color="auto"/>
                    <w:left w:val="none" w:sz="0" w:space="0" w:color="auto"/>
                    <w:bottom w:val="none" w:sz="0" w:space="0" w:color="auto"/>
                    <w:right w:val="none" w:sz="0" w:space="0" w:color="auto"/>
                  </w:divBdr>
                  <w:divsChild>
                    <w:div w:id="574516609">
                      <w:marLeft w:val="0"/>
                      <w:marRight w:val="0"/>
                      <w:marTop w:val="0"/>
                      <w:marBottom w:val="0"/>
                      <w:divBdr>
                        <w:top w:val="none" w:sz="0" w:space="0" w:color="auto"/>
                        <w:left w:val="none" w:sz="0" w:space="0" w:color="auto"/>
                        <w:bottom w:val="none" w:sz="0" w:space="0" w:color="auto"/>
                        <w:right w:val="none" w:sz="0" w:space="0" w:color="auto"/>
                      </w:divBdr>
                      <w:divsChild>
                        <w:div w:id="1352075662">
                          <w:marLeft w:val="0"/>
                          <w:marRight w:val="0"/>
                          <w:marTop w:val="0"/>
                          <w:marBottom w:val="0"/>
                          <w:divBdr>
                            <w:top w:val="none" w:sz="0" w:space="0" w:color="auto"/>
                            <w:left w:val="none" w:sz="0" w:space="0" w:color="auto"/>
                            <w:bottom w:val="none" w:sz="0" w:space="0" w:color="auto"/>
                            <w:right w:val="none" w:sz="0" w:space="0" w:color="auto"/>
                          </w:divBdr>
                          <w:divsChild>
                            <w:div w:id="164396687">
                              <w:marLeft w:val="0"/>
                              <w:marRight w:val="0"/>
                              <w:marTop w:val="0"/>
                              <w:marBottom w:val="0"/>
                              <w:divBdr>
                                <w:top w:val="none" w:sz="0" w:space="0" w:color="auto"/>
                                <w:left w:val="none" w:sz="0" w:space="0" w:color="auto"/>
                                <w:bottom w:val="none" w:sz="0" w:space="0" w:color="auto"/>
                                <w:right w:val="none" w:sz="0" w:space="0" w:color="auto"/>
                              </w:divBdr>
                              <w:divsChild>
                                <w:div w:id="11214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437759">
      <w:bodyDiv w:val="1"/>
      <w:marLeft w:val="0"/>
      <w:marRight w:val="0"/>
      <w:marTop w:val="0"/>
      <w:marBottom w:val="0"/>
      <w:divBdr>
        <w:top w:val="none" w:sz="0" w:space="0" w:color="auto"/>
        <w:left w:val="none" w:sz="0" w:space="0" w:color="auto"/>
        <w:bottom w:val="none" w:sz="0" w:space="0" w:color="auto"/>
        <w:right w:val="none" w:sz="0" w:space="0" w:color="auto"/>
      </w:divBdr>
      <w:divsChild>
        <w:div w:id="341980051">
          <w:marLeft w:val="0"/>
          <w:marRight w:val="0"/>
          <w:marTop w:val="0"/>
          <w:marBottom w:val="0"/>
          <w:divBdr>
            <w:top w:val="none" w:sz="0" w:space="0" w:color="auto"/>
            <w:left w:val="none" w:sz="0" w:space="0" w:color="auto"/>
            <w:bottom w:val="none" w:sz="0" w:space="0" w:color="auto"/>
            <w:right w:val="none" w:sz="0" w:space="0" w:color="auto"/>
          </w:divBdr>
          <w:divsChild>
            <w:div w:id="1525050772">
              <w:marLeft w:val="0"/>
              <w:marRight w:val="0"/>
              <w:marTop w:val="0"/>
              <w:marBottom w:val="0"/>
              <w:divBdr>
                <w:top w:val="none" w:sz="0" w:space="0" w:color="auto"/>
                <w:left w:val="none" w:sz="0" w:space="0" w:color="auto"/>
                <w:bottom w:val="none" w:sz="0" w:space="0" w:color="auto"/>
                <w:right w:val="none" w:sz="0" w:space="0" w:color="auto"/>
              </w:divBdr>
              <w:divsChild>
                <w:div w:id="695233843">
                  <w:marLeft w:val="0"/>
                  <w:marRight w:val="0"/>
                  <w:marTop w:val="0"/>
                  <w:marBottom w:val="0"/>
                  <w:divBdr>
                    <w:top w:val="none" w:sz="0" w:space="0" w:color="auto"/>
                    <w:left w:val="none" w:sz="0" w:space="0" w:color="auto"/>
                    <w:bottom w:val="none" w:sz="0" w:space="0" w:color="auto"/>
                    <w:right w:val="none" w:sz="0" w:space="0" w:color="auto"/>
                  </w:divBdr>
                  <w:divsChild>
                    <w:div w:id="609707913">
                      <w:marLeft w:val="0"/>
                      <w:marRight w:val="0"/>
                      <w:marTop w:val="0"/>
                      <w:marBottom w:val="0"/>
                      <w:divBdr>
                        <w:top w:val="none" w:sz="0" w:space="0" w:color="auto"/>
                        <w:left w:val="none" w:sz="0" w:space="0" w:color="auto"/>
                        <w:bottom w:val="none" w:sz="0" w:space="0" w:color="auto"/>
                        <w:right w:val="none" w:sz="0" w:space="0" w:color="auto"/>
                      </w:divBdr>
                      <w:divsChild>
                        <w:div w:id="1233156149">
                          <w:marLeft w:val="0"/>
                          <w:marRight w:val="0"/>
                          <w:marTop w:val="0"/>
                          <w:marBottom w:val="0"/>
                          <w:divBdr>
                            <w:top w:val="none" w:sz="0" w:space="0" w:color="auto"/>
                            <w:left w:val="none" w:sz="0" w:space="0" w:color="auto"/>
                            <w:bottom w:val="none" w:sz="0" w:space="0" w:color="auto"/>
                            <w:right w:val="none" w:sz="0" w:space="0" w:color="auto"/>
                          </w:divBdr>
                          <w:divsChild>
                            <w:div w:id="1868251833">
                              <w:marLeft w:val="0"/>
                              <w:marRight w:val="0"/>
                              <w:marTop w:val="0"/>
                              <w:marBottom w:val="0"/>
                              <w:divBdr>
                                <w:top w:val="none" w:sz="0" w:space="0" w:color="auto"/>
                                <w:left w:val="none" w:sz="0" w:space="0" w:color="auto"/>
                                <w:bottom w:val="none" w:sz="0" w:space="0" w:color="auto"/>
                                <w:right w:val="none" w:sz="0" w:space="0" w:color="auto"/>
                              </w:divBdr>
                              <w:divsChild>
                                <w:div w:id="1979987508">
                                  <w:marLeft w:val="0"/>
                                  <w:marRight w:val="0"/>
                                  <w:marTop w:val="0"/>
                                  <w:marBottom w:val="0"/>
                                  <w:divBdr>
                                    <w:top w:val="none" w:sz="0" w:space="0" w:color="auto"/>
                                    <w:left w:val="none" w:sz="0" w:space="0" w:color="auto"/>
                                    <w:bottom w:val="none" w:sz="0" w:space="0" w:color="auto"/>
                                    <w:right w:val="none" w:sz="0" w:space="0" w:color="auto"/>
                                  </w:divBdr>
                                  <w:divsChild>
                                    <w:div w:id="680282270">
                                      <w:marLeft w:val="0"/>
                                      <w:marRight w:val="0"/>
                                      <w:marTop w:val="0"/>
                                      <w:marBottom w:val="0"/>
                                      <w:divBdr>
                                        <w:top w:val="none" w:sz="0" w:space="0" w:color="auto"/>
                                        <w:left w:val="none" w:sz="0" w:space="0" w:color="auto"/>
                                        <w:bottom w:val="none" w:sz="0" w:space="0" w:color="auto"/>
                                        <w:right w:val="none" w:sz="0" w:space="0" w:color="auto"/>
                                      </w:divBdr>
                                      <w:divsChild>
                                        <w:div w:id="496264393">
                                          <w:marLeft w:val="0"/>
                                          <w:marRight w:val="0"/>
                                          <w:marTop w:val="0"/>
                                          <w:marBottom w:val="0"/>
                                          <w:divBdr>
                                            <w:top w:val="none" w:sz="0" w:space="0" w:color="auto"/>
                                            <w:left w:val="none" w:sz="0" w:space="0" w:color="auto"/>
                                            <w:bottom w:val="none" w:sz="0" w:space="0" w:color="auto"/>
                                            <w:right w:val="none" w:sz="0" w:space="0" w:color="auto"/>
                                          </w:divBdr>
                                          <w:divsChild>
                                            <w:div w:id="1539859604">
                                              <w:marLeft w:val="0"/>
                                              <w:marRight w:val="0"/>
                                              <w:marTop w:val="0"/>
                                              <w:marBottom w:val="0"/>
                                              <w:divBdr>
                                                <w:top w:val="none" w:sz="0" w:space="0" w:color="auto"/>
                                                <w:left w:val="none" w:sz="0" w:space="0" w:color="auto"/>
                                                <w:bottom w:val="none" w:sz="0" w:space="0" w:color="auto"/>
                                                <w:right w:val="none" w:sz="0" w:space="0" w:color="auto"/>
                                              </w:divBdr>
                                              <w:divsChild>
                                                <w:div w:id="11983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586728">
      <w:bodyDiv w:val="1"/>
      <w:marLeft w:val="0"/>
      <w:marRight w:val="0"/>
      <w:marTop w:val="0"/>
      <w:marBottom w:val="0"/>
      <w:divBdr>
        <w:top w:val="none" w:sz="0" w:space="0" w:color="auto"/>
        <w:left w:val="none" w:sz="0" w:space="0" w:color="auto"/>
        <w:bottom w:val="none" w:sz="0" w:space="0" w:color="auto"/>
        <w:right w:val="none" w:sz="0" w:space="0" w:color="auto"/>
      </w:divBdr>
    </w:div>
    <w:div w:id="484010246">
      <w:bodyDiv w:val="1"/>
      <w:marLeft w:val="0"/>
      <w:marRight w:val="0"/>
      <w:marTop w:val="0"/>
      <w:marBottom w:val="0"/>
      <w:divBdr>
        <w:top w:val="none" w:sz="0" w:space="0" w:color="auto"/>
        <w:left w:val="none" w:sz="0" w:space="0" w:color="auto"/>
        <w:bottom w:val="none" w:sz="0" w:space="0" w:color="auto"/>
        <w:right w:val="none" w:sz="0" w:space="0" w:color="auto"/>
      </w:divBdr>
    </w:div>
    <w:div w:id="521944258">
      <w:bodyDiv w:val="1"/>
      <w:marLeft w:val="0"/>
      <w:marRight w:val="0"/>
      <w:marTop w:val="0"/>
      <w:marBottom w:val="0"/>
      <w:divBdr>
        <w:top w:val="none" w:sz="0" w:space="0" w:color="auto"/>
        <w:left w:val="none" w:sz="0" w:space="0" w:color="auto"/>
        <w:bottom w:val="none" w:sz="0" w:space="0" w:color="auto"/>
        <w:right w:val="none" w:sz="0" w:space="0" w:color="auto"/>
      </w:divBdr>
    </w:div>
    <w:div w:id="616108208">
      <w:bodyDiv w:val="1"/>
      <w:marLeft w:val="0"/>
      <w:marRight w:val="0"/>
      <w:marTop w:val="0"/>
      <w:marBottom w:val="0"/>
      <w:divBdr>
        <w:top w:val="none" w:sz="0" w:space="0" w:color="auto"/>
        <w:left w:val="none" w:sz="0" w:space="0" w:color="auto"/>
        <w:bottom w:val="none" w:sz="0" w:space="0" w:color="auto"/>
        <w:right w:val="none" w:sz="0" w:space="0" w:color="auto"/>
      </w:divBdr>
    </w:div>
    <w:div w:id="655184549">
      <w:bodyDiv w:val="1"/>
      <w:marLeft w:val="0"/>
      <w:marRight w:val="0"/>
      <w:marTop w:val="0"/>
      <w:marBottom w:val="0"/>
      <w:divBdr>
        <w:top w:val="none" w:sz="0" w:space="0" w:color="auto"/>
        <w:left w:val="none" w:sz="0" w:space="0" w:color="auto"/>
        <w:bottom w:val="none" w:sz="0" w:space="0" w:color="auto"/>
        <w:right w:val="none" w:sz="0" w:space="0" w:color="auto"/>
      </w:divBdr>
    </w:div>
    <w:div w:id="737169378">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29103905">
      <w:bodyDiv w:val="1"/>
      <w:marLeft w:val="0"/>
      <w:marRight w:val="0"/>
      <w:marTop w:val="0"/>
      <w:marBottom w:val="0"/>
      <w:divBdr>
        <w:top w:val="none" w:sz="0" w:space="0" w:color="auto"/>
        <w:left w:val="none" w:sz="0" w:space="0" w:color="auto"/>
        <w:bottom w:val="none" w:sz="0" w:space="0" w:color="auto"/>
        <w:right w:val="none" w:sz="0" w:space="0" w:color="auto"/>
      </w:divBdr>
    </w:div>
    <w:div w:id="849415816">
      <w:bodyDiv w:val="1"/>
      <w:marLeft w:val="0"/>
      <w:marRight w:val="0"/>
      <w:marTop w:val="0"/>
      <w:marBottom w:val="0"/>
      <w:divBdr>
        <w:top w:val="none" w:sz="0" w:space="0" w:color="auto"/>
        <w:left w:val="none" w:sz="0" w:space="0" w:color="auto"/>
        <w:bottom w:val="none" w:sz="0" w:space="0" w:color="auto"/>
        <w:right w:val="none" w:sz="0" w:space="0" w:color="auto"/>
      </w:divBdr>
    </w:div>
    <w:div w:id="902176221">
      <w:bodyDiv w:val="1"/>
      <w:marLeft w:val="0"/>
      <w:marRight w:val="0"/>
      <w:marTop w:val="0"/>
      <w:marBottom w:val="0"/>
      <w:divBdr>
        <w:top w:val="none" w:sz="0" w:space="0" w:color="auto"/>
        <w:left w:val="none" w:sz="0" w:space="0" w:color="auto"/>
        <w:bottom w:val="none" w:sz="0" w:space="0" w:color="auto"/>
        <w:right w:val="none" w:sz="0" w:space="0" w:color="auto"/>
      </w:divBdr>
      <w:divsChild>
        <w:div w:id="1778060660">
          <w:marLeft w:val="0"/>
          <w:marRight w:val="0"/>
          <w:marTop w:val="0"/>
          <w:marBottom w:val="0"/>
          <w:divBdr>
            <w:top w:val="single" w:sz="6" w:space="0" w:color="5056A3"/>
            <w:left w:val="single" w:sz="6" w:space="0" w:color="5056A3"/>
            <w:bottom w:val="single" w:sz="6" w:space="0" w:color="5056A3"/>
            <w:right w:val="single" w:sz="6" w:space="0" w:color="5056A3"/>
          </w:divBdr>
          <w:divsChild>
            <w:div w:id="14149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146">
      <w:bodyDiv w:val="1"/>
      <w:marLeft w:val="0"/>
      <w:marRight w:val="0"/>
      <w:marTop w:val="0"/>
      <w:marBottom w:val="0"/>
      <w:divBdr>
        <w:top w:val="none" w:sz="0" w:space="0" w:color="auto"/>
        <w:left w:val="none" w:sz="0" w:space="0" w:color="auto"/>
        <w:bottom w:val="none" w:sz="0" w:space="0" w:color="auto"/>
        <w:right w:val="none" w:sz="0" w:space="0" w:color="auto"/>
      </w:divBdr>
    </w:div>
    <w:div w:id="961687414">
      <w:bodyDiv w:val="1"/>
      <w:marLeft w:val="0"/>
      <w:marRight w:val="0"/>
      <w:marTop w:val="0"/>
      <w:marBottom w:val="0"/>
      <w:divBdr>
        <w:top w:val="none" w:sz="0" w:space="0" w:color="auto"/>
        <w:left w:val="none" w:sz="0" w:space="0" w:color="auto"/>
        <w:bottom w:val="none" w:sz="0" w:space="0" w:color="auto"/>
        <w:right w:val="none" w:sz="0" w:space="0" w:color="auto"/>
      </w:divBdr>
      <w:divsChild>
        <w:div w:id="1760251082">
          <w:marLeft w:val="0"/>
          <w:marRight w:val="0"/>
          <w:marTop w:val="0"/>
          <w:marBottom w:val="0"/>
          <w:divBdr>
            <w:top w:val="none" w:sz="0" w:space="0" w:color="auto"/>
            <w:left w:val="none" w:sz="0" w:space="0" w:color="auto"/>
            <w:bottom w:val="none" w:sz="0" w:space="0" w:color="auto"/>
            <w:right w:val="none" w:sz="0" w:space="0" w:color="auto"/>
          </w:divBdr>
        </w:div>
        <w:div w:id="1855679738">
          <w:marLeft w:val="0"/>
          <w:marRight w:val="0"/>
          <w:marTop w:val="0"/>
          <w:marBottom w:val="0"/>
          <w:divBdr>
            <w:top w:val="none" w:sz="0" w:space="0" w:color="auto"/>
            <w:left w:val="none" w:sz="0" w:space="0" w:color="auto"/>
            <w:bottom w:val="none" w:sz="0" w:space="0" w:color="auto"/>
            <w:right w:val="none" w:sz="0" w:space="0" w:color="auto"/>
          </w:divBdr>
        </w:div>
        <w:div w:id="1225219604">
          <w:marLeft w:val="0"/>
          <w:marRight w:val="0"/>
          <w:marTop w:val="0"/>
          <w:marBottom w:val="0"/>
          <w:divBdr>
            <w:top w:val="none" w:sz="0" w:space="0" w:color="auto"/>
            <w:left w:val="none" w:sz="0" w:space="0" w:color="auto"/>
            <w:bottom w:val="none" w:sz="0" w:space="0" w:color="auto"/>
            <w:right w:val="none" w:sz="0" w:space="0" w:color="auto"/>
          </w:divBdr>
        </w:div>
        <w:div w:id="1156847887">
          <w:marLeft w:val="0"/>
          <w:marRight w:val="0"/>
          <w:marTop w:val="0"/>
          <w:marBottom w:val="0"/>
          <w:divBdr>
            <w:top w:val="none" w:sz="0" w:space="0" w:color="auto"/>
            <w:left w:val="none" w:sz="0" w:space="0" w:color="auto"/>
            <w:bottom w:val="none" w:sz="0" w:space="0" w:color="auto"/>
            <w:right w:val="none" w:sz="0" w:space="0" w:color="auto"/>
          </w:divBdr>
        </w:div>
        <w:div w:id="1806508808">
          <w:marLeft w:val="0"/>
          <w:marRight w:val="0"/>
          <w:marTop w:val="0"/>
          <w:marBottom w:val="0"/>
          <w:divBdr>
            <w:top w:val="none" w:sz="0" w:space="0" w:color="auto"/>
            <w:left w:val="none" w:sz="0" w:space="0" w:color="auto"/>
            <w:bottom w:val="none" w:sz="0" w:space="0" w:color="auto"/>
            <w:right w:val="none" w:sz="0" w:space="0" w:color="auto"/>
          </w:divBdr>
        </w:div>
        <w:div w:id="103690514">
          <w:marLeft w:val="0"/>
          <w:marRight w:val="0"/>
          <w:marTop w:val="0"/>
          <w:marBottom w:val="0"/>
          <w:divBdr>
            <w:top w:val="none" w:sz="0" w:space="0" w:color="auto"/>
            <w:left w:val="none" w:sz="0" w:space="0" w:color="auto"/>
            <w:bottom w:val="none" w:sz="0" w:space="0" w:color="auto"/>
            <w:right w:val="none" w:sz="0" w:space="0" w:color="auto"/>
          </w:divBdr>
        </w:div>
        <w:div w:id="592474799">
          <w:marLeft w:val="0"/>
          <w:marRight w:val="0"/>
          <w:marTop w:val="0"/>
          <w:marBottom w:val="0"/>
          <w:divBdr>
            <w:top w:val="none" w:sz="0" w:space="0" w:color="auto"/>
            <w:left w:val="none" w:sz="0" w:space="0" w:color="auto"/>
            <w:bottom w:val="none" w:sz="0" w:space="0" w:color="auto"/>
            <w:right w:val="none" w:sz="0" w:space="0" w:color="auto"/>
          </w:divBdr>
        </w:div>
        <w:div w:id="1446385546">
          <w:marLeft w:val="0"/>
          <w:marRight w:val="0"/>
          <w:marTop w:val="0"/>
          <w:marBottom w:val="0"/>
          <w:divBdr>
            <w:top w:val="none" w:sz="0" w:space="0" w:color="auto"/>
            <w:left w:val="none" w:sz="0" w:space="0" w:color="auto"/>
            <w:bottom w:val="none" w:sz="0" w:space="0" w:color="auto"/>
            <w:right w:val="none" w:sz="0" w:space="0" w:color="auto"/>
          </w:divBdr>
        </w:div>
        <w:div w:id="481311969">
          <w:marLeft w:val="0"/>
          <w:marRight w:val="0"/>
          <w:marTop w:val="0"/>
          <w:marBottom w:val="0"/>
          <w:divBdr>
            <w:top w:val="none" w:sz="0" w:space="0" w:color="auto"/>
            <w:left w:val="none" w:sz="0" w:space="0" w:color="auto"/>
            <w:bottom w:val="none" w:sz="0" w:space="0" w:color="auto"/>
            <w:right w:val="none" w:sz="0" w:space="0" w:color="auto"/>
          </w:divBdr>
        </w:div>
        <w:div w:id="798381021">
          <w:marLeft w:val="0"/>
          <w:marRight w:val="0"/>
          <w:marTop w:val="0"/>
          <w:marBottom w:val="0"/>
          <w:divBdr>
            <w:top w:val="none" w:sz="0" w:space="0" w:color="auto"/>
            <w:left w:val="none" w:sz="0" w:space="0" w:color="auto"/>
            <w:bottom w:val="none" w:sz="0" w:space="0" w:color="auto"/>
            <w:right w:val="none" w:sz="0" w:space="0" w:color="auto"/>
          </w:divBdr>
        </w:div>
        <w:div w:id="1782842013">
          <w:marLeft w:val="0"/>
          <w:marRight w:val="0"/>
          <w:marTop w:val="0"/>
          <w:marBottom w:val="0"/>
          <w:divBdr>
            <w:top w:val="none" w:sz="0" w:space="0" w:color="auto"/>
            <w:left w:val="none" w:sz="0" w:space="0" w:color="auto"/>
            <w:bottom w:val="none" w:sz="0" w:space="0" w:color="auto"/>
            <w:right w:val="none" w:sz="0" w:space="0" w:color="auto"/>
          </w:divBdr>
        </w:div>
        <w:div w:id="1467428323">
          <w:marLeft w:val="0"/>
          <w:marRight w:val="0"/>
          <w:marTop w:val="0"/>
          <w:marBottom w:val="0"/>
          <w:divBdr>
            <w:top w:val="none" w:sz="0" w:space="0" w:color="auto"/>
            <w:left w:val="none" w:sz="0" w:space="0" w:color="auto"/>
            <w:bottom w:val="none" w:sz="0" w:space="0" w:color="auto"/>
            <w:right w:val="none" w:sz="0" w:space="0" w:color="auto"/>
          </w:divBdr>
        </w:div>
        <w:div w:id="1882476255">
          <w:marLeft w:val="0"/>
          <w:marRight w:val="0"/>
          <w:marTop w:val="0"/>
          <w:marBottom w:val="0"/>
          <w:divBdr>
            <w:top w:val="none" w:sz="0" w:space="0" w:color="auto"/>
            <w:left w:val="none" w:sz="0" w:space="0" w:color="auto"/>
            <w:bottom w:val="none" w:sz="0" w:space="0" w:color="auto"/>
            <w:right w:val="none" w:sz="0" w:space="0" w:color="auto"/>
          </w:divBdr>
        </w:div>
        <w:div w:id="1685788028">
          <w:marLeft w:val="0"/>
          <w:marRight w:val="0"/>
          <w:marTop w:val="0"/>
          <w:marBottom w:val="0"/>
          <w:divBdr>
            <w:top w:val="none" w:sz="0" w:space="0" w:color="auto"/>
            <w:left w:val="none" w:sz="0" w:space="0" w:color="auto"/>
            <w:bottom w:val="none" w:sz="0" w:space="0" w:color="auto"/>
            <w:right w:val="none" w:sz="0" w:space="0" w:color="auto"/>
          </w:divBdr>
        </w:div>
        <w:div w:id="1093353151">
          <w:marLeft w:val="0"/>
          <w:marRight w:val="0"/>
          <w:marTop w:val="0"/>
          <w:marBottom w:val="0"/>
          <w:divBdr>
            <w:top w:val="none" w:sz="0" w:space="0" w:color="auto"/>
            <w:left w:val="none" w:sz="0" w:space="0" w:color="auto"/>
            <w:bottom w:val="none" w:sz="0" w:space="0" w:color="auto"/>
            <w:right w:val="none" w:sz="0" w:space="0" w:color="auto"/>
          </w:divBdr>
        </w:div>
        <w:div w:id="1096249288">
          <w:marLeft w:val="0"/>
          <w:marRight w:val="0"/>
          <w:marTop w:val="0"/>
          <w:marBottom w:val="0"/>
          <w:divBdr>
            <w:top w:val="none" w:sz="0" w:space="0" w:color="auto"/>
            <w:left w:val="none" w:sz="0" w:space="0" w:color="auto"/>
            <w:bottom w:val="none" w:sz="0" w:space="0" w:color="auto"/>
            <w:right w:val="none" w:sz="0" w:space="0" w:color="auto"/>
          </w:divBdr>
        </w:div>
        <w:div w:id="1937208597">
          <w:marLeft w:val="0"/>
          <w:marRight w:val="0"/>
          <w:marTop w:val="0"/>
          <w:marBottom w:val="0"/>
          <w:divBdr>
            <w:top w:val="none" w:sz="0" w:space="0" w:color="auto"/>
            <w:left w:val="none" w:sz="0" w:space="0" w:color="auto"/>
            <w:bottom w:val="none" w:sz="0" w:space="0" w:color="auto"/>
            <w:right w:val="none" w:sz="0" w:space="0" w:color="auto"/>
          </w:divBdr>
        </w:div>
        <w:div w:id="1090278697">
          <w:marLeft w:val="0"/>
          <w:marRight w:val="0"/>
          <w:marTop w:val="0"/>
          <w:marBottom w:val="0"/>
          <w:divBdr>
            <w:top w:val="none" w:sz="0" w:space="0" w:color="auto"/>
            <w:left w:val="none" w:sz="0" w:space="0" w:color="auto"/>
            <w:bottom w:val="none" w:sz="0" w:space="0" w:color="auto"/>
            <w:right w:val="none" w:sz="0" w:space="0" w:color="auto"/>
          </w:divBdr>
        </w:div>
      </w:divsChild>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85107118">
      <w:bodyDiv w:val="1"/>
      <w:marLeft w:val="0"/>
      <w:marRight w:val="0"/>
      <w:marTop w:val="0"/>
      <w:marBottom w:val="0"/>
      <w:divBdr>
        <w:top w:val="none" w:sz="0" w:space="0" w:color="auto"/>
        <w:left w:val="none" w:sz="0" w:space="0" w:color="auto"/>
        <w:bottom w:val="none" w:sz="0" w:space="0" w:color="auto"/>
        <w:right w:val="none" w:sz="0" w:space="0" w:color="auto"/>
      </w:divBdr>
    </w:div>
    <w:div w:id="1098677616">
      <w:bodyDiv w:val="1"/>
      <w:marLeft w:val="0"/>
      <w:marRight w:val="0"/>
      <w:marTop w:val="0"/>
      <w:marBottom w:val="0"/>
      <w:divBdr>
        <w:top w:val="none" w:sz="0" w:space="0" w:color="auto"/>
        <w:left w:val="none" w:sz="0" w:space="0" w:color="auto"/>
        <w:bottom w:val="none" w:sz="0" w:space="0" w:color="auto"/>
        <w:right w:val="none" w:sz="0" w:space="0" w:color="auto"/>
      </w:divBdr>
    </w:div>
    <w:div w:id="1132359949">
      <w:bodyDiv w:val="1"/>
      <w:marLeft w:val="0"/>
      <w:marRight w:val="0"/>
      <w:marTop w:val="0"/>
      <w:marBottom w:val="0"/>
      <w:divBdr>
        <w:top w:val="none" w:sz="0" w:space="0" w:color="auto"/>
        <w:left w:val="none" w:sz="0" w:space="0" w:color="auto"/>
        <w:bottom w:val="none" w:sz="0" w:space="0" w:color="auto"/>
        <w:right w:val="none" w:sz="0" w:space="0" w:color="auto"/>
      </w:divBdr>
    </w:div>
    <w:div w:id="1134367701">
      <w:bodyDiv w:val="1"/>
      <w:marLeft w:val="0"/>
      <w:marRight w:val="0"/>
      <w:marTop w:val="0"/>
      <w:marBottom w:val="0"/>
      <w:divBdr>
        <w:top w:val="none" w:sz="0" w:space="0" w:color="auto"/>
        <w:left w:val="none" w:sz="0" w:space="0" w:color="auto"/>
        <w:bottom w:val="none" w:sz="0" w:space="0" w:color="auto"/>
        <w:right w:val="none" w:sz="0" w:space="0" w:color="auto"/>
      </w:divBdr>
    </w:div>
    <w:div w:id="1230657498">
      <w:bodyDiv w:val="1"/>
      <w:marLeft w:val="0"/>
      <w:marRight w:val="0"/>
      <w:marTop w:val="0"/>
      <w:marBottom w:val="0"/>
      <w:divBdr>
        <w:top w:val="none" w:sz="0" w:space="0" w:color="auto"/>
        <w:left w:val="none" w:sz="0" w:space="0" w:color="auto"/>
        <w:bottom w:val="none" w:sz="0" w:space="0" w:color="auto"/>
        <w:right w:val="none" w:sz="0" w:space="0" w:color="auto"/>
      </w:divBdr>
    </w:div>
    <w:div w:id="1297493022">
      <w:bodyDiv w:val="1"/>
      <w:marLeft w:val="0"/>
      <w:marRight w:val="0"/>
      <w:marTop w:val="0"/>
      <w:marBottom w:val="0"/>
      <w:divBdr>
        <w:top w:val="none" w:sz="0" w:space="0" w:color="auto"/>
        <w:left w:val="none" w:sz="0" w:space="0" w:color="auto"/>
        <w:bottom w:val="none" w:sz="0" w:space="0" w:color="auto"/>
        <w:right w:val="none" w:sz="0" w:space="0" w:color="auto"/>
      </w:divBdr>
    </w:div>
    <w:div w:id="1338456675">
      <w:bodyDiv w:val="1"/>
      <w:marLeft w:val="0"/>
      <w:marRight w:val="0"/>
      <w:marTop w:val="0"/>
      <w:marBottom w:val="0"/>
      <w:divBdr>
        <w:top w:val="none" w:sz="0" w:space="0" w:color="auto"/>
        <w:left w:val="none" w:sz="0" w:space="0" w:color="auto"/>
        <w:bottom w:val="none" w:sz="0" w:space="0" w:color="auto"/>
        <w:right w:val="none" w:sz="0" w:space="0" w:color="auto"/>
      </w:divBdr>
    </w:div>
    <w:div w:id="1374689455">
      <w:bodyDiv w:val="1"/>
      <w:marLeft w:val="0"/>
      <w:marRight w:val="0"/>
      <w:marTop w:val="0"/>
      <w:marBottom w:val="0"/>
      <w:divBdr>
        <w:top w:val="none" w:sz="0" w:space="0" w:color="auto"/>
        <w:left w:val="none" w:sz="0" w:space="0" w:color="auto"/>
        <w:bottom w:val="none" w:sz="0" w:space="0" w:color="auto"/>
        <w:right w:val="none" w:sz="0" w:space="0" w:color="auto"/>
      </w:divBdr>
      <w:divsChild>
        <w:div w:id="53627521">
          <w:marLeft w:val="0"/>
          <w:marRight w:val="0"/>
          <w:marTop w:val="0"/>
          <w:marBottom w:val="0"/>
          <w:divBdr>
            <w:top w:val="single" w:sz="6" w:space="0" w:color="5056A3"/>
            <w:left w:val="single" w:sz="6" w:space="0" w:color="5056A3"/>
            <w:bottom w:val="single" w:sz="6" w:space="0" w:color="5056A3"/>
            <w:right w:val="single" w:sz="6" w:space="0" w:color="5056A3"/>
          </w:divBdr>
          <w:divsChild>
            <w:div w:id="4592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78470">
      <w:bodyDiv w:val="1"/>
      <w:marLeft w:val="0"/>
      <w:marRight w:val="0"/>
      <w:marTop w:val="0"/>
      <w:marBottom w:val="0"/>
      <w:divBdr>
        <w:top w:val="none" w:sz="0" w:space="0" w:color="auto"/>
        <w:left w:val="none" w:sz="0" w:space="0" w:color="auto"/>
        <w:bottom w:val="none" w:sz="0" w:space="0" w:color="auto"/>
        <w:right w:val="none" w:sz="0" w:space="0" w:color="auto"/>
      </w:divBdr>
    </w:div>
    <w:div w:id="1438142178">
      <w:bodyDiv w:val="1"/>
      <w:marLeft w:val="0"/>
      <w:marRight w:val="0"/>
      <w:marTop w:val="0"/>
      <w:marBottom w:val="0"/>
      <w:divBdr>
        <w:top w:val="none" w:sz="0" w:space="0" w:color="auto"/>
        <w:left w:val="none" w:sz="0" w:space="0" w:color="auto"/>
        <w:bottom w:val="none" w:sz="0" w:space="0" w:color="auto"/>
        <w:right w:val="none" w:sz="0" w:space="0" w:color="auto"/>
      </w:divBdr>
    </w:div>
    <w:div w:id="1458912171">
      <w:bodyDiv w:val="1"/>
      <w:marLeft w:val="0"/>
      <w:marRight w:val="0"/>
      <w:marTop w:val="0"/>
      <w:marBottom w:val="0"/>
      <w:divBdr>
        <w:top w:val="none" w:sz="0" w:space="0" w:color="auto"/>
        <w:left w:val="none" w:sz="0" w:space="0" w:color="auto"/>
        <w:bottom w:val="none" w:sz="0" w:space="0" w:color="auto"/>
        <w:right w:val="none" w:sz="0" w:space="0" w:color="auto"/>
      </w:divBdr>
    </w:div>
    <w:div w:id="1515341811">
      <w:bodyDiv w:val="1"/>
      <w:marLeft w:val="0"/>
      <w:marRight w:val="0"/>
      <w:marTop w:val="0"/>
      <w:marBottom w:val="0"/>
      <w:divBdr>
        <w:top w:val="none" w:sz="0" w:space="0" w:color="auto"/>
        <w:left w:val="none" w:sz="0" w:space="0" w:color="auto"/>
        <w:bottom w:val="none" w:sz="0" w:space="0" w:color="auto"/>
        <w:right w:val="none" w:sz="0" w:space="0" w:color="auto"/>
      </w:divBdr>
    </w:div>
    <w:div w:id="1548755931">
      <w:bodyDiv w:val="1"/>
      <w:marLeft w:val="0"/>
      <w:marRight w:val="0"/>
      <w:marTop w:val="0"/>
      <w:marBottom w:val="0"/>
      <w:divBdr>
        <w:top w:val="none" w:sz="0" w:space="0" w:color="auto"/>
        <w:left w:val="none" w:sz="0" w:space="0" w:color="auto"/>
        <w:bottom w:val="none" w:sz="0" w:space="0" w:color="auto"/>
        <w:right w:val="none" w:sz="0" w:space="0" w:color="auto"/>
      </w:divBdr>
      <w:divsChild>
        <w:div w:id="1554657131">
          <w:marLeft w:val="0"/>
          <w:marRight w:val="0"/>
          <w:marTop w:val="0"/>
          <w:marBottom w:val="0"/>
          <w:divBdr>
            <w:top w:val="none" w:sz="0" w:space="0" w:color="auto"/>
            <w:left w:val="none" w:sz="0" w:space="0" w:color="auto"/>
            <w:bottom w:val="none" w:sz="0" w:space="0" w:color="auto"/>
            <w:right w:val="none" w:sz="0" w:space="0" w:color="auto"/>
          </w:divBdr>
        </w:div>
        <w:div w:id="898252269">
          <w:marLeft w:val="0"/>
          <w:marRight w:val="0"/>
          <w:marTop w:val="0"/>
          <w:marBottom w:val="0"/>
          <w:divBdr>
            <w:top w:val="none" w:sz="0" w:space="0" w:color="auto"/>
            <w:left w:val="none" w:sz="0" w:space="0" w:color="auto"/>
            <w:bottom w:val="none" w:sz="0" w:space="0" w:color="auto"/>
            <w:right w:val="none" w:sz="0" w:space="0" w:color="auto"/>
          </w:divBdr>
        </w:div>
        <w:div w:id="1314868277">
          <w:marLeft w:val="0"/>
          <w:marRight w:val="0"/>
          <w:marTop w:val="0"/>
          <w:marBottom w:val="0"/>
          <w:divBdr>
            <w:top w:val="none" w:sz="0" w:space="0" w:color="auto"/>
            <w:left w:val="none" w:sz="0" w:space="0" w:color="auto"/>
            <w:bottom w:val="none" w:sz="0" w:space="0" w:color="auto"/>
            <w:right w:val="none" w:sz="0" w:space="0" w:color="auto"/>
          </w:divBdr>
        </w:div>
        <w:div w:id="900486523">
          <w:marLeft w:val="0"/>
          <w:marRight w:val="0"/>
          <w:marTop w:val="0"/>
          <w:marBottom w:val="0"/>
          <w:divBdr>
            <w:top w:val="none" w:sz="0" w:space="0" w:color="auto"/>
            <w:left w:val="none" w:sz="0" w:space="0" w:color="auto"/>
            <w:bottom w:val="none" w:sz="0" w:space="0" w:color="auto"/>
            <w:right w:val="none" w:sz="0" w:space="0" w:color="auto"/>
          </w:divBdr>
        </w:div>
        <w:div w:id="2009358152">
          <w:marLeft w:val="0"/>
          <w:marRight w:val="0"/>
          <w:marTop w:val="0"/>
          <w:marBottom w:val="0"/>
          <w:divBdr>
            <w:top w:val="none" w:sz="0" w:space="0" w:color="auto"/>
            <w:left w:val="none" w:sz="0" w:space="0" w:color="auto"/>
            <w:bottom w:val="none" w:sz="0" w:space="0" w:color="auto"/>
            <w:right w:val="none" w:sz="0" w:space="0" w:color="auto"/>
          </w:divBdr>
        </w:div>
        <w:div w:id="1701080826">
          <w:marLeft w:val="0"/>
          <w:marRight w:val="0"/>
          <w:marTop w:val="0"/>
          <w:marBottom w:val="0"/>
          <w:divBdr>
            <w:top w:val="none" w:sz="0" w:space="0" w:color="auto"/>
            <w:left w:val="none" w:sz="0" w:space="0" w:color="auto"/>
            <w:bottom w:val="none" w:sz="0" w:space="0" w:color="auto"/>
            <w:right w:val="none" w:sz="0" w:space="0" w:color="auto"/>
          </w:divBdr>
        </w:div>
        <w:div w:id="176427229">
          <w:marLeft w:val="0"/>
          <w:marRight w:val="0"/>
          <w:marTop w:val="0"/>
          <w:marBottom w:val="0"/>
          <w:divBdr>
            <w:top w:val="none" w:sz="0" w:space="0" w:color="auto"/>
            <w:left w:val="none" w:sz="0" w:space="0" w:color="auto"/>
            <w:bottom w:val="none" w:sz="0" w:space="0" w:color="auto"/>
            <w:right w:val="none" w:sz="0" w:space="0" w:color="auto"/>
          </w:divBdr>
        </w:div>
        <w:div w:id="208611038">
          <w:marLeft w:val="0"/>
          <w:marRight w:val="0"/>
          <w:marTop w:val="0"/>
          <w:marBottom w:val="0"/>
          <w:divBdr>
            <w:top w:val="none" w:sz="0" w:space="0" w:color="auto"/>
            <w:left w:val="none" w:sz="0" w:space="0" w:color="auto"/>
            <w:bottom w:val="none" w:sz="0" w:space="0" w:color="auto"/>
            <w:right w:val="none" w:sz="0" w:space="0" w:color="auto"/>
          </w:divBdr>
        </w:div>
        <w:div w:id="712968306">
          <w:marLeft w:val="0"/>
          <w:marRight w:val="0"/>
          <w:marTop w:val="0"/>
          <w:marBottom w:val="0"/>
          <w:divBdr>
            <w:top w:val="none" w:sz="0" w:space="0" w:color="auto"/>
            <w:left w:val="none" w:sz="0" w:space="0" w:color="auto"/>
            <w:bottom w:val="none" w:sz="0" w:space="0" w:color="auto"/>
            <w:right w:val="none" w:sz="0" w:space="0" w:color="auto"/>
          </w:divBdr>
        </w:div>
        <w:div w:id="228810409">
          <w:marLeft w:val="0"/>
          <w:marRight w:val="0"/>
          <w:marTop w:val="0"/>
          <w:marBottom w:val="0"/>
          <w:divBdr>
            <w:top w:val="none" w:sz="0" w:space="0" w:color="auto"/>
            <w:left w:val="none" w:sz="0" w:space="0" w:color="auto"/>
            <w:bottom w:val="none" w:sz="0" w:space="0" w:color="auto"/>
            <w:right w:val="none" w:sz="0" w:space="0" w:color="auto"/>
          </w:divBdr>
        </w:div>
        <w:div w:id="262155569">
          <w:marLeft w:val="0"/>
          <w:marRight w:val="0"/>
          <w:marTop w:val="0"/>
          <w:marBottom w:val="0"/>
          <w:divBdr>
            <w:top w:val="none" w:sz="0" w:space="0" w:color="auto"/>
            <w:left w:val="none" w:sz="0" w:space="0" w:color="auto"/>
            <w:bottom w:val="none" w:sz="0" w:space="0" w:color="auto"/>
            <w:right w:val="none" w:sz="0" w:space="0" w:color="auto"/>
          </w:divBdr>
        </w:div>
        <w:div w:id="1079979646">
          <w:marLeft w:val="0"/>
          <w:marRight w:val="0"/>
          <w:marTop w:val="0"/>
          <w:marBottom w:val="0"/>
          <w:divBdr>
            <w:top w:val="none" w:sz="0" w:space="0" w:color="auto"/>
            <w:left w:val="none" w:sz="0" w:space="0" w:color="auto"/>
            <w:bottom w:val="none" w:sz="0" w:space="0" w:color="auto"/>
            <w:right w:val="none" w:sz="0" w:space="0" w:color="auto"/>
          </w:divBdr>
        </w:div>
        <w:div w:id="792481687">
          <w:marLeft w:val="0"/>
          <w:marRight w:val="0"/>
          <w:marTop w:val="0"/>
          <w:marBottom w:val="0"/>
          <w:divBdr>
            <w:top w:val="none" w:sz="0" w:space="0" w:color="auto"/>
            <w:left w:val="none" w:sz="0" w:space="0" w:color="auto"/>
            <w:bottom w:val="none" w:sz="0" w:space="0" w:color="auto"/>
            <w:right w:val="none" w:sz="0" w:space="0" w:color="auto"/>
          </w:divBdr>
        </w:div>
        <w:div w:id="79716165">
          <w:marLeft w:val="0"/>
          <w:marRight w:val="0"/>
          <w:marTop w:val="0"/>
          <w:marBottom w:val="0"/>
          <w:divBdr>
            <w:top w:val="none" w:sz="0" w:space="0" w:color="auto"/>
            <w:left w:val="none" w:sz="0" w:space="0" w:color="auto"/>
            <w:bottom w:val="none" w:sz="0" w:space="0" w:color="auto"/>
            <w:right w:val="none" w:sz="0" w:space="0" w:color="auto"/>
          </w:divBdr>
        </w:div>
        <w:div w:id="139883259">
          <w:marLeft w:val="0"/>
          <w:marRight w:val="0"/>
          <w:marTop w:val="0"/>
          <w:marBottom w:val="0"/>
          <w:divBdr>
            <w:top w:val="none" w:sz="0" w:space="0" w:color="auto"/>
            <w:left w:val="none" w:sz="0" w:space="0" w:color="auto"/>
            <w:bottom w:val="none" w:sz="0" w:space="0" w:color="auto"/>
            <w:right w:val="none" w:sz="0" w:space="0" w:color="auto"/>
          </w:divBdr>
        </w:div>
        <w:div w:id="587271511">
          <w:marLeft w:val="0"/>
          <w:marRight w:val="0"/>
          <w:marTop w:val="0"/>
          <w:marBottom w:val="0"/>
          <w:divBdr>
            <w:top w:val="none" w:sz="0" w:space="0" w:color="auto"/>
            <w:left w:val="none" w:sz="0" w:space="0" w:color="auto"/>
            <w:bottom w:val="none" w:sz="0" w:space="0" w:color="auto"/>
            <w:right w:val="none" w:sz="0" w:space="0" w:color="auto"/>
          </w:divBdr>
        </w:div>
        <w:div w:id="1104888188">
          <w:marLeft w:val="0"/>
          <w:marRight w:val="0"/>
          <w:marTop w:val="0"/>
          <w:marBottom w:val="0"/>
          <w:divBdr>
            <w:top w:val="none" w:sz="0" w:space="0" w:color="auto"/>
            <w:left w:val="none" w:sz="0" w:space="0" w:color="auto"/>
            <w:bottom w:val="none" w:sz="0" w:space="0" w:color="auto"/>
            <w:right w:val="none" w:sz="0" w:space="0" w:color="auto"/>
          </w:divBdr>
        </w:div>
        <w:div w:id="1539732803">
          <w:marLeft w:val="0"/>
          <w:marRight w:val="0"/>
          <w:marTop w:val="0"/>
          <w:marBottom w:val="0"/>
          <w:divBdr>
            <w:top w:val="none" w:sz="0" w:space="0" w:color="auto"/>
            <w:left w:val="none" w:sz="0" w:space="0" w:color="auto"/>
            <w:bottom w:val="none" w:sz="0" w:space="0" w:color="auto"/>
            <w:right w:val="none" w:sz="0" w:space="0" w:color="auto"/>
          </w:divBdr>
        </w:div>
        <w:div w:id="1137064840">
          <w:marLeft w:val="0"/>
          <w:marRight w:val="0"/>
          <w:marTop w:val="0"/>
          <w:marBottom w:val="0"/>
          <w:divBdr>
            <w:top w:val="none" w:sz="0" w:space="0" w:color="auto"/>
            <w:left w:val="none" w:sz="0" w:space="0" w:color="auto"/>
            <w:bottom w:val="none" w:sz="0" w:space="0" w:color="auto"/>
            <w:right w:val="none" w:sz="0" w:space="0" w:color="auto"/>
          </w:divBdr>
        </w:div>
        <w:div w:id="1945377784">
          <w:marLeft w:val="0"/>
          <w:marRight w:val="0"/>
          <w:marTop w:val="0"/>
          <w:marBottom w:val="0"/>
          <w:divBdr>
            <w:top w:val="none" w:sz="0" w:space="0" w:color="auto"/>
            <w:left w:val="none" w:sz="0" w:space="0" w:color="auto"/>
            <w:bottom w:val="none" w:sz="0" w:space="0" w:color="auto"/>
            <w:right w:val="none" w:sz="0" w:space="0" w:color="auto"/>
          </w:divBdr>
        </w:div>
        <w:div w:id="2061250091">
          <w:marLeft w:val="0"/>
          <w:marRight w:val="0"/>
          <w:marTop w:val="0"/>
          <w:marBottom w:val="0"/>
          <w:divBdr>
            <w:top w:val="none" w:sz="0" w:space="0" w:color="auto"/>
            <w:left w:val="none" w:sz="0" w:space="0" w:color="auto"/>
            <w:bottom w:val="none" w:sz="0" w:space="0" w:color="auto"/>
            <w:right w:val="none" w:sz="0" w:space="0" w:color="auto"/>
          </w:divBdr>
        </w:div>
        <w:div w:id="1078285433">
          <w:marLeft w:val="0"/>
          <w:marRight w:val="0"/>
          <w:marTop w:val="0"/>
          <w:marBottom w:val="0"/>
          <w:divBdr>
            <w:top w:val="none" w:sz="0" w:space="0" w:color="auto"/>
            <w:left w:val="none" w:sz="0" w:space="0" w:color="auto"/>
            <w:bottom w:val="none" w:sz="0" w:space="0" w:color="auto"/>
            <w:right w:val="none" w:sz="0" w:space="0" w:color="auto"/>
          </w:divBdr>
        </w:div>
        <w:div w:id="1447310840">
          <w:marLeft w:val="0"/>
          <w:marRight w:val="0"/>
          <w:marTop w:val="0"/>
          <w:marBottom w:val="0"/>
          <w:divBdr>
            <w:top w:val="none" w:sz="0" w:space="0" w:color="auto"/>
            <w:left w:val="none" w:sz="0" w:space="0" w:color="auto"/>
            <w:bottom w:val="none" w:sz="0" w:space="0" w:color="auto"/>
            <w:right w:val="none" w:sz="0" w:space="0" w:color="auto"/>
          </w:divBdr>
        </w:div>
        <w:div w:id="1933316512">
          <w:marLeft w:val="0"/>
          <w:marRight w:val="0"/>
          <w:marTop w:val="0"/>
          <w:marBottom w:val="0"/>
          <w:divBdr>
            <w:top w:val="none" w:sz="0" w:space="0" w:color="auto"/>
            <w:left w:val="none" w:sz="0" w:space="0" w:color="auto"/>
            <w:bottom w:val="none" w:sz="0" w:space="0" w:color="auto"/>
            <w:right w:val="none" w:sz="0" w:space="0" w:color="auto"/>
          </w:divBdr>
        </w:div>
        <w:div w:id="734855511">
          <w:marLeft w:val="0"/>
          <w:marRight w:val="0"/>
          <w:marTop w:val="0"/>
          <w:marBottom w:val="0"/>
          <w:divBdr>
            <w:top w:val="none" w:sz="0" w:space="0" w:color="auto"/>
            <w:left w:val="none" w:sz="0" w:space="0" w:color="auto"/>
            <w:bottom w:val="none" w:sz="0" w:space="0" w:color="auto"/>
            <w:right w:val="none" w:sz="0" w:space="0" w:color="auto"/>
          </w:divBdr>
        </w:div>
        <w:div w:id="1980528552">
          <w:marLeft w:val="0"/>
          <w:marRight w:val="0"/>
          <w:marTop w:val="0"/>
          <w:marBottom w:val="0"/>
          <w:divBdr>
            <w:top w:val="none" w:sz="0" w:space="0" w:color="auto"/>
            <w:left w:val="none" w:sz="0" w:space="0" w:color="auto"/>
            <w:bottom w:val="none" w:sz="0" w:space="0" w:color="auto"/>
            <w:right w:val="none" w:sz="0" w:space="0" w:color="auto"/>
          </w:divBdr>
        </w:div>
        <w:div w:id="58333332">
          <w:marLeft w:val="0"/>
          <w:marRight w:val="0"/>
          <w:marTop w:val="0"/>
          <w:marBottom w:val="0"/>
          <w:divBdr>
            <w:top w:val="none" w:sz="0" w:space="0" w:color="auto"/>
            <w:left w:val="none" w:sz="0" w:space="0" w:color="auto"/>
            <w:bottom w:val="none" w:sz="0" w:space="0" w:color="auto"/>
            <w:right w:val="none" w:sz="0" w:space="0" w:color="auto"/>
          </w:divBdr>
        </w:div>
        <w:div w:id="1793402601">
          <w:marLeft w:val="0"/>
          <w:marRight w:val="0"/>
          <w:marTop w:val="0"/>
          <w:marBottom w:val="0"/>
          <w:divBdr>
            <w:top w:val="none" w:sz="0" w:space="0" w:color="auto"/>
            <w:left w:val="none" w:sz="0" w:space="0" w:color="auto"/>
            <w:bottom w:val="none" w:sz="0" w:space="0" w:color="auto"/>
            <w:right w:val="none" w:sz="0" w:space="0" w:color="auto"/>
          </w:divBdr>
        </w:div>
        <w:div w:id="1387415344">
          <w:marLeft w:val="0"/>
          <w:marRight w:val="0"/>
          <w:marTop w:val="0"/>
          <w:marBottom w:val="0"/>
          <w:divBdr>
            <w:top w:val="none" w:sz="0" w:space="0" w:color="auto"/>
            <w:left w:val="none" w:sz="0" w:space="0" w:color="auto"/>
            <w:bottom w:val="none" w:sz="0" w:space="0" w:color="auto"/>
            <w:right w:val="none" w:sz="0" w:space="0" w:color="auto"/>
          </w:divBdr>
        </w:div>
        <w:div w:id="594750594">
          <w:marLeft w:val="0"/>
          <w:marRight w:val="0"/>
          <w:marTop w:val="0"/>
          <w:marBottom w:val="0"/>
          <w:divBdr>
            <w:top w:val="none" w:sz="0" w:space="0" w:color="auto"/>
            <w:left w:val="none" w:sz="0" w:space="0" w:color="auto"/>
            <w:bottom w:val="none" w:sz="0" w:space="0" w:color="auto"/>
            <w:right w:val="none" w:sz="0" w:space="0" w:color="auto"/>
          </w:divBdr>
        </w:div>
        <w:div w:id="457800643">
          <w:marLeft w:val="0"/>
          <w:marRight w:val="0"/>
          <w:marTop w:val="0"/>
          <w:marBottom w:val="0"/>
          <w:divBdr>
            <w:top w:val="none" w:sz="0" w:space="0" w:color="auto"/>
            <w:left w:val="none" w:sz="0" w:space="0" w:color="auto"/>
            <w:bottom w:val="none" w:sz="0" w:space="0" w:color="auto"/>
            <w:right w:val="none" w:sz="0" w:space="0" w:color="auto"/>
          </w:divBdr>
        </w:div>
        <w:div w:id="514616370">
          <w:marLeft w:val="0"/>
          <w:marRight w:val="0"/>
          <w:marTop w:val="0"/>
          <w:marBottom w:val="0"/>
          <w:divBdr>
            <w:top w:val="none" w:sz="0" w:space="0" w:color="auto"/>
            <w:left w:val="none" w:sz="0" w:space="0" w:color="auto"/>
            <w:bottom w:val="none" w:sz="0" w:space="0" w:color="auto"/>
            <w:right w:val="none" w:sz="0" w:space="0" w:color="auto"/>
          </w:divBdr>
        </w:div>
      </w:divsChild>
    </w:div>
    <w:div w:id="1583756060">
      <w:bodyDiv w:val="1"/>
      <w:marLeft w:val="0"/>
      <w:marRight w:val="0"/>
      <w:marTop w:val="0"/>
      <w:marBottom w:val="0"/>
      <w:divBdr>
        <w:top w:val="none" w:sz="0" w:space="0" w:color="auto"/>
        <w:left w:val="none" w:sz="0" w:space="0" w:color="auto"/>
        <w:bottom w:val="none" w:sz="0" w:space="0" w:color="auto"/>
        <w:right w:val="none" w:sz="0" w:space="0" w:color="auto"/>
      </w:divBdr>
      <w:divsChild>
        <w:div w:id="485047913">
          <w:marLeft w:val="0"/>
          <w:marRight w:val="0"/>
          <w:marTop w:val="0"/>
          <w:marBottom w:val="0"/>
          <w:divBdr>
            <w:top w:val="none" w:sz="0" w:space="0" w:color="auto"/>
            <w:left w:val="none" w:sz="0" w:space="0" w:color="auto"/>
            <w:bottom w:val="none" w:sz="0" w:space="0" w:color="auto"/>
            <w:right w:val="none" w:sz="0" w:space="0" w:color="auto"/>
          </w:divBdr>
          <w:divsChild>
            <w:div w:id="1841849488">
              <w:marLeft w:val="0"/>
              <w:marRight w:val="0"/>
              <w:marTop w:val="0"/>
              <w:marBottom w:val="0"/>
              <w:divBdr>
                <w:top w:val="none" w:sz="0" w:space="0" w:color="auto"/>
                <w:left w:val="none" w:sz="0" w:space="0" w:color="auto"/>
                <w:bottom w:val="none" w:sz="0" w:space="0" w:color="auto"/>
                <w:right w:val="none" w:sz="0" w:space="0" w:color="auto"/>
              </w:divBdr>
              <w:divsChild>
                <w:div w:id="524560126">
                  <w:marLeft w:val="0"/>
                  <w:marRight w:val="0"/>
                  <w:marTop w:val="0"/>
                  <w:marBottom w:val="0"/>
                  <w:divBdr>
                    <w:top w:val="none" w:sz="0" w:space="0" w:color="auto"/>
                    <w:left w:val="none" w:sz="0" w:space="0" w:color="auto"/>
                    <w:bottom w:val="none" w:sz="0" w:space="0" w:color="auto"/>
                    <w:right w:val="none" w:sz="0" w:space="0" w:color="auto"/>
                  </w:divBdr>
                  <w:divsChild>
                    <w:div w:id="1347444420">
                      <w:marLeft w:val="0"/>
                      <w:marRight w:val="0"/>
                      <w:marTop w:val="0"/>
                      <w:marBottom w:val="0"/>
                      <w:divBdr>
                        <w:top w:val="none" w:sz="0" w:space="0" w:color="auto"/>
                        <w:left w:val="none" w:sz="0" w:space="0" w:color="auto"/>
                        <w:bottom w:val="none" w:sz="0" w:space="0" w:color="auto"/>
                        <w:right w:val="none" w:sz="0" w:space="0" w:color="auto"/>
                      </w:divBdr>
                      <w:divsChild>
                        <w:div w:id="1926719701">
                          <w:marLeft w:val="0"/>
                          <w:marRight w:val="0"/>
                          <w:marTop w:val="0"/>
                          <w:marBottom w:val="0"/>
                          <w:divBdr>
                            <w:top w:val="none" w:sz="0" w:space="0" w:color="auto"/>
                            <w:left w:val="none" w:sz="0" w:space="0" w:color="auto"/>
                            <w:bottom w:val="none" w:sz="0" w:space="0" w:color="auto"/>
                            <w:right w:val="none" w:sz="0" w:space="0" w:color="auto"/>
                          </w:divBdr>
                          <w:divsChild>
                            <w:div w:id="2051108304">
                              <w:marLeft w:val="0"/>
                              <w:marRight w:val="0"/>
                              <w:marTop w:val="0"/>
                              <w:marBottom w:val="0"/>
                              <w:divBdr>
                                <w:top w:val="none" w:sz="0" w:space="0" w:color="auto"/>
                                <w:left w:val="none" w:sz="0" w:space="0" w:color="auto"/>
                                <w:bottom w:val="none" w:sz="0" w:space="0" w:color="auto"/>
                                <w:right w:val="none" w:sz="0" w:space="0" w:color="auto"/>
                              </w:divBdr>
                              <w:divsChild>
                                <w:div w:id="8542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442081">
      <w:bodyDiv w:val="1"/>
      <w:marLeft w:val="0"/>
      <w:marRight w:val="0"/>
      <w:marTop w:val="0"/>
      <w:marBottom w:val="0"/>
      <w:divBdr>
        <w:top w:val="none" w:sz="0" w:space="0" w:color="auto"/>
        <w:left w:val="none" w:sz="0" w:space="0" w:color="auto"/>
        <w:bottom w:val="none" w:sz="0" w:space="0" w:color="auto"/>
        <w:right w:val="none" w:sz="0" w:space="0" w:color="auto"/>
      </w:divBdr>
    </w:div>
    <w:div w:id="1767967616">
      <w:bodyDiv w:val="1"/>
      <w:marLeft w:val="0"/>
      <w:marRight w:val="0"/>
      <w:marTop w:val="0"/>
      <w:marBottom w:val="0"/>
      <w:divBdr>
        <w:top w:val="none" w:sz="0" w:space="0" w:color="auto"/>
        <w:left w:val="none" w:sz="0" w:space="0" w:color="auto"/>
        <w:bottom w:val="none" w:sz="0" w:space="0" w:color="auto"/>
        <w:right w:val="none" w:sz="0" w:space="0" w:color="auto"/>
      </w:divBdr>
      <w:divsChild>
        <w:div w:id="804004419">
          <w:marLeft w:val="0"/>
          <w:marRight w:val="0"/>
          <w:marTop w:val="0"/>
          <w:marBottom w:val="0"/>
          <w:divBdr>
            <w:top w:val="none" w:sz="0" w:space="0" w:color="auto"/>
            <w:left w:val="none" w:sz="0" w:space="0" w:color="auto"/>
            <w:bottom w:val="none" w:sz="0" w:space="0" w:color="auto"/>
            <w:right w:val="none" w:sz="0" w:space="0" w:color="auto"/>
          </w:divBdr>
          <w:divsChild>
            <w:div w:id="1425107753">
              <w:marLeft w:val="0"/>
              <w:marRight w:val="0"/>
              <w:marTop w:val="0"/>
              <w:marBottom w:val="0"/>
              <w:divBdr>
                <w:top w:val="none" w:sz="0" w:space="0" w:color="auto"/>
                <w:left w:val="none" w:sz="0" w:space="0" w:color="auto"/>
                <w:bottom w:val="none" w:sz="0" w:space="0" w:color="auto"/>
                <w:right w:val="none" w:sz="0" w:space="0" w:color="auto"/>
              </w:divBdr>
              <w:divsChild>
                <w:div w:id="1439058671">
                  <w:marLeft w:val="0"/>
                  <w:marRight w:val="0"/>
                  <w:marTop w:val="0"/>
                  <w:marBottom w:val="0"/>
                  <w:divBdr>
                    <w:top w:val="none" w:sz="0" w:space="0" w:color="auto"/>
                    <w:left w:val="none" w:sz="0" w:space="0" w:color="auto"/>
                    <w:bottom w:val="none" w:sz="0" w:space="0" w:color="auto"/>
                    <w:right w:val="none" w:sz="0" w:space="0" w:color="auto"/>
                  </w:divBdr>
                  <w:divsChild>
                    <w:div w:id="386033253">
                      <w:marLeft w:val="0"/>
                      <w:marRight w:val="0"/>
                      <w:marTop w:val="0"/>
                      <w:marBottom w:val="0"/>
                      <w:divBdr>
                        <w:top w:val="none" w:sz="0" w:space="0" w:color="auto"/>
                        <w:left w:val="none" w:sz="0" w:space="0" w:color="auto"/>
                        <w:bottom w:val="none" w:sz="0" w:space="0" w:color="auto"/>
                        <w:right w:val="none" w:sz="0" w:space="0" w:color="auto"/>
                      </w:divBdr>
                      <w:divsChild>
                        <w:div w:id="1065638822">
                          <w:marLeft w:val="0"/>
                          <w:marRight w:val="0"/>
                          <w:marTop w:val="0"/>
                          <w:marBottom w:val="0"/>
                          <w:divBdr>
                            <w:top w:val="none" w:sz="0" w:space="0" w:color="auto"/>
                            <w:left w:val="none" w:sz="0" w:space="0" w:color="auto"/>
                            <w:bottom w:val="none" w:sz="0" w:space="0" w:color="auto"/>
                            <w:right w:val="none" w:sz="0" w:space="0" w:color="auto"/>
                          </w:divBdr>
                          <w:divsChild>
                            <w:div w:id="12857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92517">
      <w:bodyDiv w:val="1"/>
      <w:marLeft w:val="0"/>
      <w:marRight w:val="0"/>
      <w:marTop w:val="0"/>
      <w:marBottom w:val="0"/>
      <w:divBdr>
        <w:top w:val="none" w:sz="0" w:space="0" w:color="auto"/>
        <w:left w:val="none" w:sz="0" w:space="0" w:color="auto"/>
        <w:bottom w:val="none" w:sz="0" w:space="0" w:color="auto"/>
        <w:right w:val="none" w:sz="0" w:space="0" w:color="auto"/>
      </w:divBdr>
    </w:div>
    <w:div w:id="19480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8" Type="http://schemas.openxmlformats.org/officeDocument/2006/relationships/hyperlink" Target="http://www.austlii.edu.au/au/other/IndigLRes/rciadic/" TargetMode="External"/><Relationship Id="rId3" Type="http://schemas.openxmlformats.org/officeDocument/2006/relationships/hyperlink" Target="https://www.humanrights.gov.au/our-work/disability-rights/publications/equal-law" TargetMode="External"/><Relationship Id="rId7" Type="http://schemas.openxmlformats.org/officeDocument/2006/relationships/hyperlink" Target="http://www.judcom.nsw.gov.au/publications/benchbks/equality" TargetMode="External"/><Relationship Id="rId2" Type="http://schemas.openxmlformats.org/officeDocument/2006/relationships/hyperlink" Target="https://www.humanrights.gov.au/our-work/aboriginal-and-torres-strait-islander-social-justice/publications/social-justice-report-11" TargetMode="External"/><Relationship Id="rId1" Type="http://schemas.openxmlformats.org/officeDocument/2006/relationships/hyperlink" Target="https://www.humanrights.gov.au/our-work/aboriginal-and-torres-strait-islander-social-justice/publications/preventing-crime-and" TargetMode="External"/><Relationship Id="rId6" Type="http://schemas.openxmlformats.org/officeDocument/2006/relationships/hyperlink" Target="https://www.humanrights.gov.au/our-work/disability-rights/publications/equal-law" TargetMode="External"/><Relationship Id="rId5" Type="http://schemas.openxmlformats.org/officeDocument/2006/relationships/hyperlink" Target="https://www.humanrights.gov.au/our-work/aboriginal-and-torres-strait-islander-social-justice/publications/preventing-crime-and" TargetMode="External"/><Relationship Id="rId4" Type="http://schemas.openxmlformats.org/officeDocument/2006/relationships/hyperlink" Target="https://www.humanrights.gov.au/our-work/legal/publications/ka-kb-kc-and-kd-v-commonwealth-australia" TargetMode="External"/><Relationship Id="rId9" Type="http://schemas.openxmlformats.org/officeDocument/2006/relationships/hyperlink" Target="https://www.humanrights.gov.au/our-work/legal/publications/ka-kb-kc-and-kd-v-commonwealth-austral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5D50C-23EA-4EF4-BCE1-2C7100BF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36</Pages>
  <Words>11211</Words>
  <Characters>62995</Characters>
  <Application>Microsoft Office Word</Application>
  <DocSecurity>0</DocSecurity>
  <Lines>524</Lines>
  <Paragraphs>148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74058</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Sarah Dillon</dc:creator>
  <cp:lastModifiedBy>Sarah Dillon</cp:lastModifiedBy>
  <cp:revision>265</cp:revision>
  <cp:lastPrinted>2016-03-30T23:09:00Z</cp:lastPrinted>
  <dcterms:created xsi:type="dcterms:W3CDTF">2016-03-31T02:15:00Z</dcterms:created>
  <dcterms:modified xsi:type="dcterms:W3CDTF">2016-03-31T04:25:00Z</dcterms:modified>
</cp:coreProperties>
</file>