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66" w:rsidRDefault="007C0A4D">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4" type="#_x0000_t202" style="position:absolute;margin-left:10.8pt;margin-top:24pt;width:8in;height:99.85pt;z-index:-2516628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824"/>
                    <w:gridCol w:w="9696"/>
                  </w:tblGrid>
                  <w:tr w:rsidR="00771F66">
                    <w:tblPrEx>
                      <w:tblCellMar>
                        <w:top w:w="0" w:type="dxa"/>
                        <w:bottom w:w="0" w:type="dxa"/>
                      </w:tblCellMar>
                    </w:tblPrEx>
                    <w:trPr>
                      <w:trHeight w:hRule="exact" w:val="922"/>
                    </w:trPr>
                    <w:tc>
                      <w:tcPr>
                        <w:tcW w:w="1824" w:type="dxa"/>
                        <w:tcBorders>
                          <w:top w:val="none" w:sz="0" w:space="0" w:color="000000"/>
                          <w:left w:val="none" w:sz="0" w:space="0" w:color="000000"/>
                          <w:bottom w:val="none" w:sz="0" w:space="0" w:color="000000"/>
                          <w:right w:val="none" w:sz="0" w:space="0" w:color="000000"/>
                        </w:tcBorders>
                      </w:tcPr>
                      <w:p w:rsidR="00771F66" w:rsidRDefault="007C0A4D">
                        <w:pPr>
                          <w:ind w:left="250"/>
                          <w:jc w:val="right"/>
                          <w:textAlignment w:val="baseline"/>
                        </w:pPr>
                        <w:r>
                          <w:rPr>
                            <w:noProof/>
                            <w:lang w:val="en-AU" w:eastAsia="en-AU"/>
                          </w:rPr>
                          <w:drawing>
                            <wp:inline distT="0" distB="0" distL="0" distR="0">
                              <wp:extent cx="999490" cy="5854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99490" cy="585470"/>
                                      </a:xfrm>
                                      <a:prstGeom prst="rect">
                                        <a:avLst/>
                                      </a:prstGeom>
                                    </pic:spPr>
                                  </pic:pic>
                                </a:graphicData>
                              </a:graphic>
                            </wp:inline>
                          </w:drawing>
                        </w:r>
                      </w:p>
                    </w:tc>
                    <w:tc>
                      <w:tcPr>
                        <w:tcW w:w="9696" w:type="dxa"/>
                        <w:tcBorders>
                          <w:top w:val="none" w:sz="0" w:space="0" w:color="000000"/>
                          <w:left w:val="none" w:sz="0" w:space="0" w:color="000000"/>
                          <w:bottom w:val="none" w:sz="0" w:space="0" w:color="000000"/>
                          <w:right w:val="none" w:sz="0" w:space="0" w:color="000000"/>
                        </w:tcBorders>
                      </w:tcPr>
                      <w:p w:rsidR="00771F66" w:rsidRDefault="007C0A4D">
                        <w:pPr>
                          <w:spacing w:before="273" w:line="395" w:lineRule="exact"/>
                          <w:ind w:left="216"/>
                          <w:textAlignment w:val="baseline"/>
                          <w:rPr>
                            <w:rFonts w:eastAsia="Times New Roman"/>
                            <w:b/>
                            <w:color w:val="000000"/>
                            <w:w w:val="95"/>
                            <w:sz w:val="36"/>
                          </w:rPr>
                        </w:pPr>
                        <w:proofErr w:type="spellStart"/>
                        <w:r>
                          <w:rPr>
                            <w:rFonts w:eastAsia="Times New Roman"/>
                            <w:b/>
                            <w:color w:val="000000"/>
                            <w:w w:val="95"/>
                            <w:sz w:val="36"/>
                          </w:rPr>
                          <w:t>Ballarat</w:t>
                        </w:r>
                        <w:proofErr w:type="spellEnd"/>
                        <w:r>
                          <w:rPr>
                            <w:rFonts w:eastAsia="Times New Roman"/>
                            <w:b/>
                            <w:color w:val="000000"/>
                            <w:w w:val="95"/>
                            <w:sz w:val="36"/>
                          </w:rPr>
                          <w:t xml:space="preserve"> Regional Industries Inc.</w:t>
                        </w:r>
                      </w:p>
                      <w:p w:rsidR="00771F66" w:rsidRDefault="007C0A4D">
                        <w:pPr>
                          <w:spacing w:before="116" w:line="132" w:lineRule="exact"/>
                          <w:ind w:left="216"/>
                          <w:textAlignment w:val="baseline"/>
                          <w:rPr>
                            <w:rFonts w:ascii="Verdana" w:eastAsia="Verdana" w:hAnsi="Verdana"/>
                            <w:color w:val="000000"/>
                            <w:sz w:val="12"/>
                          </w:rPr>
                        </w:pPr>
                        <w:r>
                          <w:rPr>
                            <w:rFonts w:ascii="Verdana" w:eastAsia="Verdana" w:hAnsi="Verdana"/>
                            <w:color w:val="000000"/>
                            <w:sz w:val="12"/>
                          </w:rPr>
                          <w:t>ABN 79 684 755 755 • AN A0000108Y</w:t>
                        </w:r>
                      </w:p>
                    </w:tc>
                  </w:tr>
                </w:tbl>
                <w:p w:rsidR="00771F66" w:rsidRDefault="00771F66">
                  <w:pPr>
                    <w:spacing w:after="1055" w:line="20" w:lineRule="exact"/>
                  </w:pPr>
                </w:p>
              </w:txbxContent>
            </v:textbox>
            <w10:wrap type="square" anchorx="page" anchory="page"/>
          </v:shape>
        </w:pict>
      </w:r>
      <w:r>
        <w:pict>
          <v:shape id="_x0000_s1033" type="#_x0000_t202" style="position:absolute;margin-left:10.8pt;margin-top:123.85pt;width:8in;height:642.95pt;z-index:-251661824;mso-wrap-distance-left:0;mso-wrap-distance-right:0;mso-position-horizontal-relative:page;mso-position-vertical-relative:page" filled="f" stroked="f">
            <v:textbox inset="0,0,0,0">
              <w:txbxContent>
                <w:p w:rsidR="00771F66" w:rsidRDefault="007C0A4D">
                  <w:pPr>
                    <w:spacing w:line="240" w:lineRule="exact"/>
                    <w:ind w:left="1224"/>
                    <w:textAlignment w:val="baseline"/>
                    <w:rPr>
                      <w:rFonts w:ascii="Verdana" w:eastAsia="Verdana" w:hAnsi="Verdana"/>
                      <w:color w:val="000000"/>
                      <w:spacing w:val="-7"/>
                      <w:sz w:val="20"/>
                    </w:rPr>
                  </w:pPr>
                  <w:r>
                    <w:rPr>
                      <w:rFonts w:ascii="Verdana" w:eastAsia="Verdana" w:hAnsi="Verdana"/>
                      <w:color w:val="000000"/>
                      <w:spacing w:val="-7"/>
                      <w:sz w:val="20"/>
                    </w:rPr>
                    <w:t>29 October 2013</w:t>
                  </w:r>
                </w:p>
                <w:p w:rsidR="00771F66" w:rsidRDefault="007C0A4D">
                  <w:pPr>
                    <w:spacing w:before="505" w:line="248" w:lineRule="exact"/>
                    <w:ind w:left="1224"/>
                    <w:textAlignment w:val="baseline"/>
                    <w:rPr>
                      <w:rFonts w:ascii="Verdana" w:eastAsia="Verdana" w:hAnsi="Verdana"/>
                      <w:color w:val="000000"/>
                      <w:spacing w:val="-8"/>
                      <w:sz w:val="20"/>
                    </w:rPr>
                  </w:pPr>
                  <w:r>
                    <w:rPr>
                      <w:rFonts w:ascii="Verdana" w:eastAsia="Verdana" w:hAnsi="Verdana"/>
                      <w:color w:val="000000"/>
                      <w:spacing w:val="-8"/>
                      <w:sz w:val="20"/>
                    </w:rPr>
                    <w:t>Legal Section</w:t>
                  </w:r>
                </w:p>
                <w:p w:rsidR="00771F66" w:rsidRDefault="007C0A4D">
                  <w:pPr>
                    <w:spacing w:before="39" w:line="246" w:lineRule="exact"/>
                    <w:ind w:left="1224"/>
                    <w:textAlignment w:val="baseline"/>
                    <w:rPr>
                      <w:rFonts w:ascii="Verdana" w:eastAsia="Verdana" w:hAnsi="Verdana"/>
                      <w:color w:val="000000"/>
                      <w:spacing w:val="-6"/>
                      <w:sz w:val="20"/>
                    </w:rPr>
                  </w:pPr>
                  <w:r>
                    <w:rPr>
                      <w:rFonts w:ascii="Verdana" w:eastAsia="Verdana" w:hAnsi="Verdana"/>
                      <w:color w:val="000000"/>
                      <w:spacing w:val="-6"/>
                      <w:sz w:val="20"/>
                    </w:rPr>
                    <w:t>Australian Human Rights Commission,</w:t>
                  </w:r>
                </w:p>
                <w:p w:rsidR="00771F66" w:rsidRDefault="007C0A4D">
                  <w:pPr>
                    <w:spacing w:before="41" w:line="246" w:lineRule="exact"/>
                    <w:ind w:left="1224"/>
                    <w:textAlignment w:val="baseline"/>
                    <w:rPr>
                      <w:rFonts w:ascii="Verdana" w:eastAsia="Verdana" w:hAnsi="Verdana"/>
                      <w:color w:val="000000"/>
                      <w:spacing w:val="-9"/>
                      <w:sz w:val="20"/>
                    </w:rPr>
                  </w:pPr>
                  <w:r>
                    <w:rPr>
                      <w:rFonts w:ascii="Verdana" w:eastAsia="Verdana" w:hAnsi="Verdana"/>
                      <w:color w:val="000000"/>
                      <w:spacing w:val="-9"/>
                      <w:sz w:val="20"/>
                    </w:rPr>
                    <w:t>GPO Box 5218,</w:t>
                  </w:r>
                </w:p>
                <w:p w:rsidR="00771F66" w:rsidRDefault="007C0A4D">
                  <w:pPr>
                    <w:spacing w:before="37" w:line="246" w:lineRule="exact"/>
                    <w:ind w:left="1224"/>
                    <w:textAlignment w:val="baseline"/>
                    <w:rPr>
                      <w:rFonts w:ascii="Verdana" w:eastAsia="Verdana" w:hAnsi="Verdana"/>
                      <w:color w:val="000000"/>
                      <w:spacing w:val="-11"/>
                      <w:sz w:val="20"/>
                    </w:rPr>
                  </w:pPr>
                  <w:r>
                    <w:rPr>
                      <w:rFonts w:ascii="Verdana" w:eastAsia="Verdana" w:hAnsi="Verdana"/>
                      <w:color w:val="000000"/>
                      <w:spacing w:val="-11"/>
                      <w:sz w:val="20"/>
                    </w:rPr>
                    <w:t>Level 3,</w:t>
                  </w:r>
                </w:p>
                <w:p w:rsidR="00771F66" w:rsidRDefault="007C0A4D">
                  <w:pPr>
                    <w:spacing w:before="40" w:line="246" w:lineRule="exact"/>
                    <w:ind w:left="1224"/>
                    <w:textAlignment w:val="baseline"/>
                    <w:rPr>
                      <w:rFonts w:ascii="Verdana" w:eastAsia="Verdana" w:hAnsi="Verdana"/>
                      <w:color w:val="000000"/>
                      <w:spacing w:val="-9"/>
                      <w:sz w:val="20"/>
                    </w:rPr>
                  </w:pPr>
                  <w:r>
                    <w:rPr>
                      <w:rFonts w:ascii="Verdana" w:eastAsia="Verdana" w:hAnsi="Verdana"/>
                      <w:color w:val="000000"/>
                      <w:spacing w:val="-9"/>
                      <w:sz w:val="20"/>
                    </w:rPr>
                    <w:t>175 Pitt St</w:t>
                  </w:r>
                </w:p>
                <w:p w:rsidR="00771F66" w:rsidRDefault="007C0A4D">
                  <w:pPr>
                    <w:spacing w:before="35" w:line="246" w:lineRule="exact"/>
                    <w:ind w:left="1224"/>
                    <w:textAlignment w:val="baseline"/>
                    <w:rPr>
                      <w:rFonts w:ascii="Verdana" w:eastAsia="Verdana" w:hAnsi="Verdana"/>
                      <w:color w:val="000000"/>
                      <w:spacing w:val="-9"/>
                      <w:sz w:val="20"/>
                    </w:rPr>
                  </w:pPr>
                  <w:r>
                    <w:rPr>
                      <w:rFonts w:ascii="Verdana" w:eastAsia="Verdana" w:hAnsi="Verdana"/>
                      <w:color w:val="000000"/>
                      <w:spacing w:val="-9"/>
                      <w:sz w:val="20"/>
                    </w:rPr>
                    <w:t>Sydney NSW 2000</w:t>
                  </w:r>
                </w:p>
                <w:p w:rsidR="00771F66" w:rsidRDefault="007C0A4D">
                  <w:pPr>
                    <w:spacing w:before="618" w:line="246" w:lineRule="exact"/>
                    <w:ind w:left="1224"/>
                    <w:textAlignment w:val="baseline"/>
                    <w:rPr>
                      <w:rFonts w:ascii="Verdana" w:eastAsia="Verdana" w:hAnsi="Verdana"/>
                      <w:color w:val="000000"/>
                      <w:spacing w:val="-6"/>
                      <w:sz w:val="20"/>
                    </w:rPr>
                  </w:pPr>
                  <w:r>
                    <w:rPr>
                      <w:rFonts w:ascii="Verdana" w:eastAsia="Verdana" w:hAnsi="Verdana"/>
                      <w:color w:val="000000"/>
                      <w:spacing w:val="-6"/>
                      <w:sz w:val="20"/>
                    </w:rPr>
                    <w:t>Dear Australian Human Rights Commission,</w:t>
                  </w:r>
                </w:p>
                <w:p w:rsidR="00771F66" w:rsidRDefault="007C0A4D">
                  <w:pPr>
                    <w:spacing w:before="223" w:line="251" w:lineRule="exact"/>
                    <w:ind w:left="1224"/>
                    <w:textAlignment w:val="baseline"/>
                    <w:rPr>
                      <w:rFonts w:ascii="Verdana" w:eastAsia="Verdana" w:hAnsi="Verdana"/>
                      <w:b/>
                      <w:color w:val="000000"/>
                      <w:sz w:val="17"/>
                    </w:rPr>
                  </w:pPr>
                  <w:r>
                    <w:rPr>
                      <w:rFonts w:ascii="Verdana" w:eastAsia="Verdana" w:hAnsi="Verdana"/>
                      <w:b/>
                      <w:color w:val="000000"/>
                      <w:sz w:val="17"/>
                    </w:rPr>
                    <w:t xml:space="preserve">Submission on application for an exemption under the </w:t>
                  </w:r>
                  <w:r>
                    <w:rPr>
                      <w:rFonts w:ascii="Verdana" w:eastAsia="Verdana" w:hAnsi="Verdana"/>
                      <w:b/>
                      <w:i/>
                      <w:color w:val="000000"/>
                      <w:sz w:val="17"/>
                    </w:rPr>
                    <w:t xml:space="preserve">Disability Discrimination Act 1992 </w:t>
                  </w:r>
                  <w:r>
                    <w:rPr>
                      <w:rFonts w:ascii="Verdana" w:eastAsia="Verdana" w:hAnsi="Verdana"/>
                      <w:b/>
                      <w:color w:val="000000"/>
                      <w:sz w:val="17"/>
                    </w:rPr>
                    <w:t>(Cth)</w:t>
                  </w:r>
                </w:p>
                <w:p w:rsidR="00771F66" w:rsidRDefault="007C0A4D">
                  <w:pPr>
                    <w:spacing w:before="178" w:line="284" w:lineRule="exact"/>
                    <w:ind w:left="1224" w:right="1008"/>
                    <w:textAlignment w:val="baseline"/>
                    <w:rPr>
                      <w:rFonts w:ascii="Verdana" w:eastAsia="Verdana" w:hAnsi="Verdana"/>
                      <w:color w:val="000000"/>
                      <w:spacing w:val="-7"/>
                      <w:sz w:val="20"/>
                    </w:rPr>
                  </w:pPr>
                  <w:r>
                    <w:rPr>
                      <w:rFonts w:ascii="Verdana" w:eastAsia="Verdana" w:hAnsi="Verdana"/>
                      <w:color w:val="000000"/>
                      <w:spacing w:val="-7"/>
                      <w:sz w:val="20"/>
                    </w:rPr>
                    <w:t xml:space="preserve">This submission is being lodged by the Board of Management of </w:t>
                  </w:r>
                  <w:proofErr w:type="spellStart"/>
                  <w:r>
                    <w:rPr>
                      <w:rFonts w:ascii="Verdana" w:eastAsia="Verdana" w:hAnsi="Verdana"/>
                      <w:color w:val="000000"/>
                      <w:spacing w:val="-7"/>
                      <w:sz w:val="20"/>
                    </w:rPr>
                    <w:t>Ballarat</w:t>
                  </w:r>
                  <w:proofErr w:type="spellEnd"/>
                  <w:r>
                    <w:rPr>
                      <w:rFonts w:ascii="Verdana" w:eastAsia="Verdana" w:hAnsi="Verdana"/>
                      <w:color w:val="000000"/>
                      <w:spacing w:val="-7"/>
                      <w:sz w:val="20"/>
                    </w:rPr>
                    <w:t xml:space="preserve"> Regional Industries, an Australian Disability Enterprise in </w:t>
                  </w:r>
                  <w:proofErr w:type="spellStart"/>
                  <w:r>
                    <w:rPr>
                      <w:rFonts w:ascii="Verdana" w:eastAsia="Verdana" w:hAnsi="Verdana"/>
                      <w:color w:val="000000"/>
                      <w:spacing w:val="-7"/>
                      <w:sz w:val="20"/>
                    </w:rPr>
                    <w:t>Ballarat</w:t>
                  </w:r>
                  <w:proofErr w:type="spellEnd"/>
                  <w:r>
                    <w:rPr>
                      <w:rFonts w:ascii="Verdana" w:eastAsia="Verdana" w:hAnsi="Verdana"/>
                      <w:color w:val="000000"/>
                      <w:spacing w:val="-7"/>
                      <w:sz w:val="20"/>
                    </w:rPr>
                    <w:t xml:space="preserve"> Victoria. We submit th</w:t>
                  </w:r>
                  <w:r>
                    <w:rPr>
                      <w:rFonts w:ascii="Verdana" w:eastAsia="Verdana" w:hAnsi="Verdana"/>
                      <w:color w:val="000000"/>
                      <w:spacing w:val="-7"/>
                      <w:sz w:val="20"/>
                    </w:rPr>
                    <w:t>at the Australian Human Rights Commission should grant the three year exemption from crucial sections of the Disability Discrimination Act 1992 (Cth) that is sought by the Department of Social Services (DSS). We seek the Commission to view the Board of Man</w:t>
                  </w:r>
                  <w:r>
                    <w:rPr>
                      <w:rFonts w:ascii="Verdana" w:eastAsia="Verdana" w:hAnsi="Verdana"/>
                      <w:color w:val="000000"/>
                      <w:spacing w:val="-7"/>
                      <w:sz w:val="20"/>
                    </w:rPr>
                    <w:t>agement of BRI as an interested party and consider our statements below as part of your deliberations.</w:t>
                  </w:r>
                </w:p>
                <w:p w:rsidR="00771F66" w:rsidRDefault="007C0A4D">
                  <w:pPr>
                    <w:spacing w:before="172" w:line="286" w:lineRule="exact"/>
                    <w:ind w:left="1224" w:right="1008"/>
                    <w:textAlignment w:val="baseline"/>
                    <w:rPr>
                      <w:rFonts w:ascii="Verdana" w:eastAsia="Verdana" w:hAnsi="Verdana"/>
                      <w:color w:val="000000"/>
                      <w:sz w:val="20"/>
                    </w:rPr>
                  </w:pPr>
                  <w:r>
                    <w:rPr>
                      <w:rFonts w:ascii="Verdana" w:eastAsia="Verdana" w:hAnsi="Verdana"/>
                      <w:color w:val="000000"/>
                      <w:sz w:val="20"/>
                    </w:rPr>
                    <w:t>BRI was established in 1984 to meet a community call for post education opportunities for people with a disability. Not granting the exemption and making that decision retrospective will most likely force BRI to liquidate its assets and close down. Evidenc</w:t>
                  </w:r>
                  <w:r>
                    <w:rPr>
                      <w:rFonts w:ascii="Verdana" w:eastAsia="Verdana" w:hAnsi="Verdana"/>
                      <w:color w:val="000000"/>
                      <w:sz w:val="20"/>
                    </w:rPr>
                    <w:t>e relating to this statement is embodied further in this submission.</w:t>
                  </w:r>
                </w:p>
                <w:p w:rsidR="00771F66" w:rsidRDefault="007C0A4D">
                  <w:pPr>
                    <w:spacing w:before="175" w:line="286" w:lineRule="exact"/>
                    <w:ind w:left="1224" w:right="1440"/>
                    <w:textAlignment w:val="baseline"/>
                    <w:rPr>
                      <w:rFonts w:ascii="Verdana" w:eastAsia="Verdana" w:hAnsi="Verdana"/>
                      <w:color w:val="000000"/>
                      <w:spacing w:val="-7"/>
                      <w:sz w:val="20"/>
                    </w:rPr>
                  </w:pPr>
                  <w:r>
                    <w:rPr>
                      <w:rFonts w:ascii="Verdana" w:eastAsia="Verdana" w:hAnsi="Verdana"/>
                      <w:color w:val="000000"/>
                      <w:spacing w:val="-7"/>
                      <w:sz w:val="20"/>
                    </w:rPr>
                    <w:t xml:space="preserve">BRI's Mission Statement is </w:t>
                  </w:r>
                  <w:r>
                    <w:rPr>
                      <w:rFonts w:ascii="Verdana" w:eastAsia="Verdana" w:hAnsi="Verdana"/>
                      <w:i/>
                      <w:color w:val="000000"/>
                      <w:spacing w:val="-7"/>
                      <w:sz w:val="20"/>
                    </w:rPr>
                    <w:t xml:space="preserve">"To </w:t>
                  </w:r>
                  <w:proofErr w:type="spellStart"/>
                  <w:r>
                    <w:rPr>
                      <w:rFonts w:ascii="Verdana" w:eastAsia="Verdana" w:hAnsi="Verdana"/>
                      <w:i/>
                      <w:color w:val="000000"/>
                      <w:spacing w:val="-7"/>
                      <w:sz w:val="20"/>
                    </w:rPr>
                    <w:t>optimise</w:t>
                  </w:r>
                  <w:proofErr w:type="spellEnd"/>
                  <w:r>
                    <w:rPr>
                      <w:rFonts w:ascii="Verdana" w:eastAsia="Verdana" w:hAnsi="Verdana"/>
                      <w:i/>
                      <w:color w:val="000000"/>
                      <w:spacing w:val="-7"/>
                      <w:sz w:val="20"/>
                    </w:rPr>
                    <w:t xml:space="preserve"> employment for people with a disability by operating viable manufacturing and service industries based on sound business principles and practices, </w:t>
                  </w:r>
                  <w:r>
                    <w:rPr>
                      <w:rFonts w:ascii="Verdana" w:eastAsia="Verdana" w:hAnsi="Verdana"/>
                      <w:i/>
                      <w:color w:val="000000"/>
                      <w:spacing w:val="-7"/>
                      <w:sz w:val="20"/>
                    </w:rPr>
                    <w:t>providing BRI employees with opportunities to develop and enhance their workplace skills, personal skills and social engagement".</w:t>
                  </w:r>
                </w:p>
                <w:p w:rsidR="00771F66" w:rsidRDefault="007C0A4D">
                  <w:pPr>
                    <w:spacing w:before="181" w:line="284" w:lineRule="exact"/>
                    <w:ind w:left="1224" w:right="1728"/>
                    <w:textAlignment w:val="baseline"/>
                    <w:rPr>
                      <w:rFonts w:ascii="Verdana" w:eastAsia="Verdana" w:hAnsi="Verdana"/>
                      <w:color w:val="000000"/>
                      <w:sz w:val="20"/>
                    </w:rPr>
                  </w:pPr>
                  <w:r>
                    <w:rPr>
                      <w:rFonts w:ascii="Verdana" w:eastAsia="Verdana" w:hAnsi="Verdana"/>
                      <w:color w:val="000000"/>
                      <w:sz w:val="20"/>
                    </w:rPr>
                    <w:t>In 2008, the 1000</w:t>
                  </w:r>
                  <w:r>
                    <w:rPr>
                      <w:rFonts w:ascii="Verdana" w:eastAsia="Verdana" w:hAnsi="Verdana"/>
                      <w:color w:val="000000"/>
                      <w:sz w:val="20"/>
                      <w:vertAlign w:val="superscript"/>
                    </w:rPr>
                    <w:t>th</w:t>
                  </w:r>
                  <w:r>
                    <w:rPr>
                      <w:rFonts w:ascii="Verdana" w:eastAsia="Verdana" w:hAnsi="Verdana"/>
                      <w:color w:val="000000"/>
                      <w:sz w:val="20"/>
                    </w:rPr>
                    <w:t xml:space="preserve"> person with a disability commenced their employment with BRI which demonstrates the contribution BRI has made to the </w:t>
                  </w:r>
                  <w:proofErr w:type="spellStart"/>
                  <w:r>
                    <w:rPr>
                      <w:rFonts w:ascii="Verdana" w:eastAsia="Verdana" w:hAnsi="Verdana"/>
                      <w:color w:val="000000"/>
                      <w:sz w:val="20"/>
                    </w:rPr>
                    <w:t>Ballarat</w:t>
                  </w:r>
                  <w:proofErr w:type="spellEnd"/>
                  <w:r>
                    <w:rPr>
                      <w:rFonts w:ascii="Verdana" w:eastAsia="Verdana" w:hAnsi="Verdana"/>
                      <w:color w:val="000000"/>
                      <w:sz w:val="20"/>
                    </w:rPr>
                    <w:t xml:space="preserve"> community.</w:t>
                  </w:r>
                </w:p>
                <w:p w:rsidR="00771F66" w:rsidRDefault="007C0A4D">
                  <w:pPr>
                    <w:spacing w:before="175" w:line="285" w:lineRule="exact"/>
                    <w:ind w:left="1224" w:right="1008"/>
                    <w:textAlignment w:val="baseline"/>
                    <w:rPr>
                      <w:rFonts w:ascii="Verdana" w:eastAsia="Verdana" w:hAnsi="Verdana"/>
                      <w:color w:val="000000"/>
                      <w:spacing w:val="-7"/>
                      <w:sz w:val="20"/>
                    </w:rPr>
                  </w:pPr>
                  <w:r>
                    <w:rPr>
                      <w:rFonts w:ascii="Verdana" w:eastAsia="Verdana" w:hAnsi="Verdana"/>
                      <w:color w:val="000000"/>
                      <w:spacing w:val="-7"/>
                      <w:sz w:val="20"/>
                    </w:rPr>
                    <w:t xml:space="preserve">BRI is only one of two ADEs in </w:t>
                  </w:r>
                  <w:proofErr w:type="spellStart"/>
                  <w:r>
                    <w:rPr>
                      <w:rFonts w:ascii="Verdana" w:eastAsia="Verdana" w:hAnsi="Verdana"/>
                      <w:color w:val="000000"/>
                      <w:spacing w:val="-7"/>
                      <w:sz w:val="20"/>
                    </w:rPr>
                    <w:t>Ballarat</w:t>
                  </w:r>
                  <w:proofErr w:type="spellEnd"/>
                  <w:r>
                    <w:rPr>
                      <w:rFonts w:ascii="Verdana" w:eastAsia="Verdana" w:hAnsi="Verdana"/>
                      <w:color w:val="000000"/>
                      <w:spacing w:val="-7"/>
                      <w:sz w:val="20"/>
                    </w:rPr>
                    <w:t>. We work in collaboration with our colleagues at McCallum Disability supportin</w:t>
                  </w:r>
                  <w:r>
                    <w:rPr>
                      <w:rFonts w:ascii="Verdana" w:eastAsia="Verdana" w:hAnsi="Verdana"/>
                      <w:color w:val="000000"/>
                      <w:spacing w:val="-7"/>
                      <w:sz w:val="20"/>
                    </w:rPr>
                    <w:t xml:space="preserve">g each other where we can but we are two individual Not for Profit </w:t>
                  </w:r>
                  <w:proofErr w:type="spellStart"/>
                  <w:r>
                    <w:rPr>
                      <w:rFonts w:ascii="Verdana" w:eastAsia="Verdana" w:hAnsi="Verdana"/>
                      <w:color w:val="000000"/>
                      <w:spacing w:val="-7"/>
                      <w:sz w:val="20"/>
                    </w:rPr>
                    <w:t>organisations</w:t>
                  </w:r>
                  <w:proofErr w:type="spellEnd"/>
                  <w:r>
                    <w:rPr>
                      <w:rFonts w:ascii="Verdana" w:eastAsia="Verdana" w:hAnsi="Verdana"/>
                      <w:color w:val="000000"/>
                      <w:spacing w:val="-7"/>
                      <w:sz w:val="20"/>
                    </w:rPr>
                    <w:t xml:space="preserve">. McCallum similarly have made a strong contribution over time to the </w:t>
                  </w:r>
                  <w:proofErr w:type="spellStart"/>
                  <w:r>
                    <w:rPr>
                      <w:rFonts w:ascii="Verdana" w:eastAsia="Verdana" w:hAnsi="Verdana"/>
                      <w:color w:val="000000"/>
                      <w:spacing w:val="-7"/>
                      <w:sz w:val="20"/>
                    </w:rPr>
                    <w:t>Ballarat</w:t>
                  </w:r>
                  <w:proofErr w:type="spellEnd"/>
                  <w:r>
                    <w:rPr>
                      <w:rFonts w:ascii="Verdana" w:eastAsia="Verdana" w:hAnsi="Verdana"/>
                      <w:color w:val="000000"/>
                      <w:spacing w:val="-7"/>
                      <w:sz w:val="20"/>
                    </w:rPr>
                    <w:t xml:space="preserve"> community and 60 employees with a disability and has a growing waiting list as well.</w:t>
                  </w:r>
                </w:p>
                <w:p w:rsidR="00771F66" w:rsidRDefault="007C0A4D">
                  <w:pPr>
                    <w:spacing w:before="178" w:after="1219" w:line="282" w:lineRule="exact"/>
                    <w:ind w:left="1224" w:right="1152"/>
                    <w:textAlignment w:val="baseline"/>
                    <w:rPr>
                      <w:rFonts w:ascii="Verdana" w:eastAsia="Verdana" w:hAnsi="Verdana"/>
                      <w:color w:val="000000"/>
                      <w:spacing w:val="-6"/>
                      <w:sz w:val="20"/>
                    </w:rPr>
                  </w:pPr>
                  <w:r>
                    <w:rPr>
                      <w:rFonts w:ascii="Verdana" w:eastAsia="Verdana" w:hAnsi="Verdana"/>
                      <w:color w:val="000000"/>
                      <w:spacing w:val="-6"/>
                      <w:sz w:val="20"/>
                    </w:rPr>
                    <w:t>BRI believes</w:t>
                  </w:r>
                  <w:r>
                    <w:rPr>
                      <w:rFonts w:ascii="Verdana" w:eastAsia="Verdana" w:hAnsi="Verdana"/>
                      <w:color w:val="000000"/>
                      <w:spacing w:val="-6"/>
                      <w:sz w:val="20"/>
                    </w:rPr>
                    <w:t xml:space="preserve"> that an exemption should be granted for a sufficient period of time deemed necessary for the Federal Government to develop an alternative tool. Granting an exemption so that we may continue to use BSWAT is critical to our ongoing capability to provide emp</w:t>
                  </w:r>
                  <w:r>
                    <w:rPr>
                      <w:rFonts w:ascii="Verdana" w:eastAsia="Verdana" w:hAnsi="Verdana"/>
                      <w:color w:val="000000"/>
                      <w:spacing w:val="-6"/>
                      <w:sz w:val="20"/>
                    </w:rPr>
                    <w:t>loyment for our 140 people with a disability and 27 staff.</w:t>
                  </w:r>
                </w:p>
              </w:txbxContent>
            </v:textbox>
            <w10:wrap type="square" anchorx="page" anchory="page"/>
          </v:shape>
        </w:pict>
      </w:r>
      <w:r>
        <w:pict>
          <v:shape id="_x0000_s1032" type="#_x0000_t202" style="position:absolute;margin-left:10.8pt;margin-top:766.8pt;width:8in;height:50.2pt;z-index:-251660800;mso-wrap-distance-left:0;mso-wrap-distance-right:0;mso-position-horizontal-relative:page;mso-position-vertical-relative:page" fillcolor="black" stroked="f">
            <v:textbox inset="0,0,0,0">
              <w:txbxContent>
                <w:tbl>
                  <w:tblPr>
                    <w:tblW w:w="0" w:type="auto"/>
                    <w:tblLayout w:type="fixed"/>
                    <w:tblCellMar>
                      <w:left w:w="0" w:type="dxa"/>
                      <w:right w:w="0" w:type="dxa"/>
                    </w:tblCellMar>
                    <w:tblLook w:val="04A0" w:firstRow="1" w:lastRow="0" w:firstColumn="1" w:lastColumn="0" w:noHBand="0" w:noVBand="1"/>
                  </w:tblPr>
                  <w:tblGrid>
                    <w:gridCol w:w="2434"/>
                    <w:gridCol w:w="7195"/>
                    <w:gridCol w:w="1891"/>
                  </w:tblGrid>
                  <w:tr w:rsidR="00771F66">
                    <w:tblPrEx>
                      <w:tblCellMar>
                        <w:top w:w="0" w:type="dxa"/>
                        <w:bottom w:w="0" w:type="dxa"/>
                      </w:tblCellMar>
                    </w:tblPrEx>
                    <w:trPr>
                      <w:trHeight w:hRule="exact" w:val="1004"/>
                    </w:trPr>
                    <w:tc>
                      <w:tcPr>
                        <w:tcW w:w="2434" w:type="dxa"/>
                        <w:tcBorders>
                          <w:top w:val="none" w:sz="0" w:space="0" w:color="000000"/>
                          <w:left w:val="none" w:sz="0" w:space="0" w:color="000000"/>
                          <w:bottom w:val="none" w:sz="0" w:space="0" w:color="000000"/>
                          <w:right w:val="none" w:sz="0" w:space="0" w:color="000000"/>
                        </w:tcBorders>
                      </w:tcPr>
                      <w:p w:rsidR="00771F66" w:rsidRDefault="007C0A4D">
                        <w:pPr>
                          <w:spacing w:before="14" w:after="63"/>
                          <w:ind w:left="34"/>
                          <w:jc w:val="center"/>
                          <w:textAlignment w:val="baseline"/>
                        </w:pPr>
                        <w:r>
                          <w:rPr>
                            <w:noProof/>
                            <w:lang w:val="en-AU" w:eastAsia="en-AU"/>
                          </w:rPr>
                          <w:drawing>
                            <wp:inline distT="0" distB="0" distL="0" distR="0">
                              <wp:extent cx="1524000" cy="506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524000" cy="506095"/>
                                      </a:xfrm>
                                      <a:prstGeom prst="rect">
                                        <a:avLst/>
                                      </a:prstGeom>
                                    </pic:spPr>
                                  </pic:pic>
                                </a:graphicData>
                              </a:graphic>
                            </wp:inline>
                          </w:drawing>
                        </w:r>
                      </w:p>
                    </w:tc>
                    <w:tc>
                      <w:tcPr>
                        <w:tcW w:w="7195" w:type="dxa"/>
                        <w:tcBorders>
                          <w:top w:val="none" w:sz="0" w:space="0" w:color="000000"/>
                          <w:left w:val="none" w:sz="0" w:space="0" w:color="000000"/>
                          <w:bottom w:val="none" w:sz="0" w:space="0" w:color="000000"/>
                          <w:right w:val="none" w:sz="0" w:space="0" w:color="000000"/>
                        </w:tcBorders>
                      </w:tcPr>
                      <w:p w:rsidR="00771F66" w:rsidRDefault="007C0A4D">
                        <w:pPr>
                          <w:spacing w:before="187" w:line="242" w:lineRule="exact"/>
                          <w:ind w:right="178"/>
                          <w:jc w:val="right"/>
                          <w:textAlignment w:val="baseline"/>
                          <w:rPr>
                            <w:rFonts w:ascii="Verdana" w:eastAsia="Verdana" w:hAnsi="Verdana"/>
                            <w:color w:val="FFFFFF"/>
                            <w:sz w:val="17"/>
                            <w:shd w:val="solid" w:color="000000" w:fill="000000"/>
                          </w:rPr>
                        </w:pPr>
                        <w:r>
                          <w:rPr>
                            <w:rFonts w:ascii="Verdana" w:eastAsia="Verdana" w:hAnsi="Verdana"/>
                            <w:color w:val="FFFFFF"/>
                            <w:sz w:val="17"/>
                            <w:shd w:val="solid" w:color="000000" w:fill="000000"/>
                          </w:rPr>
                          <w:t>Crescent</w:t>
                        </w:r>
                        <w:r>
                          <w:rPr>
                            <w:rFonts w:ascii="Arial" w:eastAsia="Arial" w:hAnsi="Arial"/>
                            <w:color w:val="FFFFFF"/>
                            <w:sz w:val="17"/>
                            <w:shd w:val="solid" w:color="000000" w:fill="000000"/>
                            <w:vertAlign w:val="subscript"/>
                          </w:rPr>
                          <w:t>;</w:t>
                        </w:r>
                        <w:r>
                          <w:rPr>
                            <w:rFonts w:ascii="Verdana" w:eastAsia="Verdana" w:hAnsi="Verdana"/>
                            <w:color w:val="FFFFFF"/>
                            <w:sz w:val="17"/>
                            <w:shd w:val="solid" w:color="000000" w:fill="000000"/>
                          </w:rPr>
                          <w:t xml:space="preserve"> </w:t>
                        </w:r>
                        <w:proofErr w:type="spellStart"/>
                        <w:r>
                          <w:rPr>
                            <w:rFonts w:ascii="Verdana" w:eastAsia="Verdana" w:hAnsi="Verdana"/>
                            <w:color w:val="FFFFFF"/>
                            <w:sz w:val="17"/>
                            <w:shd w:val="solid" w:color="000000" w:fill="000000"/>
                          </w:rPr>
                          <w:t>Werocioyree</w:t>
                        </w:r>
                        <w:proofErr w:type="spellEnd"/>
                        <w:r>
                          <w:rPr>
                            <w:rFonts w:ascii="Verdana" w:eastAsia="Verdana" w:hAnsi="Verdana"/>
                            <w:color w:val="FFFFFF"/>
                            <w:sz w:val="17"/>
                            <w:shd w:val="solid" w:color="000000" w:fill="000000"/>
                          </w:rPr>
                          <w:t xml:space="preserve"> </w:t>
                        </w:r>
                        <w:proofErr w:type="spellStart"/>
                        <w:r>
                          <w:rPr>
                            <w:rFonts w:ascii="Verdana" w:eastAsia="Verdana" w:hAnsi="Verdana"/>
                            <w:color w:val="FFFFFF"/>
                            <w:sz w:val="17"/>
                            <w:shd w:val="solid" w:color="000000" w:fill="000000"/>
                          </w:rPr>
                          <w:t>infJustrial</w:t>
                        </w:r>
                        <w:proofErr w:type="spellEnd"/>
                        <w:r>
                          <w:rPr>
                            <w:rFonts w:ascii="Verdana" w:eastAsia="Verdana" w:hAnsi="Verdana"/>
                            <w:color w:val="FFFFFF"/>
                            <w:sz w:val="17"/>
                            <w:shd w:val="solid" w:color="000000" w:fill="000000"/>
                          </w:rPr>
                          <w:t xml:space="preserve"> Park Vic 335 • RO Box 36 </w:t>
                        </w:r>
                        <w:proofErr w:type="spellStart"/>
                        <w:r>
                          <w:rPr>
                            <w:rFonts w:ascii="Verdana" w:eastAsia="Verdana" w:hAnsi="Verdana"/>
                            <w:color w:val="FFFFFF"/>
                            <w:sz w:val="17"/>
                            <w:shd w:val="solid" w:color="000000" w:fill="000000"/>
                          </w:rPr>
                          <w:t>Wenclowee</w:t>
                        </w:r>
                        <w:proofErr w:type="spellEnd"/>
                        <w:r>
                          <w:rPr>
                            <w:rFonts w:ascii="Verdana" w:eastAsia="Verdana" w:hAnsi="Verdana"/>
                            <w:color w:val="FFFFFF"/>
                            <w:sz w:val="17"/>
                            <w:shd w:val="solid" w:color="000000" w:fill="000000"/>
                          </w:rPr>
                          <w:t xml:space="preserve"> </w:t>
                        </w:r>
                        <w:proofErr w:type="spellStart"/>
                        <w:r>
                          <w:rPr>
                            <w:rFonts w:ascii="Verdana" w:eastAsia="Verdana" w:hAnsi="Verdana"/>
                            <w:color w:val="FFFFFF"/>
                            <w:sz w:val="17"/>
                            <w:shd w:val="solid" w:color="000000" w:fill="000000"/>
                          </w:rPr>
                          <w:t>Vit</w:t>
                        </w:r>
                        <w:proofErr w:type="spellEnd"/>
                        <w:r>
                          <w:rPr>
                            <w:rFonts w:ascii="Verdana" w:eastAsia="Verdana" w:hAnsi="Verdana"/>
                            <w:color w:val="FFFFFF"/>
                            <w:sz w:val="17"/>
                            <w:shd w:val="solid" w:color="000000" w:fill="000000"/>
                          </w:rPr>
                          <w:t>. 3355</w:t>
                        </w:r>
                      </w:p>
                      <w:p w:rsidR="00771F66" w:rsidRDefault="007C0A4D">
                        <w:pPr>
                          <w:tabs>
                            <w:tab w:val="left" w:pos="2592"/>
                          </w:tabs>
                          <w:spacing w:after="311" w:line="253" w:lineRule="exact"/>
                          <w:ind w:right="808"/>
                          <w:jc w:val="right"/>
                          <w:textAlignment w:val="baseline"/>
                          <w:rPr>
                            <w:rFonts w:ascii="Verdana" w:eastAsia="Verdana" w:hAnsi="Verdana"/>
                            <w:color w:val="FFFFFF"/>
                            <w:sz w:val="17"/>
                            <w:shd w:val="solid" w:color="000000" w:fill="000000"/>
                          </w:rPr>
                        </w:pPr>
                        <w:r>
                          <w:rPr>
                            <w:rFonts w:ascii="Verdana" w:eastAsia="Verdana" w:hAnsi="Verdana"/>
                            <w:color w:val="FFFFFF"/>
                            <w:sz w:val="17"/>
                            <w:shd w:val="solid" w:color="000000" w:fill="000000"/>
                          </w:rPr>
                          <w:t>Phone (03) 5342 6500</w:t>
                        </w:r>
                        <w:r>
                          <w:rPr>
                            <w:rFonts w:ascii="Verdana" w:eastAsia="Verdana" w:hAnsi="Verdana"/>
                            <w:color w:val="FFFFFF"/>
                            <w:sz w:val="17"/>
                            <w:shd w:val="solid" w:color="000000" w:fill="000000"/>
                          </w:rPr>
                          <w:tab/>
                          <w:t xml:space="preserve">(O3) 5 42 6555 • Email </w:t>
                        </w:r>
                        <w:proofErr w:type="spellStart"/>
                        <w:r>
                          <w:rPr>
                            <w:rFonts w:ascii="Verdana" w:eastAsia="Verdana" w:hAnsi="Verdana"/>
                            <w:color w:val="FFFFFF"/>
                            <w:sz w:val="17"/>
                            <w:shd w:val="solid" w:color="000000" w:fill="000000"/>
                          </w:rPr>
                          <w:t>contaci</w:t>
                        </w:r>
                        <w:proofErr w:type="spellEnd"/>
                        <w:r>
                          <w:rPr>
                            <w:rFonts w:ascii="Verdana" w:eastAsia="Verdana" w:hAnsi="Verdana"/>
                            <w:color w:val="FFFFFF"/>
                            <w:sz w:val="17"/>
                            <w:shd w:val="solid" w:color="000000" w:fill="000000"/>
                          </w:rPr>
                          <w:t>(</w:t>
                        </w:r>
                        <w:proofErr w:type="spellStart"/>
                        <w:r>
                          <w:rPr>
                            <w:rFonts w:ascii="Verdana" w:eastAsia="Verdana" w:hAnsi="Verdana"/>
                            <w:color w:val="FFFFFF"/>
                            <w:sz w:val="17"/>
                            <w:shd w:val="solid" w:color="000000" w:fill="000000"/>
                          </w:rPr>
                          <w:t>wlii</w:t>
                        </w:r>
                        <w:proofErr w:type="spellEnd"/>
                        <w:r>
                          <w:rPr>
                            <w:rFonts w:ascii="Verdana" w:eastAsia="Verdana" w:hAnsi="Verdana"/>
                            <w:color w:val="FFFFFF"/>
                            <w:sz w:val="17"/>
                            <w:shd w:val="solid" w:color="000000" w:fill="000000"/>
                          </w:rPr>
                          <w:t xml:space="preserve">, </w:t>
                        </w:r>
                        <w:proofErr w:type="spellStart"/>
                        <w:r>
                          <w:rPr>
                            <w:rFonts w:ascii="Verdana" w:eastAsia="Verdana" w:hAnsi="Verdana"/>
                            <w:color w:val="FFFFFF"/>
                            <w:sz w:val="17"/>
                            <w:shd w:val="solid" w:color="000000" w:fill="000000"/>
                          </w:rPr>
                          <w:t>oig</w:t>
                        </w:r>
                        <w:proofErr w:type="spellEnd"/>
                        <w:r>
                          <w:rPr>
                            <w:rFonts w:ascii="Verdana" w:eastAsia="Verdana" w:hAnsi="Verdana"/>
                            <w:color w:val="FFFFFF"/>
                            <w:sz w:val="17"/>
                            <w:shd w:val="solid" w:color="000000" w:fill="000000"/>
                          </w:rPr>
                          <w:t xml:space="preserve"> au</w:t>
                        </w:r>
                      </w:p>
                    </w:tc>
                    <w:tc>
                      <w:tcPr>
                        <w:tcW w:w="1891" w:type="dxa"/>
                        <w:tcBorders>
                          <w:top w:val="none" w:sz="0" w:space="0" w:color="000000"/>
                          <w:left w:val="none" w:sz="0" w:space="0" w:color="000000"/>
                          <w:bottom w:val="none" w:sz="0" w:space="0" w:color="000000"/>
                          <w:right w:val="none" w:sz="0" w:space="0" w:color="000000"/>
                        </w:tcBorders>
                      </w:tcPr>
                      <w:p w:rsidR="00771F66" w:rsidRDefault="007C0A4D">
                        <w:pPr>
                          <w:spacing w:before="14" w:after="63"/>
                          <w:ind w:right="86"/>
                          <w:textAlignment w:val="baseline"/>
                        </w:pPr>
                        <w:r>
                          <w:rPr>
                            <w:noProof/>
                            <w:lang w:val="en-AU" w:eastAsia="en-AU"/>
                          </w:rPr>
                          <w:drawing>
                            <wp:inline distT="0" distB="0" distL="0" distR="0">
                              <wp:extent cx="1146175" cy="5003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146175" cy="500380"/>
                                      </a:xfrm>
                                      <a:prstGeom prst="rect">
                                        <a:avLst/>
                                      </a:prstGeom>
                                    </pic:spPr>
                                  </pic:pic>
                                </a:graphicData>
                              </a:graphic>
                            </wp:inline>
                          </w:drawing>
                        </w:r>
                      </w:p>
                    </w:tc>
                  </w:tr>
                </w:tbl>
                <w:p w:rsidR="00000000" w:rsidRDefault="007C0A4D"/>
              </w:txbxContent>
            </v:textbox>
            <w10:wrap type="square" anchorx="page" anchory="page"/>
          </v:shape>
        </w:pict>
      </w:r>
    </w:p>
    <w:p w:rsidR="00771F66" w:rsidRDefault="00771F66">
      <w:pPr>
        <w:sectPr w:rsidR="00771F66">
          <w:pgSz w:w="11914" w:h="16848"/>
          <w:pgMar w:top="192" w:right="178" w:bottom="224" w:left="216" w:header="720" w:footer="720" w:gutter="0"/>
          <w:cols w:space="720"/>
        </w:sectPr>
      </w:pPr>
    </w:p>
    <w:p w:rsidR="00771F66" w:rsidRDefault="007C0A4D">
      <w:pPr>
        <w:textAlignment w:val="baseline"/>
        <w:rPr>
          <w:rFonts w:eastAsia="Times New Roman"/>
          <w:color w:val="000000"/>
          <w:sz w:val="24"/>
        </w:rPr>
      </w:pPr>
      <w:r>
        <w:lastRenderedPageBreak/>
        <w:pict>
          <v:shape id="_x0000_s1031" type="#_x0000_t202" style="position:absolute;margin-left:61.7pt;margin-top:104pt;width:477pt;height:730.3pt;z-index:-251659776;mso-wrap-distance-left:0;mso-wrap-distance-right:0;mso-position-horizontal-relative:page;mso-position-vertical-relative:page" filled="f" stroked="f">
            <v:textbox inset="0,0,0,0">
              <w:txbxContent>
                <w:p w:rsidR="00771F66" w:rsidRDefault="007C0A4D">
                  <w:pPr>
                    <w:spacing w:line="271" w:lineRule="exact"/>
                    <w:ind w:right="360"/>
                    <w:textAlignment w:val="baseline"/>
                    <w:rPr>
                      <w:rFonts w:ascii="Tahoma" w:eastAsia="Tahoma" w:hAnsi="Tahoma"/>
                      <w:color w:val="000000"/>
                      <w:spacing w:val="5"/>
                      <w:sz w:val="20"/>
                    </w:rPr>
                  </w:pPr>
                  <w:r>
                    <w:rPr>
                      <w:rFonts w:ascii="Tahoma" w:eastAsia="Tahoma" w:hAnsi="Tahoma"/>
                      <w:color w:val="000000"/>
                      <w:spacing w:val="5"/>
                      <w:sz w:val="20"/>
                    </w:rPr>
                    <w:t>BRI believes that the current ban placed on using BSWAT only further marginalizes people with a disability. Since the instruction from the Government to cease using the tool, we have been unable to perform the triennial reassessments for more than 1/3 of o</w:t>
                  </w:r>
                  <w:r>
                    <w:rPr>
                      <w:rFonts w:ascii="Tahoma" w:eastAsia="Tahoma" w:hAnsi="Tahoma"/>
                      <w:color w:val="000000"/>
                      <w:spacing w:val="5"/>
                      <w:sz w:val="20"/>
                    </w:rPr>
                    <w:t xml:space="preserve">ur workforce. This will increase to over </w:t>
                  </w:r>
                  <w:r>
                    <w:rPr>
                      <w:rFonts w:ascii="Tahoma" w:eastAsia="Tahoma" w:hAnsi="Tahoma"/>
                      <w:color w:val="000000"/>
                      <w:spacing w:val="5"/>
                      <w:sz w:val="20"/>
                      <w:vertAlign w:val="superscript"/>
                    </w:rPr>
                    <w:t>2</w:t>
                  </w:r>
                  <w:r>
                    <w:rPr>
                      <w:rFonts w:ascii="Tahoma" w:eastAsia="Tahoma" w:hAnsi="Tahoma"/>
                      <w:color w:val="000000"/>
                      <w:spacing w:val="5"/>
                      <w:sz w:val="20"/>
                    </w:rPr>
                    <w:t>/</w:t>
                  </w:r>
                  <w:r>
                    <w:rPr>
                      <w:rFonts w:ascii="Tahoma" w:eastAsia="Tahoma" w:hAnsi="Tahoma"/>
                      <w:color w:val="000000"/>
                      <w:spacing w:val="5"/>
                      <w:sz w:val="20"/>
                      <w:vertAlign w:val="subscript"/>
                    </w:rPr>
                    <w:t>3</w:t>
                  </w:r>
                  <w:r>
                    <w:rPr>
                      <w:rFonts w:ascii="Tahoma" w:eastAsia="Tahoma" w:hAnsi="Tahoma"/>
                      <w:color w:val="000000"/>
                      <w:spacing w:val="5"/>
                      <w:sz w:val="20"/>
                    </w:rPr>
                    <w:t xml:space="preserve"> in the next 12 months.</w:t>
                  </w:r>
                </w:p>
                <w:p w:rsidR="00771F66" w:rsidRDefault="007C0A4D">
                  <w:pPr>
                    <w:spacing w:before="196" w:line="278" w:lineRule="exact"/>
                    <w:ind w:right="360"/>
                    <w:textAlignment w:val="baseline"/>
                    <w:rPr>
                      <w:rFonts w:ascii="Tahoma" w:eastAsia="Tahoma" w:hAnsi="Tahoma"/>
                      <w:color w:val="000000"/>
                      <w:sz w:val="20"/>
                    </w:rPr>
                  </w:pPr>
                  <w:r>
                    <w:rPr>
                      <w:rFonts w:ascii="Tahoma" w:eastAsia="Tahoma" w:hAnsi="Tahoma"/>
                      <w:color w:val="000000"/>
                      <w:sz w:val="20"/>
                    </w:rPr>
                    <w:t>Also, we have been unable to properly determine wage rates for our newer employees who have completed their initial 13 weeks assessment period.</w:t>
                  </w:r>
                </w:p>
                <w:p w:rsidR="00771F66" w:rsidRDefault="007C0A4D">
                  <w:pPr>
                    <w:spacing w:before="193" w:line="283" w:lineRule="exact"/>
                    <w:ind w:right="360"/>
                    <w:textAlignment w:val="baseline"/>
                    <w:rPr>
                      <w:rFonts w:ascii="Tahoma" w:eastAsia="Tahoma" w:hAnsi="Tahoma"/>
                      <w:color w:val="000000"/>
                      <w:spacing w:val="5"/>
                      <w:sz w:val="20"/>
                    </w:rPr>
                  </w:pPr>
                  <w:r>
                    <w:rPr>
                      <w:rFonts w:ascii="Tahoma" w:eastAsia="Tahoma" w:hAnsi="Tahoma"/>
                      <w:color w:val="000000"/>
                      <w:spacing w:val="5"/>
                      <w:sz w:val="20"/>
                    </w:rPr>
                    <w:t>There must be better recognition that our employees have joined BRI because they want to work and enjoy what they are doing. Our own observations are that our employees understand the need for a productivity type wage system and are glad that they have a s</w:t>
                  </w:r>
                  <w:r>
                    <w:rPr>
                      <w:rFonts w:ascii="Tahoma" w:eastAsia="Tahoma" w:hAnsi="Tahoma"/>
                      <w:color w:val="000000"/>
                      <w:spacing w:val="5"/>
                      <w:sz w:val="20"/>
                    </w:rPr>
                    <w:t>upporting employer in BRI who has their total wellbeing at heart. We evidence this from our annual employee survey.</w:t>
                  </w:r>
                </w:p>
                <w:p w:rsidR="00771F66" w:rsidRDefault="007C0A4D">
                  <w:pPr>
                    <w:spacing w:before="168" w:line="284" w:lineRule="exact"/>
                    <w:ind w:right="360"/>
                    <w:textAlignment w:val="baseline"/>
                    <w:rPr>
                      <w:rFonts w:ascii="Tahoma" w:eastAsia="Tahoma" w:hAnsi="Tahoma"/>
                      <w:color w:val="000000"/>
                      <w:sz w:val="20"/>
                    </w:rPr>
                  </w:pPr>
                  <w:r>
                    <w:rPr>
                      <w:rFonts w:ascii="Tahoma" w:eastAsia="Tahoma" w:hAnsi="Tahoma"/>
                      <w:color w:val="000000"/>
                      <w:sz w:val="20"/>
                    </w:rPr>
                    <w:t xml:space="preserve">The current situation effectively leaves all our employees in </w:t>
                  </w:r>
                  <w:r>
                    <w:rPr>
                      <w:rFonts w:ascii="Tahoma" w:eastAsia="Tahoma" w:hAnsi="Tahoma"/>
                      <w:i/>
                      <w:color w:val="000000"/>
                      <w:sz w:val="20"/>
                    </w:rPr>
                    <w:t xml:space="preserve">No-Mans-Land </w:t>
                  </w:r>
                  <w:r>
                    <w:rPr>
                      <w:rFonts w:ascii="Tahoma" w:eastAsia="Tahoma" w:hAnsi="Tahoma"/>
                      <w:color w:val="000000"/>
                      <w:sz w:val="20"/>
                    </w:rPr>
                    <w:t>and this impasse can only continue until some interim stability i</w:t>
                  </w:r>
                  <w:r>
                    <w:rPr>
                      <w:rFonts w:ascii="Tahoma" w:eastAsia="Tahoma" w:hAnsi="Tahoma"/>
                      <w:color w:val="000000"/>
                      <w:sz w:val="20"/>
                    </w:rPr>
                    <w:t>n wage fixation is found. We had investigated some of the alternative tools that have also been approved by the Government and have resolved that they are similar in basic design as BSWAT and therefore simply changing to another tool to avoid the current d</w:t>
                  </w:r>
                  <w:r>
                    <w:rPr>
                      <w:rFonts w:ascii="Tahoma" w:eastAsia="Tahoma" w:hAnsi="Tahoma"/>
                      <w:color w:val="000000"/>
                      <w:sz w:val="20"/>
                    </w:rPr>
                    <w:t>ispute will not be a permanent solution.</w:t>
                  </w:r>
                </w:p>
                <w:p w:rsidR="00771F66" w:rsidRDefault="007C0A4D">
                  <w:pPr>
                    <w:spacing w:before="177" w:line="285" w:lineRule="exact"/>
                    <w:ind w:right="504"/>
                    <w:textAlignment w:val="baseline"/>
                    <w:rPr>
                      <w:rFonts w:ascii="Tahoma" w:eastAsia="Tahoma" w:hAnsi="Tahoma"/>
                      <w:color w:val="000000"/>
                      <w:sz w:val="20"/>
                    </w:rPr>
                  </w:pPr>
                  <w:r>
                    <w:rPr>
                      <w:rFonts w:ascii="Tahoma" w:eastAsia="Tahoma" w:hAnsi="Tahoma"/>
                      <w:color w:val="000000"/>
                      <w:sz w:val="20"/>
                    </w:rPr>
                    <w:t xml:space="preserve">Failing to grant an exemption will see claims lodged for the short term gain of higher wages but this will be offset by the closure of many ADEs and the loss of employment for the 10,000 plus people whose wages are </w:t>
                  </w:r>
                  <w:r>
                    <w:rPr>
                      <w:rFonts w:ascii="Tahoma" w:eastAsia="Tahoma" w:hAnsi="Tahoma"/>
                      <w:color w:val="000000"/>
                      <w:sz w:val="20"/>
                    </w:rPr>
                    <w:t>assessed under BSWAT.</w:t>
                  </w:r>
                </w:p>
                <w:p w:rsidR="00771F66" w:rsidRDefault="007C0A4D">
                  <w:pPr>
                    <w:spacing w:before="180" w:line="285" w:lineRule="exact"/>
                    <w:ind w:right="360"/>
                    <w:textAlignment w:val="baseline"/>
                    <w:rPr>
                      <w:rFonts w:ascii="Tahoma" w:eastAsia="Tahoma" w:hAnsi="Tahoma"/>
                      <w:color w:val="000000"/>
                      <w:spacing w:val="5"/>
                      <w:sz w:val="20"/>
                    </w:rPr>
                  </w:pPr>
                  <w:r>
                    <w:rPr>
                      <w:rFonts w:ascii="Tahoma" w:eastAsia="Tahoma" w:hAnsi="Tahoma"/>
                      <w:color w:val="000000"/>
                      <w:spacing w:val="5"/>
                      <w:sz w:val="20"/>
                    </w:rPr>
                    <w:t>Contrary to the arguments of others that the continued use of the BSWAT tool is not necessary, we argue that our whole business model has been based on the BSWAT tool and without time being given for us to investigate alternative mode</w:t>
                  </w:r>
                  <w:r>
                    <w:rPr>
                      <w:rFonts w:ascii="Tahoma" w:eastAsia="Tahoma" w:hAnsi="Tahoma"/>
                      <w:color w:val="000000"/>
                      <w:spacing w:val="5"/>
                      <w:sz w:val="20"/>
                    </w:rPr>
                    <w:t>ls, any increase in the wages that we pay to our employees will see BRI become uncompetitive and therefore unviable as a going concern.</w:t>
                  </w:r>
                </w:p>
                <w:p w:rsidR="00771F66" w:rsidRDefault="007C0A4D">
                  <w:pPr>
                    <w:spacing w:before="174" w:line="286" w:lineRule="exact"/>
                    <w:ind w:right="504"/>
                    <w:textAlignment w:val="baseline"/>
                    <w:rPr>
                      <w:rFonts w:ascii="Tahoma" w:eastAsia="Tahoma" w:hAnsi="Tahoma"/>
                      <w:color w:val="000000"/>
                      <w:spacing w:val="7"/>
                      <w:sz w:val="20"/>
                    </w:rPr>
                  </w:pPr>
                  <w:r>
                    <w:rPr>
                      <w:rFonts w:ascii="Tahoma" w:eastAsia="Tahoma" w:hAnsi="Tahoma"/>
                      <w:color w:val="000000"/>
                      <w:spacing w:val="7"/>
                      <w:sz w:val="20"/>
                    </w:rPr>
                    <w:t xml:space="preserve">Those parties who are against granting the exemption present "nice" arguments about equality but their calls for </w:t>
                  </w:r>
                  <w:r>
                    <w:rPr>
                      <w:rFonts w:ascii="Tahoma" w:eastAsia="Tahoma" w:hAnsi="Tahoma"/>
                      <w:i/>
                      <w:color w:val="000000"/>
                      <w:spacing w:val="7"/>
                      <w:sz w:val="20"/>
                    </w:rPr>
                    <w:t xml:space="preserve">countering the negative outcomes of legal inequality, positive outcomes of respect, inclusion, fairness, equal pay for work of equal value </w:t>
                  </w:r>
                  <w:r>
                    <w:rPr>
                      <w:rFonts w:ascii="Tahoma" w:eastAsia="Tahoma" w:hAnsi="Tahoma"/>
                      <w:color w:val="000000"/>
                      <w:spacing w:val="7"/>
                      <w:sz w:val="20"/>
                    </w:rPr>
                    <w:t>are naive because the real consequences of their pleas will be the wholesale closure of ADEs and therefore even great</w:t>
                  </w:r>
                  <w:r>
                    <w:rPr>
                      <w:rFonts w:ascii="Tahoma" w:eastAsia="Tahoma" w:hAnsi="Tahoma"/>
                      <w:color w:val="000000"/>
                      <w:spacing w:val="7"/>
                      <w:sz w:val="20"/>
                    </w:rPr>
                    <w:t>er unemployment of people with a disability.</w:t>
                  </w:r>
                </w:p>
                <w:p w:rsidR="00771F66" w:rsidRDefault="007C0A4D">
                  <w:pPr>
                    <w:spacing w:before="191" w:line="269" w:lineRule="exact"/>
                    <w:textAlignment w:val="baseline"/>
                    <w:rPr>
                      <w:rFonts w:ascii="Tahoma" w:eastAsia="Tahoma" w:hAnsi="Tahoma"/>
                      <w:color w:val="000000"/>
                      <w:spacing w:val="6"/>
                      <w:sz w:val="20"/>
                    </w:rPr>
                  </w:pPr>
                  <w:r>
                    <w:rPr>
                      <w:rFonts w:ascii="Tahoma" w:eastAsia="Tahoma" w:hAnsi="Tahoma"/>
                      <w:color w:val="000000"/>
                      <w:spacing w:val="6"/>
                      <w:sz w:val="20"/>
                    </w:rPr>
                    <w:t>You will be already aware that the litigation being taken against some ADEs will force their</w:t>
                  </w:r>
                </w:p>
                <w:p w:rsidR="00771F66" w:rsidRDefault="007C0A4D">
                  <w:pPr>
                    <w:spacing w:line="283" w:lineRule="exact"/>
                    <w:ind w:right="144"/>
                    <w:textAlignment w:val="baseline"/>
                    <w:rPr>
                      <w:rFonts w:ascii="Tahoma" w:eastAsia="Tahoma" w:hAnsi="Tahoma"/>
                      <w:color w:val="000000"/>
                      <w:spacing w:val="6"/>
                      <w:sz w:val="20"/>
                    </w:rPr>
                  </w:pPr>
                  <w:r>
                    <w:rPr>
                      <w:rFonts w:ascii="Tahoma" w:eastAsia="Tahoma" w:hAnsi="Tahoma"/>
                      <w:color w:val="000000"/>
                      <w:spacing w:val="6"/>
                      <w:sz w:val="20"/>
                    </w:rPr>
                    <w:t xml:space="preserve">financial collapse and therefore immediate job losses for an already disenfranchised group of people. The net benefit of any increase in wages would be further </w:t>
                  </w:r>
                  <w:proofErr w:type="spellStart"/>
                  <w:r>
                    <w:rPr>
                      <w:rFonts w:ascii="Tahoma" w:eastAsia="Tahoma" w:hAnsi="Tahoma"/>
                      <w:color w:val="000000"/>
                      <w:spacing w:val="6"/>
                      <w:sz w:val="20"/>
                    </w:rPr>
                    <w:t>minimised</w:t>
                  </w:r>
                  <w:proofErr w:type="spellEnd"/>
                  <w:r>
                    <w:rPr>
                      <w:rFonts w:ascii="Tahoma" w:eastAsia="Tahoma" w:hAnsi="Tahoma"/>
                      <w:color w:val="000000"/>
                      <w:spacing w:val="6"/>
                      <w:sz w:val="20"/>
                    </w:rPr>
                    <w:t xml:space="preserve"> because a consequence of an increase in wages would be that their Disability Support P</w:t>
                  </w:r>
                  <w:r>
                    <w:rPr>
                      <w:rFonts w:ascii="Tahoma" w:eastAsia="Tahoma" w:hAnsi="Tahoma"/>
                      <w:color w:val="000000"/>
                      <w:spacing w:val="6"/>
                      <w:sz w:val="20"/>
                    </w:rPr>
                    <w:t>ensions will go down.</w:t>
                  </w:r>
                </w:p>
                <w:p w:rsidR="00771F66" w:rsidRDefault="007C0A4D">
                  <w:pPr>
                    <w:spacing w:before="170" w:line="287" w:lineRule="exact"/>
                    <w:ind w:right="144"/>
                    <w:textAlignment w:val="baseline"/>
                    <w:rPr>
                      <w:rFonts w:ascii="Tahoma" w:eastAsia="Tahoma" w:hAnsi="Tahoma"/>
                      <w:color w:val="000000"/>
                      <w:spacing w:val="7"/>
                      <w:sz w:val="20"/>
                    </w:rPr>
                  </w:pPr>
                  <w:r>
                    <w:rPr>
                      <w:rFonts w:ascii="Tahoma" w:eastAsia="Tahoma" w:hAnsi="Tahoma"/>
                      <w:color w:val="000000"/>
                      <w:spacing w:val="7"/>
                      <w:sz w:val="20"/>
                    </w:rPr>
                    <w:t>During this period of potential crisis, BRI has continued to be proactive. As an interim measure BRI has adopted reusing a benchmarking wages assessment tool based on productivity and support developed by Bill a decade ago however the</w:t>
                  </w:r>
                  <w:r>
                    <w:rPr>
                      <w:rFonts w:ascii="Tahoma" w:eastAsia="Tahoma" w:hAnsi="Tahoma"/>
                      <w:color w:val="000000"/>
                      <w:spacing w:val="7"/>
                      <w:sz w:val="20"/>
                    </w:rPr>
                    <w:t xml:space="preserve"> end result is that it is an adaption of BSWAT assessments to obtain a baseline. In addition we have developed an alternative approach to wages assessment based on bandings within industry sectors that take into account award rates in particular industry s</w:t>
                  </w:r>
                  <w:r>
                    <w:rPr>
                      <w:rFonts w:ascii="Tahoma" w:eastAsia="Tahoma" w:hAnsi="Tahoma"/>
                      <w:color w:val="000000"/>
                      <w:spacing w:val="7"/>
                      <w:sz w:val="20"/>
                    </w:rPr>
                    <w:t>ectors similar to the approach applied in the current SES Award 2010. We are happy to contribute this option for consideration.</w:t>
                  </w:r>
                </w:p>
                <w:p w:rsidR="00771F66" w:rsidRDefault="007C0A4D">
                  <w:pPr>
                    <w:spacing w:before="533" w:after="1634" w:line="233" w:lineRule="exact"/>
                    <w:jc w:val="right"/>
                    <w:textAlignment w:val="baseline"/>
                    <w:rPr>
                      <w:rFonts w:ascii="Tahoma" w:eastAsia="Tahoma" w:hAnsi="Tahoma"/>
                      <w:color w:val="000000"/>
                      <w:sz w:val="20"/>
                    </w:rPr>
                  </w:pPr>
                  <w:r>
                    <w:rPr>
                      <w:rFonts w:ascii="Tahoma" w:eastAsia="Tahoma" w:hAnsi="Tahoma"/>
                      <w:color w:val="000000"/>
                      <w:sz w:val="20"/>
                    </w:rPr>
                    <w:t>2</w:t>
                  </w:r>
                </w:p>
              </w:txbxContent>
            </v:textbox>
            <w10:wrap type="square" anchorx="page" anchory="page"/>
          </v:shape>
        </w:pict>
      </w:r>
    </w:p>
    <w:p w:rsidR="00771F66" w:rsidRDefault="00771F66">
      <w:pPr>
        <w:sectPr w:rsidR="00771F66">
          <w:pgSz w:w="11914" w:h="16848"/>
          <w:pgMar w:top="1152" w:right="1140" w:bottom="51" w:left="1234" w:header="720" w:footer="720" w:gutter="0"/>
          <w:cols w:space="720"/>
        </w:sectPr>
      </w:pPr>
    </w:p>
    <w:p w:rsidR="00771F66" w:rsidRDefault="007C0A4D">
      <w:pPr>
        <w:textAlignment w:val="baseline"/>
        <w:rPr>
          <w:rFonts w:eastAsia="Times New Roman"/>
          <w:color w:val="000000"/>
          <w:sz w:val="24"/>
        </w:rPr>
      </w:pPr>
      <w:r>
        <w:lastRenderedPageBreak/>
        <w:pict>
          <v:shape id="_x0000_s1030" type="#_x0000_t202" style="position:absolute;margin-left:28.3pt;margin-top:96pt;width:7in;height:320.9pt;z-index:-251658752;mso-wrap-distance-left:0;mso-wrap-distance-right:0;mso-position-horizontal-relative:page;mso-position-vertical-relative:page" filled="f" stroked="f">
            <v:textbox inset="0,0,0,0">
              <w:txbxContent>
                <w:p w:rsidR="00771F66" w:rsidRDefault="007C0A4D">
                  <w:pPr>
                    <w:spacing w:line="284" w:lineRule="exact"/>
                    <w:ind w:left="648" w:right="72"/>
                    <w:textAlignment w:val="baseline"/>
                    <w:rPr>
                      <w:rFonts w:ascii="Tahoma" w:eastAsia="Tahoma" w:hAnsi="Tahoma"/>
                      <w:color w:val="000000"/>
                      <w:sz w:val="21"/>
                    </w:rPr>
                  </w:pPr>
                  <w:r>
                    <w:rPr>
                      <w:rFonts w:ascii="Tahoma" w:eastAsia="Tahoma" w:hAnsi="Tahoma"/>
                      <w:color w:val="000000"/>
                      <w:sz w:val="21"/>
                    </w:rPr>
                    <w:t>Unfortunately, BRI has been unable to expand much beyond our capacity of 135 funded places because the addit</w:t>
                  </w:r>
                  <w:r>
                    <w:rPr>
                      <w:rFonts w:ascii="Tahoma" w:eastAsia="Tahoma" w:hAnsi="Tahoma"/>
                      <w:color w:val="000000"/>
                      <w:sz w:val="21"/>
                    </w:rPr>
                    <w:t>ional cost of supporting their employment is not available from Government and we are unable to fund that employment ourselves because we are already on the edge of being non-competitive. This is a more significant issue for BRI than organizations that als</w:t>
                  </w:r>
                  <w:r>
                    <w:rPr>
                      <w:rFonts w:ascii="Tahoma" w:eastAsia="Tahoma" w:hAnsi="Tahoma"/>
                      <w:color w:val="000000"/>
                      <w:sz w:val="21"/>
                    </w:rPr>
                    <w:t xml:space="preserve">o offer non-employment services which have allowed generate reserves from State funded care programs. These other </w:t>
                  </w:r>
                  <w:proofErr w:type="spellStart"/>
                  <w:r>
                    <w:rPr>
                      <w:rFonts w:ascii="Tahoma" w:eastAsia="Tahoma" w:hAnsi="Tahoma"/>
                      <w:color w:val="000000"/>
                      <w:sz w:val="21"/>
                    </w:rPr>
                    <w:t>organisations</w:t>
                  </w:r>
                  <w:proofErr w:type="spellEnd"/>
                  <w:r>
                    <w:rPr>
                      <w:rFonts w:ascii="Tahoma" w:eastAsia="Tahoma" w:hAnsi="Tahoma"/>
                      <w:color w:val="000000"/>
                      <w:sz w:val="21"/>
                    </w:rPr>
                    <w:t xml:space="preserve"> have the luxury of being able to subsidize their ADE operating expenses through economies of scale or by marginally distributing</w:t>
                  </w:r>
                  <w:r>
                    <w:rPr>
                      <w:rFonts w:ascii="Tahoma" w:eastAsia="Tahoma" w:hAnsi="Tahoma"/>
                      <w:color w:val="000000"/>
                      <w:sz w:val="21"/>
                    </w:rPr>
                    <w:t xml:space="preserve"> their overheads whereas BRI's business model means we can only survive by being commercially competitive.</w:t>
                  </w:r>
                </w:p>
                <w:p w:rsidR="00771F66" w:rsidRDefault="007C0A4D">
                  <w:pPr>
                    <w:spacing w:before="176" w:line="286" w:lineRule="exact"/>
                    <w:ind w:left="648" w:right="360"/>
                    <w:textAlignment w:val="baseline"/>
                    <w:rPr>
                      <w:rFonts w:ascii="Tahoma" w:eastAsia="Tahoma" w:hAnsi="Tahoma"/>
                      <w:color w:val="000000"/>
                      <w:sz w:val="21"/>
                    </w:rPr>
                  </w:pPr>
                  <w:r>
                    <w:rPr>
                      <w:rFonts w:ascii="Tahoma" w:eastAsia="Tahoma" w:hAnsi="Tahoma"/>
                      <w:color w:val="000000"/>
                      <w:sz w:val="21"/>
                    </w:rPr>
                    <w:t xml:space="preserve">The loss of an </w:t>
                  </w:r>
                  <w:proofErr w:type="spellStart"/>
                  <w:r>
                    <w:rPr>
                      <w:rFonts w:ascii="Tahoma" w:eastAsia="Tahoma" w:hAnsi="Tahoma"/>
                      <w:color w:val="000000"/>
                      <w:sz w:val="21"/>
                    </w:rPr>
                    <w:t>organisation</w:t>
                  </w:r>
                  <w:proofErr w:type="spellEnd"/>
                  <w:r>
                    <w:rPr>
                      <w:rFonts w:ascii="Tahoma" w:eastAsia="Tahoma" w:hAnsi="Tahoma"/>
                      <w:color w:val="000000"/>
                      <w:sz w:val="21"/>
                    </w:rPr>
                    <w:t xml:space="preserve"> like BRI will mean much more than our 140 employees and 27 staff being jobless. The demand for supported employment in </w:t>
                  </w:r>
                  <w:proofErr w:type="spellStart"/>
                  <w:r>
                    <w:rPr>
                      <w:rFonts w:ascii="Tahoma" w:eastAsia="Tahoma" w:hAnsi="Tahoma"/>
                      <w:color w:val="000000"/>
                      <w:sz w:val="21"/>
                    </w:rPr>
                    <w:t>Ba</w:t>
                  </w:r>
                  <w:r>
                    <w:rPr>
                      <w:rFonts w:ascii="Tahoma" w:eastAsia="Tahoma" w:hAnsi="Tahoma"/>
                      <w:color w:val="000000"/>
                      <w:sz w:val="21"/>
                    </w:rPr>
                    <w:t>llarat</w:t>
                  </w:r>
                  <w:proofErr w:type="spellEnd"/>
                  <w:r>
                    <w:rPr>
                      <w:rFonts w:ascii="Tahoma" w:eastAsia="Tahoma" w:hAnsi="Tahoma"/>
                      <w:color w:val="000000"/>
                      <w:sz w:val="21"/>
                    </w:rPr>
                    <w:t xml:space="preserve"> is far greater than our current employment numbers as there are 155 other people with a disability who have approached BRI and are on a waiting list, seeking the opportunity of gaining supported employment.</w:t>
                  </w:r>
                </w:p>
                <w:p w:rsidR="00771F66" w:rsidRDefault="007C0A4D" w:rsidP="007C0A4D">
                  <w:pPr>
                    <w:spacing w:before="177" w:line="286" w:lineRule="exact"/>
                    <w:ind w:left="648" w:right="72"/>
                    <w:textAlignment w:val="baseline"/>
                    <w:rPr>
                      <w:rFonts w:ascii="Tahoma" w:eastAsia="Tahoma" w:hAnsi="Tahoma"/>
                      <w:color w:val="000000"/>
                      <w:w w:val="110"/>
                      <w:sz w:val="44"/>
                      <w:vertAlign w:val="subscript"/>
                    </w:rPr>
                  </w:pPr>
                  <w:r>
                    <w:rPr>
                      <w:rFonts w:ascii="Tahoma" w:eastAsia="Tahoma" w:hAnsi="Tahoma"/>
                      <w:color w:val="000000"/>
                      <w:sz w:val="21"/>
                    </w:rPr>
                    <w:t>Finally we ask the Commission to factor in that the consequences of not providing the exemption goes far beyond individual ADEs. It will permeate throughout our communities as any increase in unemployment for people with a disability will place even more s</w:t>
                  </w:r>
                  <w:r>
                    <w:rPr>
                      <w:rFonts w:ascii="Tahoma" w:eastAsia="Tahoma" w:hAnsi="Tahoma"/>
                      <w:color w:val="000000"/>
                      <w:sz w:val="21"/>
                    </w:rPr>
                    <w:t xml:space="preserve">tresses and strains on parents, family members, </w:t>
                  </w:r>
                  <w:proofErr w:type="spellStart"/>
                  <w:r>
                    <w:rPr>
                      <w:rFonts w:ascii="Tahoma" w:eastAsia="Tahoma" w:hAnsi="Tahoma"/>
                      <w:color w:val="000000"/>
                      <w:sz w:val="21"/>
                    </w:rPr>
                    <w:t>carers</w:t>
                  </w:r>
                  <w:proofErr w:type="spellEnd"/>
                  <w:r>
                    <w:rPr>
                      <w:rFonts w:ascii="Tahoma" w:eastAsia="Tahoma" w:hAnsi="Tahoma"/>
                      <w:color w:val="000000"/>
                      <w:sz w:val="21"/>
                    </w:rPr>
                    <w:t xml:space="preserve"> and residential care units. Supported employment provides all of these people with some respite and with the knowledge that employment is providing </w:t>
                  </w:r>
                  <w:proofErr w:type="gramStart"/>
                  <w:r>
                    <w:rPr>
                      <w:rFonts w:ascii="Tahoma" w:eastAsia="Tahoma" w:hAnsi="Tahoma"/>
                      <w:color w:val="000000"/>
                      <w:sz w:val="21"/>
                    </w:rPr>
                    <w:t>both self-esteem,</w:t>
                  </w:r>
                  <w:proofErr w:type="gramEnd"/>
                  <w:r>
                    <w:rPr>
                      <w:rFonts w:ascii="Tahoma" w:eastAsia="Tahoma" w:hAnsi="Tahoma"/>
                      <w:color w:val="000000"/>
                      <w:sz w:val="21"/>
                    </w:rPr>
                    <w:t xml:space="preserve"> freedom and socialization opportuni</w:t>
                  </w:r>
                  <w:r>
                    <w:rPr>
                      <w:rFonts w:ascii="Tahoma" w:eastAsia="Tahoma" w:hAnsi="Tahoma"/>
                      <w:color w:val="000000"/>
                      <w:sz w:val="21"/>
                    </w:rPr>
                    <w:t>ties.</w:t>
                  </w:r>
                </w:p>
                <w:p w:rsidR="00771F66" w:rsidRDefault="007C0A4D">
                  <w:pPr>
                    <w:spacing w:before="677" w:after="1" w:line="251" w:lineRule="exact"/>
                    <w:ind w:left="648"/>
                    <w:textAlignment w:val="baseline"/>
                    <w:rPr>
                      <w:rFonts w:ascii="Tahoma" w:eastAsia="Tahoma" w:hAnsi="Tahoma"/>
                      <w:color w:val="000000"/>
                      <w:spacing w:val="4"/>
                      <w:sz w:val="21"/>
                    </w:rPr>
                  </w:pPr>
                  <w:r>
                    <w:rPr>
                      <w:rFonts w:ascii="Tahoma" w:eastAsia="Tahoma" w:hAnsi="Tahoma"/>
                      <w:color w:val="000000"/>
                      <w:spacing w:val="4"/>
                      <w:sz w:val="21"/>
                    </w:rPr>
                    <w:t>Yours since</w:t>
                  </w:r>
                  <w:r>
                    <w:rPr>
                      <w:rFonts w:ascii="Tahoma" w:eastAsia="Tahoma" w:hAnsi="Tahoma"/>
                      <w:color w:val="000000"/>
                      <w:spacing w:val="4"/>
                      <w:sz w:val="21"/>
                    </w:rPr>
                    <w:t>rely</w:t>
                  </w:r>
                </w:p>
              </w:txbxContent>
            </v:textbox>
            <w10:wrap type="square" anchorx="page" anchory="page"/>
          </v:shape>
        </w:pict>
      </w:r>
      <w:r>
        <w:pict>
          <v:shape id="_x0000_s1029" type="#_x0000_t202" style="position:absolute;margin-left:28.3pt;margin-top:416.9pt;width:7in;height:54.85pt;z-index:-251657728;mso-wrap-distance-left:0;mso-wrap-distance-right:0;mso-position-horizontal-relative:page;mso-position-vertical-relative:page" filled="f" stroked="f">
            <v:textbox inset="0,0,0,0">
              <w:txbxContent>
                <w:p w:rsidR="00771F66" w:rsidRDefault="007C0A4D">
                  <w:pPr>
                    <w:spacing w:after="8"/>
                    <w:ind w:left="788" w:right="8193"/>
                    <w:textAlignment w:val="baseline"/>
                  </w:pPr>
                  <w:r>
                    <w:rPr>
                      <w:noProof/>
                      <w:lang w:val="en-AU" w:eastAsia="en-AU"/>
                    </w:rPr>
                    <w:drawing>
                      <wp:inline distT="0" distB="0" distL="0" distR="0">
                        <wp:extent cx="697865" cy="6915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97865" cy="691515"/>
                                </a:xfrm>
                                <a:prstGeom prst="rect">
                                  <a:avLst/>
                                </a:prstGeom>
                              </pic:spPr>
                            </pic:pic>
                          </a:graphicData>
                        </a:graphic>
                      </wp:inline>
                    </w:drawing>
                  </w:r>
                </w:p>
              </w:txbxContent>
            </v:textbox>
            <w10:wrap type="square" anchorx="page" anchory="page"/>
          </v:shape>
        </w:pict>
      </w:r>
      <w:r>
        <w:pict>
          <v:shape id="_x0000_s1028" type="#_x0000_t202" style="position:absolute;margin-left:28.3pt;margin-top:471.75pt;width:7in;height:262.5pt;z-index:-251656704;mso-wrap-distance-left:0;mso-wrap-distance-right:0;mso-position-horizontal-relative:page;mso-position-vertical-relative:page" filled="f" stroked="f">
            <v:textbox inset="0,0,0,0">
              <w:txbxContent>
                <w:p w:rsidR="00771F66" w:rsidRDefault="007C0A4D">
                  <w:pPr>
                    <w:spacing w:before="35" w:line="251" w:lineRule="exact"/>
                    <w:ind w:left="648"/>
                    <w:textAlignment w:val="baseline"/>
                    <w:rPr>
                      <w:rFonts w:ascii="Tahoma" w:eastAsia="Tahoma" w:hAnsi="Tahoma"/>
                      <w:color w:val="000000"/>
                      <w:spacing w:val="1"/>
                      <w:sz w:val="21"/>
                    </w:rPr>
                  </w:pPr>
                  <w:r>
                    <w:rPr>
                      <w:rFonts w:ascii="Tahoma" w:eastAsia="Tahoma" w:hAnsi="Tahoma"/>
                      <w:color w:val="000000"/>
                      <w:spacing w:val="1"/>
                      <w:sz w:val="21"/>
                    </w:rPr>
                    <w:t xml:space="preserve">Paul </w:t>
                  </w:r>
                  <w:proofErr w:type="spellStart"/>
                  <w:r>
                    <w:rPr>
                      <w:rFonts w:ascii="Tahoma" w:eastAsia="Tahoma" w:hAnsi="Tahoma"/>
                      <w:color w:val="000000"/>
                      <w:spacing w:val="1"/>
                      <w:sz w:val="21"/>
                    </w:rPr>
                    <w:t>Crosbie</w:t>
                  </w:r>
                  <w:proofErr w:type="spellEnd"/>
                </w:p>
                <w:p w:rsidR="00771F66" w:rsidRDefault="007C0A4D">
                  <w:pPr>
                    <w:spacing w:before="31" w:line="251" w:lineRule="exact"/>
                    <w:ind w:left="648"/>
                    <w:textAlignment w:val="baseline"/>
                    <w:rPr>
                      <w:rFonts w:ascii="Tahoma" w:eastAsia="Tahoma" w:hAnsi="Tahoma"/>
                      <w:color w:val="000000"/>
                      <w:spacing w:val="2"/>
                      <w:sz w:val="21"/>
                    </w:rPr>
                  </w:pPr>
                  <w:r>
                    <w:rPr>
                      <w:rFonts w:ascii="Tahoma" w:eastAsia="Tahoma" w:hAnsi="Tahoma"/>
                      <w:color w:val="000000"/>
                      <w:spacing w:val="2"/>
                      <w:sz w:val="21"/>
                    </w:rPr>
                    <w:t>Chief Executive Officer</w:t>
                  </w:r>
                </w:p>
                <w:p w:rsidR="00771F66" w:rsidRDefault="007C0A4D">
                  <w:pPr>
                    <w:spacing w:after="4099" w:line="285" w:lineRule="exact"/>
                    <w:ind w:left="648" w:right="5616"/>
                    <w:textAlignment w:val="baseline"/>
                    <w:rPr>
                      <w:rFonts w:ascii="Tahoma" w:eastAsia="Tahoma" w:hAnsi="Tahoma"/>
                      <w:color w:val="000000"/>
                      <w:sz w:val="21"/>
                    </w:rPr>
                  </w:pPr>
                  <w:r>
                    <w:rPr>
                      <w:rFonts w:ascii="Tahoma" w:eastAsia="Tahoma" w:hAnsi="Tahoma"/>
                      <w:color w:val="000000"/>
                      <w:sz w:val="21"/>
                    </w:rPr>
                    <w:t xml:space="preserve">On behalf of the Board of Management </w:t>
                  </w:r>
                  <w:proofErr w:type="spellStart"/>
                  <w:r>
                    <w:rPr>
                      <w:rFonts w:ascii="Tahoma" w:eastAsia="Tahoma" w:hAnsi="Tahoma"/>
                      <w:color w:val="000000"/>
                      <w:sz w:val="21"/>
                    </w:rPr>
                    <w:t>Ballarat</w:t>
                  </w:r>
                  <w:proofErr w:type="spellEnd"/>
                  <w:r>
                    <w:rPr>
                      <w:rFonts w:ascii="Tahoma" w:eastAsia="Tahoma" w:hAnsi="Tahoma"/>
                      <w:color w:val="000000"/>
                      <w:sz w:val="21"/>
                    </w:rPr>
                    <w:t xml:space="preserve"> Regional Industries Inc.</w:t>
                  </w:r>
                </w:p>
              </w:txbxContent>
            </v:textbox>
            <w10:wrap type="square" anchorx="page" anchory="page"/>
          </v:shape>
        </w:pict>
      </w:r>
      <w:r>
        <w:pict>
          <v:shape id="_x0000_s1027" type="#_x0000_t202" style="position:absolute;margin-left:525.2pt;margin-top:734.25pt;width:14.25pt;height:11.45pt;z-index:-251655680;mso-wrap-distance-left:0;mso-wrap-distance-right:0;mso-position-horizontal-relative:page;mso-position-vertical-relative:page" filled="f" stroked="f">
            <v:textbox inset="0,0,0,0">
              <w:txbxContent>
                <w:p w:rsidR="00771F66" w:rsidRDefault="007C0A4D">
                  <w:pPr>
                    <w:spacing w:before="1" w:line="218" w:lineRule="exact"/>
                    <w:textAlignment w:val="baseline"/>
                    <w:rPr>
                      <w:rFonts w:ascii="Tahoma" w:eastAsia="Tahoma" w:hAnsi="Tahoma"/>
                      <w:color w:val="000000"/>
                      <w:sz w:val="19"/>
                    </w:rPr>
                  </w:pPr>
                  <w:r>
                    <w:rPr>
                      <w:rFonts w:ascii="Tahoma" w:eastAsia="Tahoma" w:hAnsi="Tahoma"/>
                      <w:color w:val="000000"/>
                      <w:sz w:val="19"/>
                    </w:rPr>
                    <w:t>3</w:t>
                  </w:r>
                </w:p>
              </w:txbxContent>
            </v:textbox>
            <w10:wrap type="square" anchorx="page" anchory="page"/>
          </v:shape>
        </w:pict>
      </w:r>
      <w:r>
        <w:pict>
          <v:line id="_x0000_s1026" style="position:absolute;z-index:251661824;mso-position-horizontal-relative:page;mso-position-vertical-relative:page" from="3.1pt,834.5pt" to="132.15pt,834.5pt" strokeweight=".25pt">
            <w10:wrap anchorx="page" anchory="page"/>
          </v:line>
        </w:pict>
      </w:r>
    </w:p>
    <w:p w:rsidR="00771F66" w:rsidRDefault="00771F66">
      <w:pPr>
        <w:sectPr w:rsidR="00771F66">
          <w:pgSz w:w="11914" w:h="16848"/>
          <w:pgMar w:top="1152" w:right="1125" w:bottom="1538" w:left="566" w:header="720" w:footer="720" w:gutter="0"/>
          <w:cols w:space="720"/>
        </w:sectPr>
      </w:pPr>
      <w:bookmarkStart w:id="0" w:name="_GoBack"/>
      <w:bookmarkEnd w:id="0"/>
    </w:p>
    <w:p w:rsidR="00771F66" w:rsidRDefault="00771F66"/>
    <w:sectPr w:rsidR="00771F66">
      <w:pgSz w:w="11914" w:h="1684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71F66"/>
    <w:rsid w:val="00771F66"/>
    <w:rsid w:val="007C0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4D"/>
    <w:rPr>
      <w:rFonts w:ascii="Tahoma" w:hAnsi="Tahoma" w:cs="Tahoma"/>
      <w:sz w:val="16"/>
      <w:szCs w:val="16"/>
    </w:rPr>
  </w:style>
  <w:style w:type="character" w:customStyle="1" w:styleId="BalloonTextChar">
    <w:name w:val="Balloon Text Char"/>
    <w:basedOn w:val="DefaultParagraphFont"/>
    <w:link w:val="BalloonText"/>
    <w:uiPriority w:val="99"/>
    <w:semiHidden/>
    <w:rsid w:val="007C0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4D"/>
    <w:rPr>
      <w:rFonts w:ascii="Tahoma" w:hAnsi="Tahoma" w:cs="Tahoma"/>
      <w:sz w:val="16"/>
      <w:szCs w:val="16"/>
    </w:rPr>
  </w:style>
  <w:style w:type="character" w:customStyle="1" w:styleId="BalloonTextChar">
    <w:name w:val="Balloon Text Char"/>
    <w:basedOn w:val="DefaultParagraphFont"/>
    <w:link w:val="BalloonText"/>
    <w:uiPriority w:val="99"/>
    <w:semiHidden/>
    <w:rsid w:val="007C0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2013-12-03T05:18:00Z</dcterms:created>
  <dcterms:modified xsi:type="dcterms:W3CDTF">2013-12-03T05:18:00Z</dcterms:modified>
</cp:coreProperties>
</file>