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91" w:rsidRDefault="00716F91" w:rsidP="00716F91">
      <w:pPr>
        <w:jc w:val="center"/>
        <w:rPr>
          <w:rFonts w:eastAsia="Calibri" w:cs="Calibri"/>
          <w:b/>
          <w:color w:val="000000"/>
          <w:sz w:val="28"/>
          <w:szCs w:val="28"/>
          <w:lang w:val="en-US" w:eastAsia="en-US"/>
        </w:rPr>
      </w:pPr>
    </w:p>
    <w:p w:rsidR="00716F91" w:rsidRDefault="00716F91" w:rsidP="00716F91">
      <w:pPr>
        <w:jc w:val="center"/>
        <w:rPr>
          <w:rFonts w:eastAsia="Calibri" w:cs="Calibri"/>
          <w:b/>
          <w:color w:val="000000"/>
          <w:sz w:val="28"/>
          <w:szCs w:val="28"/>
          <w:lang w:val="en-US" w:eastAsia="en-US"/>
        </w:rPr>
      </w:pPr>
    </w:p>
    <w:p w:rsidR="006F02F3" w:rsidRDefault="006F02F3" w:rsidP="00716F91">
      <w:pPr>
        <w:jc w:val="center"/>
        <w:rPr>
          <w:rFonts w:eastAsia="Calibri" w:cs="Calibri"/>
          <w:b/>
          <w:color w:val="000000"/>
          <w:sz w:val="28"/>
          <w:szCs w:val="28"/>
          <w:lang w:val="en-US" w:eastAsia="en-US"/>
        </w:rPr>
      </w:pPr>
    </w:p>
    <w:p w:rsidR="006F02F3" w:rsidRDefault="006F02F3" w:rsidP="00716F91">
      <w:pPr>
        <w:jc w:val="center"/>
        <w:rPr>
          <w:rFonts w:eastAsia="Calibri" w:cs="Calibri"/>
          <w:b/>
          <w:color w:val="000000"/>
          <w:sz w:val="28"/>
          <w:szCs w:val="28"/>
          <w:lang w:val="en-US" w:eastAsia="en-US"/>
        </w:rPr>
      </w:pPr>
    </w:p>
    <w:p w:rsidR="00716F91" w:rsidRDefault="00716F91" w:rsidP="00716F91">
      <w:pPr>
        <w:jc w:val="center"/>
        <w:rPr>
          <w:rFonts w:eastAsia="Calibri" w:cs="Calibri"/>
          <w:b/>
          <w:color w:val="000000"/>
          <w:sz w:val="28"/>
          <w:szCs w:val="28"/>
          <w:lang w:val="en-US" w:eastAsia="en-US"/>
        </w:rPr>
      </w:pPr>
    </w:p>
    <w:p w:rsidR="00716F91" w:rsidRDefault="00716F91" w:rsidP="00716F91">
      <w:pPr>
        <w:jc w:val="center"/>
        <w:rPr>
          <w:rFonts w:eastAsia="Calibri" w:cs="Calibri"/>
          <w:b/>
          <w:color w:val="000000"/>
          <w:sz w:val="28"/>
          <w:szCs w:val="28"/>
          <w:lang w:val="en-US" w:eastAsia="en-US"/>
        </w:rPr>
      </w:pPr>
    </w:p>
    <w:p w:rsidR="00716F91" w:rsidRDefault="00716F91" w:rsidP="00716F91">
      <w:pPr>
        <w:jc w:val="center"/>
        <w:rPr>
          <w:rFonts w:eastAsia="Calibri" w:cs="Calibri"/>
          <w:b/>
          <w:color w:val="000000"/>
          <w:sz w:val="28"/>
          <w:szCs w:val="28"/>
          <w:lang w:val="en-US" w:eastAsia="en-US"/>
        </w:rPr>
      </w:pPr>
      <w:r>
        <w:rPr>
          <w:rFonts w:cs="Calibri"/>
          <w:noProof/>
          <w:color w:val="000000"/>
          <w:sz w:val="19"/>
          <w:szCs w:val="19"/>
        </w:rPr>
        <w:drawing>
          <wp:inline distT="0" distB="0" distL="0" distR="0" wp14:anchorId="2A651504" wp14:editId="02E405C3">
            <wp:extent cx="5732038" cy="1043796"/>
            <wp:effectExtent l="0" t="0" r="2540" b="444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6010" cy="1049982"/>
                    </a:xfrm>
                    <a:prstGeom prst="rect">
                      <a:avLst/>
                    </a:prstGeom>
                    <a:noFill/>
                    <a:ln>
                      <a:noFill/>
                    </a:ln>
                  </pic:spPr>
                </pic:pic>
              </a:graphicData>
            </a:graphic>
          </wp:inline>
        </w:drawing>
      </w:r>
    </w:p>
    <w:p w:rsidR="00716F91" w:rsidRDefault="00716F91" w:rsidP="00716F91">
      <w:pPr>
        <w:jc w:val="center"/>
        <w:rPr>
          <w:rFonts w:eastAsia="Calibri" w:cs="Calibri"/>
          <w:b/>
          <w:color w:val="000000"/>
          <w:sz w:val="28"/>
          <w:szCs w:val="28"/>
          <w:lang w:val="en-US" w:eastAsia="en-US"/>
        </w:rPr>
      </w:pPr>
    </w:p>
    <w:p w:rsidR="00716F91" w:rsidRPr="00716F91" w:rsidRDefault="00716F91" w:rsidP="00716F91">
      <w:pPr>
        <w:rPr>
          <w:b/>
          <w:i/>
          <w:sz w:val="32"/>
          <w:szCs w:val="32"/>
        </w:rPr>
      </w:pPr>
      <w:r w:rsidRPr="00716F91">
        <w:rPr>
          <w:b/>
          <w:i/>
          <w:sz w:val="32"/>
          <w:szCs w:val="32"/>
        </w:rPr>
        <w:t>Building on the Close the Gap platform: Commitments for an incoming government</w:t>
      </w:r>
    </w:p>
    <w:p w:rsidR="00716F91" w:rsidRDefault="00716F91">
      <w:pPr>
        <w:spacing w:before="0" w:after="0"/>
        <w:rPr>
          <w:rFonts w:eastAsia="Calibri" w:cs="Calibri"/>
          <w:b/>
          <w:color w:val="000000"/>
          <w:sz w:val="28"/>
          <w:szCs w:val="28"/>
          <w:lang w:val="en-US" w:eastAsia="en-US"/>
        </w:rPr>
      </w:pPr>
      <w:r>
        <w:rPr>
          <w:rFonts w:eastAsia="Calibri" w:cs="Calibri"/>
          <w:b/>
          <w:color w:val="000000"/>
          <w:sz w:val="28"/>
          <w:szCs w:val="28"/>
          <w:lang w:val="en-US" w:eastAsia="en-US"/>
        </w:rPr>
        <w:br w:type="page"/>
      </w:r>
    </w:p>
    <w:p w:rsidR="00B74A48" w:rsidRPr="00476702" w:rsidRDefault="001B0D30" w:rsidP="00476702">
      <w:pPr>
        <w:rPr>
          <w:rFonts w:eastAsia="Calibri" w:cs="Calibri"/>
          <w:color w:val="000000"/>
          <w:sz w:val="28"/>
          <w:szCs w:val="28"/>
          <w:lang w:val="en-US" w:eastAsia="en-US"/>
        </w:rPr>
      </w:pPr>
      <w:r w:rsidRPr="00C12708">
        <w:rPr>
          <w:rFonts w:eastAsia="Calibri" w:cs="Calibri"/>
          <w:b/>
          <w:color w:val="000000"/>
          <w:sz w:val="28"/>
          <w:szCs w:val="28"/>
          <w:lang w:val="en-US" w:eastAsia="en-US"/>
        </w:rPr>
        <w:lastRenderedPageBreak/>
        <w:t>A message from our Campaign Patron Ian Thorpe</w:t>
      </w:r>
    </w:p>
    <w:p w:rsidR="008D2928" w:rsidRPr="00476702" w:rsidRDefault="006F03B7" w:rsidP="003D4C58">
      <w:pPr>
        <w:rPr>
          <w:rFonts w:asciiTheme="minorHAnsi" w:hAnsiTheme="minorHAnsi" w:cstheme="minorHAnsi"/>
          <w:szCs w:val="22"/>
        </w:rPr>
      </w:pPr>
      <w:r>
        <w:rPr>
          <w:rFonts w:asciiTheme="minorHAnsi" w:hAnsiTheme="minorHAnsi" w:cstheme="minorHAnsi"/>
          <w:szCs w:val="22"/>
        </w:rPr>
        <w:t>I got behind the Close the Gap C</w:t>
      </w:r>
      <w:r w:rsidR="00476702" w:rsidRPr="00476702">
        <w:rPr>
          <w:rFonts w:asciiTheme="minorHAnsi" w:hAnsiTheme="minorHAnsi" w:cstheme="minorHAnsi"/>
          <w:szCs w:val="22"/>
        </w:rPr>
        <w:t>ampaign</w:t>
      </w:r>
      <w:r w:rsidR="008D2928">
        <w:rPr>
          <w:rStyle w:val="EndnoteReference"/>
          <w:rFonts w:cstheme="minorHAnsi"/>
          <w:szCs w:val="22"/>
        </w:rPr>
        <w:endnoteReference w:id="1"/>
      </w:r>
      <w:r w:rsidR="008D2928" w:rsidRPr="00476702">
        <w:rPr>
          <w:rFonts w:asciiTheme="minorHAnsi" w:hAnsiTheme="minorHAnsi" w:cstheme="minorHAnsi"/>
          <w:szCs w:val="22"/>
        </w:rPr>
        <w:t xml:space="preserve"> </w:t>
      </w:r>
      <w:r w:rsidR="008D2928">
        <w:rPr>
          <w:rFonts w:asciiTheme="minorHAnsi" w:hAnsiTheme="minorHAnsi" w:cstheme="minorHAnsi"/>
          <w:szCs w:val="22"/>
        </w:rPr>
        <w:t>back in 2007 because I believe</w:t>
      </w:r>
      <w:r w:rsidR="008D2928" w:rsidRPr="00476702">
        <w:rPr>
          <w:rFonts w:asciiTheme="minorHAnsi" w:hAnsiTheme="minorHAnsi" w:cstheme="minorHAnsi"/>
          <w:szCs w:val="22"/>
        </w:rPr>
        <w:t xml:space="preserve"> it’s totally unacceptable that Aboriginal and Tor</w:t>
      </w:r>
      <w:r w:rsidR="008D2928">
        <w:rPr>
          <w:rFonts w:asciiTheme="minorHAnsi" w:hAnsiTheme="minorHAnsi" w:cstheme="minorHAnsi"/>
          <w:szCs w:val="22"/>
        </w:rPr>
        <w:t xml:space="preserve">res Strait </w:t>
      </w:r>
      <w:r w:rsidR="008D2928" w:rsidRPr="003B74BF">
        <w:rPr>
          <w:rFonts w:asciiTheme="minorHAnsi" w:hAnsiTheme="minorHAnsi" w:cstheme="minorHAnsi"/>
          <w:szCs w:val="22"/>
        </w:rPr>
        <w:t>Islander people die 10–17 years younger than non-Indigenous</w:t>
      </w:r>
      <w:r w:rsidR="008D2928" w:rsidRPr="00476702">
        <w:rPr>
          <w:rFonts w:asciiTheme="minorHAnsi" w:hAnsiTheme="minorHAnsi" w:cstheme="minorHAnsi"/>
          <w:szCs w:val="22"/>
        </w:rPr>
        <w:t xml:space="preserve"> Australians.</w:t>
      </w:r>
      <w:r w:rsidR="008D2928">
        <w:rPr>
          <w:rFonts w:asciiTheme="minorHAnsi" w:hAnsiTheme="minorHAnsi" w:cstheme="minorHAnsi"/>
          <w:szCs w:val="22"/>
        </w:rPr>
        <w:t xml:space="preserve"> </w:t>
      </w:r>
    </w:p>
    <w:p w:rsidR="008D2928" w:rsidRPr="00476702" w:rsidRDefault="008D2928" w:rsidP="003D4C58">
      <w:pPr>
        <w:rPr>
          <w:rFonts w:asciiTheme="minorHAnsi" w:hAnsiTheme="minorHAnsi" w:cstheme="minorHAnsi"/>
          <w:szCs w:val="22"/>
        </w:rPr>
      </w:pPr>
      <w:r w:rsidRPr="00476702">
        <w:rPr>
          <w:rFonts w:asciiTheme="minorHAnsi" w:hAnsiTheme="minorHAnsi" w:cstheme="minorHAnsi"/>
          <w:szCs w:val="22"/>
        </w:rPr>
        <w:t>Thankfully all sides of politics agreed and ﬁve years ago the commitment of federal, state and territory governments through COAG to close the life expectancy gap by 2030 was a watershed moment for the nation.</w:t>
      </w:r>
    </w:p>
    <w:p w:rsidR="008D2928" w:rsidRDefault="008D2928" w:rsidP="003D4C58">
      <w:pPr>
        <w:rPr>
          <w:rFonts w:asciiTheme="minorHAnsi" w:hAnsiTheme="minorHAnsi" w:cstheme="minorHAnsi"/>
          <w:szCs w:val="22"/>
        </w:rPr>
      </w:pPr>
      <w:r w:rsidRPr="007137E7">
        <w:rPr>
          <w:rFonts w:asciiTheme="minorHAnsi" w:hAnsiTheme="minorHAnsi" w:cstheme="minorHAnsi"/>
          <w:szCs w:val="22"/>
        </w:rPr>
        <w:t>So as we prepare for the forthcoming federal election, I urge all political parties to continue their non-partisan long-term commitment to Aboriginal and Torres Strait Islander health equality.</w:t>
      </w:r>
      <w:r>
        <w:rPr>
          <w:rFonts w:asciiTheme="minorHAnsi" w:hAnsiTheme="minorHAnsi" w:cstheme="minorHAnsi"/>
          <w:szCs w:val="22"/>
        </w:rPr>
        <w:t xml:space="preserve"> </w:t>
      </w:r>
    </w:p>
    <w:p w:rsidR="008D2928" w:rsidRPr="000B070F" w:rsidRDefault="008D2928" w:rsidP="003D4C58">
      <w:pPr>
        <w:rPr>
          <w:rFonts w:asciiTheme="minorHAnsi" w:hAnsiTheme="minorHAnsi" w:cstheme="minorHAnsi"/>
          <w:b/>
          <w:szCs w:val="22"/>
        </w:rPr>
      </w:pPr>
      <w:r w:rsidRPr="000B070F">
        <w:rPr>
          <w:rFonts w:asciiTheme="minorHAnsi" w:hAnsiTheme="minorHAnsi" w:cstheme="minorHAnsi"/>
          <w:b/>
          <w:szCs w:val="22"/>
        </w:rPr>
        <w:t xml:space="preserve">This </w:t>
      </w:r>
      <w:r>
        <w:rPr>
          <w:rFonts w:asciiTheme="minorHAnsi" w:hAnsiTheme="minorHAnsi" w:cstheme="minorHAnsi"/>
          <w:b/>
          <w:szCs w:val="22"/>
        </w:rPr>
        <w:t xml:space="preserve">non-partisan </w:t>
      </w:r>
      <w:r w:rsidRPr="000B070F">
        <w:rPr>
          <w:rFonts w:asciiTheme="minorHAnsi" w:hAnsiTheme="minorHAnsi" w:cstheme="minorHAnsi"/>
          <w:b/>
          <w:szCs w:val="22"/>
        </w:rPr>
        <w:t>project has been embraced by the nation</w:t>
      </w:r>
      <w:r>
        <w:rPr>
          <w:rFonts w:asciiTheme="minorHAnsi" w:hAnsiTheme="minorHAnsi" w:cstheme="minorHAnsi"/>
          <w:b/>
          <w:szCs w:val="22"/>
        </w:rPr>
        <w:t>,</w:t>
      </w:r>
      <w:r w:rsidRPr="000B070F">
        <w:rPr>
          <w:rFonts w:asciiTheme="minorHAnsi" w:hAnsiTheme="minorHAnsi" w:cstheme="minorHAnsi"/>
          <w:b/>
          <w:szCs w:val="22"/>
        </w:rPr>
        <w:t xml:space="preserve"> with almost 200,000 Australians pledging support for the Campaign. </w:t>
      </w:r>
      <w:r>
        <w:rPr>
          <w:rFonts w:asciiTheme="minorHAnsi" w:hAnsiTheme="minorHAnsi" w:cstheme="minorHAnsi"/>
          <w:b/>
          <w:szCs w:val="22"/>
        </w:rPr>
        <w:t>T</w:t>
      </w:r>
      <w:r w:rsidRPr="000B070F">
        <w:rPr>
          <w:rFonts w:asciiTheme="minorHAnsi" w:hAnsiTheme="minorHAnsi" w:cstheme="minorHAnsi"/>
          <w:b/>
          <w:bCs/>
          <w:szCs w:val="22"/>
        </w:rPr>
        <w:t xml:space="preserve">he foundations </w:t>
      </w:r>
      <w:r>
        <w:rPr>
          <w:rFonts w:asciiTheme="minorHAnsi" w:hAnsiTheme="minorHAnsi" w:cstheme="minorHAnsi"/>
          <w:b/>
          <w:bCs/>
          <w:szCs w:val="22"/>
        </w:rPr>
        <w:t xml:space="preserve">to achieve health equality </w:t>
      </w:r>
      <w:r w:rsidRPr="000B070F">
        <w:rPr>
          <w:rFonts w:asciiTheme="minorHAnsi" w:hAnsiTheme="minorHAnsi" w:cstheme="minorHAnsi"/>
          <w:b/>
          <w:bCs/>
          <w:szCs w:val="22"/>
        </w:rPr>
        <w:t xml:space="preserve">are </w:t>
      </w:r>
      <w:r>
        <w:rPr>
          <w:rFonts w:asciiTheme="minorHAnsi" w:hAnsiTheme="minorHAnsi" w:cstheme="minorHAnsi"/>
          <w:b/>
          <w:bCs/>
          <w:szCs w:val="22"/>
        </w:rPr>
        <w:t>now</w:t>
      </w:r>
      <w:r w:rsidRPr="000B070F">
        <w:rPr>
          <w:rFonts w:asciiTheme="minorHAnsi" w:hAnsiTheme="minorHAnsi" w:cstheme="minorHAnsi"/>
          <w:b/>
          <w:bCs/>
          <w:szCs w:val="22"/>
        </w:rPr>
        <w:t xml:space="preserve"> </w:t>
      </w:r>
      <w:r>
        <w:rPr>
          <w:rFonts w:asciiTheme="minorHAnsi" w:hAnsiTheme="minorHAnsi" w:cstheme="minorHAnsi"/>
          <w:b/>
          <w:bCs/>
          <w:szCs w:val="22"/>
        </w:rPr>
        <w:t xml:space="preserve">in </w:t>
      </w:r>
      <w:r w:rsidRPr="000B070F">
        <w:rPr>
          <w:rFonts w:asciiTheme="minorHAnsi" w:hAnsiTheme="minorHAnsi" w:cstheme="minorHAnsi"/>
          <w:b/>
          <w:bCs/>
          <w:szCs w:val="22"/>
        </w:rPr>
        <w:t>place</w:t>
      </w:r>
      <w:r>
        <w:rPr>
          <w:rFonts w:asciiTheme="minorHAnsi" w:hAnsiTheme="minorHAnsi" w:cstheme="minorHAnsi"/>
          <w:b/>
          <w:bCs/>
          <w:szCs w:val="22"/>
        </w:rPr>
        <w:t>. W</w:t>
      </w:r>
      <w:r w:rsidRPr="000B070F">
        <w:rPr>
          <w:rFonts w:asciiTheme="minorHAnsi" w:hAnsiTheme="minorHAnsi" w:cstheme="minorHAnsi"/>
          <w:b/>
          <w:bCs/>
          <w:szCs w:val="22"/>
        </w:rPr>
        <w:t>e</w:t>
      </w:r>
      <w:r>
        <w:rPr>
          <w:rFonts w:asciiTheme="minorHAnsi" w:hAnsiTheme="minorHAnsi" w:cstheme="minorHAnsi"/>
          <w:b/>
          <w:bCs/>
          <w:szCs w:val="22"/>
        </w:rPr>
        <w:t xml:space="preserve">, as a nation, </w:t>
      </w:r>
      <w:r w:rsidRPr="000B070F">
        <w:rPr>
          <w:rFonts w:asciiTheme="minorHAnsi" w:hAnsiTheme="minorHAnsi" w:cstheme="minorHAnsi"/>
          <w:b/>
          <w:bCs/>
          <w:szCs w:val="22"/>
        </w:rPr>
        <w:t>need to stay the course</w:t>
      </w:r>
      <w:r>
        <w:rPr>
          <w:rFonts w:asciiTheme="minorHAnsi" w:hAnsiTheme="minorHAnsi" w:cstheme="minorHAnsi"/>
          <w:b/>
          <w:bCs/>
          <w:szCs w:val="22"/>
        </w:rPr>
        <w:t xml:space="preserve"> and</w:t>
      </w:r>
      <w:r w:rsidRPr="000B070F">
        <w:rPr>
          <w:rFonts w:asciiTheme="minorHAnsi" w:hAnsiTheme="minorHAnsi" w:cstheme="minorHAnsi"/>
          <w:b/>
          <w:bCs/>
          <w:szCs w:val="22"/>
        </w:rPr>
        <w:t xml:space="preserve"> ensure long-term </w:t>
      </w:r>
      <w:r>
        <w:rPr>
          <w:rFonts w:asciiTheme="minorHAnsi" w:hAnsiTheme="minorHAnsi" w:cstheme="minorHAnsi"/>
          <w:b/>
          <w:bCs/>
          <w:szCs w:val="22"/>
        </w:rPr>
        <w:t xml:space="preserve">commitment and </w:t>
      </w:r>
      <w:r w:rsidRPr="000B070F">
        <w:rPr>
          <w:rFonts w:asciiTheme="minorHAnsi" w:hAnsiTheme="minorHAnsi" w:cstheme="minorHAnsi"/>
          <w:b/>
          <w:bCs/>
          <w:szCs w:val="22"/>
        </w:rPr>
        <w:t xml:space="preserve">policy continuity </w:t>
      </w:r>
      <w:r>
        <w:rPr>
          <w:rFonts w:asciiTheme="minorHAnsi" w:hAnsiTheme="minorHAnsi" w:cstheme="minorHAnsi"/>
          <w:b/>
          <w:bCs/>
          <w:szCs w:val="22"/>
        </w:rPr>
        <w:t>is in place to</w:t>
      </w:r>
      <w:r w:rsidRPr="000B070F">
        <w:rPr>
          <w:rFonts w:asciiTheme="minorHAnsi" w:hAnsiTheme="minorHAnsi" w:cstheme="minorHAnsi"/>
          <w:b/>
          <w:bCs/>
          <w:szCs w:val="22"/>
        </w:rPr>
        <w:t xml:space="preserve"> reflect</w:t>
      </w:r>
      <w:r>
        <w:rPr>
          <w:rFonts w:asciiTheme="minorHAnsi" w:hAnsiTheme="minorHAnsi" w:cstheme="minorHAnsi"/>
          <w:b/>
          <w:bCs/>
          <w:szCs w:val="22"/>
        </w:rPr>
        <w:t xml:space="preserve"> the</w:t>
      </w:r>
      <w:r w:rsidRPr="000B070F">
        <w:rPr>
          <w:rFonts w:asciiTheme="minorHAnsi" w:hAnsiTheme="minorHAnsi" w:cstheme="minorHAnsi"/>
          <w:b/>
          <w:bCs/>
          <w:szCs w:val="22"/>
        </w:rPr>
        <w:t xml:space="preserve"> long-term nature of our collective goal. </w:t>
      </w:r>
      <w:r>
        <w:rPr>
          <w:rFonts w:asciiTheme="minorHAnsi" w:hAnsiTheme="minorHAnsi" w:cstheme="minorHAnsi"/>
          <w:b/>
          <w:bCs/>
          <w:szCs w:val="22"/>
        </w:rPr>
        <w:t>Together, I believe we can close the gap.</w:t>
      </w:r>
    </w:p>
    <w:p w:rsidR="008D2928" w:rsidRPr="00476702" w:rsidRDefault="008D2928" w:rsidP="003D4C58">
      <w:pPr>
        <w:rPr>
          <w:rFonts w:asciiTheme="minorHAnsi" w:hAnsiTheme="minorHAnsi" w:cstheme="minorHAnsi"/>
          <w:szCs w:val="22"/>
        </w:rPr>
      </w:pPr>
      <w:r w:rsidRPr="0020389A">
        <w:rPr>
          <w:rFonts w:asciiTheme="minorHAnsi" w:hAnsiTheme="minorHAnsi" w:cstheme="minorHAnsi"/>
          <w:i/>
          <w:szCs w:val="22"/>
        </w:rPr>
        <w:t>Building on the Close the Gap platform</w:t>
      </w:r>
      <w:r>
        <w:rPr>
          <w:rFonts w:asciiTheme="minorHAnsi" w:hAnsiTheme="minorHAnsi" w:cstheme="minorHAnsi"/>
          <w:szCs w:val="22"/>
        </w:rPr>
        <w:t>, prepared by the Close the Gap Campaign for an incoming government, sets out the agenda for the government of the 44</w:t>
      </w:r>
      <w:r w:rsidRPr="00196509">
        <w:rPr>
          <w:rFonts w:asciiTheme="minorHAnsi" w:hAnsiTheme="minorHAnsi" w:cstheme="minorHAnsi"/>
          <w:szCs w:val="22"/>
          <w:vertAlign w:val="superscript"/>
        </w:rPr>
        <w:t>th</w:t>
      </w:r>
      <w:r>
        <w:rPr>
          <w:rFonts w:asciiTheme="minorHAnsi" w:hAnsiTheme="minorHAnsi" w:cstheme="minorHAnsi"/>
          <w:szCs w:val="22"/>
        </w:rPr>
        <w:t xml:space="preserve"> Parliament to continue to close the unacceptable life expectancy gap</w:t>
      </w:r>
      <w:r w:rsidRPr="00476702">
        <w:rPr>
          <w:rFonts w:asciiTheme="minorHAnsi" w:hAnsiTheme="minorHAnsi" w:cstheme="minorHAnsi"/>
          <w:szCs w:val="22"/>
        </w:rPr>
        <w:t>.</w:t>
      </w:r>
    </w:p>
    <w:p w:rsidR="008D2928" w:rsidRDefault="008D2928" w:rsidP="003D4C58">
      <w:pPr>
        <w:rPr>
          <w:rFonts w:asciiTheme="minorHAnsi" w:hAnsiTheme="minorHAnsi" w:cstheme="minorHAnsi"/>
          <w:szCs w:val="22"/>
        </w:rPr>
      </w:pPr>
      <w:r w:rsidRPr="00476702">
        <w:rPr>
          <w:rFonts w:asciiTheme="minorHAnsi" w:hAnsiTheme="minorHAnsi" w:cstheme="minorHAnsi"/>
          <w:szCs w:val="22"/>
        </w:rPr>
        <w:t xml:space="preserve">I have seen the need and I have seen the impact that </w:t>
      </w:r>
      <w:r>
        <w:rPr>
          <w:rFonts w:asciiTheme="minorHAnsi" w:hAnsiTheme="minorHAnsi" w:cstheme="minorHAnsi"/>
          <w:szCs w:val="22"/>
        </w:rPr>
        <w:t>the close the gap agenda has had on the ground – it is improving the health of the First Australians</w:t>
      </w:r>
      <w:r w:rsidRPr="00476702">
        <w:rPr>
          <w:rFonts w:asciiTheme="minorHAnsi" w:hAnsiTheme="minorHAnsi" w:cstheme="minorHAnsi"/>
          <w:szCs w:val="22"/>
        </w:rPr>
        <w:t xml:space="preserve">. I believe that we can be the generation to end the national disgrace that sees Aboriginal and Torres Strait Islander </w:t>
      </w:r>
      <w:r>
        <w:rPr>
          <w:rFonts w:asciiTheme="minorHAnsi" w:hAnsiTheme="minorHAnsi" w:cstheme="minorHAnsi"/>
          <w:szCs w:val="22"/>
        </w:rPr>
        <w:t>people</w:t>
      </w:r>
      <w:r w:rsidRPr="00476702">
        <w:rPr>
          <w:rFonts w:asciiTheme="minorHAnsi" w:hAnsiTheme="minorHAnsi" w:cstheme="minorHAnsi"/>
          <w:szCs w:val="22"/>
        </w:rPr>
        <w:t xml:space="preserve"> die more than 10 years younger than</w:t>
      </w:r>
      <w:r>
        <w:rPr>
          <w:rFonts w:asciiTheme="minorHAnsi" w:hAnsiTheme="minorHAnsi" w:cstheme="minorHAnsi"/>
          <w:szCs w:val="22"/>
        </w:rPr>
        <w:t xml:space="preserve"> members of</w:t>
      </w:r>
      <w:r w:rsidRPr="00476702">
        <w:rPr>
          <w:rFonts w:asciiTheme="minorHAnsi" w:hAnsiTheme="minorHAnsi" w:cstheme="minorHAnsi"/>
          <w:szCs w:val="22"/>
        </w:rPr>
        <w:t xml:space="preserve"> the broader Australian community.</w:t>
      </w:r>
    </w:p>
    <w:p w:rsidR="008D2928" w:rsidRPr="00476702" w:rsidRDefault="008D2928" w:rsidP="003D4C58">
      <w:pPr>
        <w:rPr>
          <w:rFonts w:asciiTheme="minorHAnsi" w:hAnsiTheme="minorHAnsi" w:cstheme="minorHAnsi"/>
          <w:szCs w:val="22"/>
        </w:rPr>
      </w:pPr>
      <w:r>
        <w:rPr>
          <w:rFonts w:asciiTheme="minorHAnsi" w:hAnsiTheme="minorHAnsi" w:cstheme="minorHAnsi"/>
          <w:szCs w:val="22"/>
        </w:rPr>
        <w:t xml:space="preserve">Join Ian by signing the Close the Gap Campaign Pledge at </w:t>
      </w:r>
      <w:hyperlink r:id="rId10" w:history="1">
        <w:r w:rsidRPr="008B0DE9">
          <w:rPr>
            <w:rStyle w:val="Hyperlink"/>
            <w:rFonts w:asciiTheme="minorHAnsi" w:hAnsiTheme="minorHAnsi" w:cstheme="minorHAnsi"/>
            <w:szCs w:val="22"/>
          </w:rPr>
          <w:t>https://www.oxfam.org.au/my/act/sign-the-close-the-gap-pledge</w:t>
        </w:r>
      </w:hyperlink>
      <w:r>
        <w:rPr>
          <w:rFonts w:asciiTheme="minorHAnsi" w:hAnsiTheme="minorHAnsi" w:cstheme="minorHAnsi"/>
          <w:szCs w:val="22"/>
        </w:rPr>
        <w:t xml:space="preserve">. </w:t>
      </w:r>
    </w:p>
    <w:tbl>
      <w:tblPr>
        <w:tblStyle w:val="TableGrid"/>
        <w:tblW w:w="0" w:type="auto"/>
        <w:tblLook w:val="04A0" w:firstRow="1" w:lastRow="0" w:firstColumn="1" w:lastColumn="0" w:noHBand="0" w:noVBand="1"/>
      </w:tblPr>
      <w:tblGrid>
        <w:gridCol w:w="9286"/>
      </w:tblGrid>
      <w:tr w:rsidR="008D2928" w:rsidTr="00D36389">
        <w:tc>
          <w:tcPr>
            <w:tcW w:w="9286" w:type="dxa"/>
          </w:tcPr>
          <w:p w:rsidR="008D2928" w:rsidRPr="001B0D30" w:rsidRDefault="008D2928" w:rsidP="00380161">
            <w:pPr>
              <w:rPr>
                <w:rFonts w:asciiTheme="minorHAnsi" w:hAnsiTheme="minorHAnsi" w:cstheme="minorHAnsi"/>
                <w:b/>
                <w:szCs w:val="22"/>
              </w:rPr>
            </w:pPr>
            <w:r w:rsidRPr="001B0D30">
              <w:rPr>
                <w:rFonts w:asciiTheme="minorHAnsi" w:hAnsiTheme="minorHAnsi" w:cstheme="minorHAnsi"/>
                <w:b/>
                <w:szCs w:val="22"/>
              </w:rPr>
              <w:t>Public support for this national priority</w:t>
            </w:r>
          </w:p>
          <w:p w:rsidR="008D2928" w:rsidRDefault="008D2928" w:rsidP="00380161">
            <w:pPr>
              <w:rPr>
                <w:rFonts w:asciiTheme="minorHAnsi" w:hAnsiTheme="minorHAnsi" w:cstheme="minorHAnsi"/>
                <w:szCs w:val="22"/>
                <w:lang w:val="en-US"/>
              </w:rPr>
            </w:pPr>
            <w:r>
              <w:rPr>
                <w:rFonts w:asciiTheme="minorHAnsi" w:hAnsiTheme="minorHAnsi" w:cstheme="minorHAnsi"/>
                <w:szCs w:val="22"/>
              </w:rPr>
              <w:t xml:space="preserve">To date over 188,000 Australians have formally pledged their support for the Campaign and its goal to close the </w:t>
            </w:r>
            <w:r w:rsidRPr="00D36389">
              <w:rPr>
                <w:rFonts w:asciiTheme="minorHAnsi" w:hAnsiTheme="minorHAnsi" w:cstheme="minorHAnsi"/>
                <w:szCs w:val="22"/>
                <w:lang w:val="en-US"/>
              </w:rPr>
              <w:t xml:space="preserve">health and life expectancy </w:t>
            </w:r>
            <w:r>
              <w:rPr>
                <w:rFonts w:asciiTheme="minorHAnsi" w:hAnsiTheme="minorHAnsi" w:cstheme="minorHAnsi"/>
                <w:szCs w:val="22"/>
                <w:lang w:val="en-US"/>
              </w:rPr>
              <w:t xml:space="preserve">gap </w:t>
            </w:r>
            <w:r w:rsidRPr="00D36389">
              <w:rPr>
                <w:rFonts w:asciiTheme="minorHAnsi" w:hAnsiTheme="minorHAnsi" w:cstheme="minorHAnsi"/>
                <w:szCs w:val="22"/>
                <w:lang w:val="en-US"/>
              </w:rPr>
              <w:t>of Aboriginal and Torres Strait Islander people to that of the non-Indigenous population within a generation: to close the gap by 2030</w:t>
            </w:r>
            <w:r>
              <w:rPr>
                <w:rFonts w:asciiTheme="minorHAnsi" w:hAnsiTheme="minorHAnsi" w:cstheme="minorHAnsi"/>
                <w:szCs w:val="22"/>
                <w:lang w:val="en-US"/>
              </w:rPr>
              <w:t>.</w:t>
            </w:r>
          </w:p>
          <w:p w:rsidR="008D2928" w:rsidRDefault="008D2928" w:rsidP="001B0D30">
            <w:pPr>
              <w:rPr>
                <w:rFonts w:asciiTheme="minorHAnsi" w:hAnsiTheme="minorHAnsi" w:cstheme="minorHAnsi"/>
                <w:szCs w:val="22"/>
                <w:lang w:val="en-US"/>
              </w:rPr>
            </w:pPr>
            <w:r>
              <w:rPr>
                <w:rFonts w:asciiTheme="minorHAnsi" w:hAnsiTheme="minorHAnsi" w:cstheme="minorHAnsi"/>
                <w:szCs w:val="22"/>
                <w:lang w:val="en-US"/>
              </w:rPr>
              <w:t xml:space="preserve">Since 2009 the Campaign has held a National Close the Gap Day each year. Australians across the country in every state and territory participate in the event. Health services, schools, businesses, hospitals, government departments, ambulance services, non-government </w:t>
            </w:r>
            <w:proofErr w:type="spellStart"/>
            <w:r>
              <w:rPr>
                <w:rFonts w:asciiTheme="minorHAnsi" w:hAnsiTheme="minorHAnsi" w:cstheme="minorHAnsi"/>
                <w:szCs w:val="22"/>
                <w:lang w:val="en-US"/>
              </w:rPr>
              <w:t>organisations</w:t>
            </w:r>
            <w:proofErr w:type="spellEnd"/>
            <w:r>
              <w:rPr>
                <w:rFonts w:asciiTheme="minorHAnsi" w:hAnsiTheme="minorHAnsi" w:cstheme="minorHAnsi"/>
                <w:szCs w:val="22"/>
                <w:lang w:val="en-US"/>
              </w:rPr>
              <w:t xml:space="preserve"> and others hold events to raise awareness and show support for the Campaign and its goals. It is the largest and highest profile Aboriginal and Torres Strait Islander health event in the country. This year’s record breaking National Close the Gap Day, on 21 March, involved more than </w:t>
            </w:r>
            <w:r w:rsidRPr="002748BE">
              <w:rPr>
                <w:rFonts w:asciiTheme="minorHAnsi" w:hAnsiTheme="minorHAnsi" w:cstheme="minorHAnsi"/>
                <w:szCs w:val="22"/>
                <w:lang w:val="en-US"/>
              </w:rPr>
              <w:t>140,000 Australians at 972 events across the country</w:t>
            </w:r>
            <w:r>
              <w:rPr>
                <w:rFonts w:asciiTheme="minorHAnsi" w:hAnsiTheme="minorHAnsi" w:cstheme="minorHAnsi"/>
                <w:szCs w:val="22"/>
                <w:lang w:val="en-US"/>
              </w:rPr>
              <w:t xml:space="preserve">. </w:t>
            </w:r>
          </w:p>
          <w:p w:rsidR="008D2928" w:rsidRDefault="008D2928" w:rsidP="003E3E09">
            <w:pPr>
              <w:rPr>
                <w:rFonts w:asciiTheme="minorHAnsi" w:hAnsiTheme="minorHAnsi" w:cstheme="minorHAnsi"/>
                <w:szCs w:val="22"/>
                <w:lang w:val="en-US"/>
              </w:rPr>
            </w:pPr>
            <w:r>
              <w:rPr>
                <w:rFonts w:asciiTheme="minorHAnsi" w:hAnsiTheme="minorHAnsi" w:cstheme="minorHAnsi"/>
                <w:szCs w:val="22"/>
                <w:lang w:val="en-US"/>
              </w:rPr>
              <w:t>In addition to National Close the Gap Day, the NRL holds an annual Close the Gap round which reaches between 2 and 3 million people through media coverage of the round and on ground exposure to the Close the Gap message.</w:t>
            </w:r>
          </w:p>
          <w:p w:rsidR="008D2928" w:rsidRPr="00101F40" w:rsidRDefault="008D2928" w:rsidP="00242A4C">
            <w:pPr>
              <w:rPr>
                <w:rFonts w:asciiTheme="minorHAnsi" w:hAnsiTheme="minorHAnsi" w:cstheme="minorHAnsi"/>
                <w:b/>
                <w:szCs w:val="22"/>
              </w:rPr>
            </w:pPr>
            <w:r w:rsidRPr="00101F40">
              <w:rPr>
                <w:rFonts w:asciiTheme="minorHAnsi" w:hAnsiTheme="minorHAnsi" w:cstheme="minorHAnsi"/>
                <w:b/>
                <w:szCs w:val="22"/>
              </w:rPr>
              <w:t>Close the Gap is a growing national movement</w:t>
            </w:r>
          </w:p>
          <w:p w:rsidR="008D2928" w:rsidRPr="001B1820" w:rsidRDefault="008D2928" w:rsidP="003B336E">
            <w:pPr>
              <w:rPr>
                <w:rFonts w:asciiTheme="minorHAnsi" w:hAnsiTheme="minorHAnsi" w:cstheme="minorHAnsi"/>
                <w:szCs w:val="22"/>
              </w:rPr>
            </w:pPr>
            <w:r w:rsidRPr="001B1820">
              <w:rPr>
                <w:rFonts w:asciiTheme="minorHAnsi" w:hAnsiTheme="minorHAnsi" w:cstheme="minorHAnsi"/>
                <w:szCs w:val="22"/>
              </w:rPr>
              <w:t xml:space="preserve">The message clear: Australians want </w:t>
            </w:r>
            <w:r>
              <w:rPr>
                <w:rFonts w:asciiTheme="minorHAnsi" w:hAnsiTheme="minorHAnsi" w:cstheme="minorHAnsi"/>
                <w:szCs w:val="22"/>
              </w:rPr>
              <w:t xml:space="preserve">continued government action on the national priority to </w:t>
            </w:r>
            <w:r w:rsidRPr="001B1820">
              <w:rPr>
                <w:rFonts w:asciiTheme="minorHAnsi" w:hAnsiTheme="minorHAnsi" w:cstheme="minorHAnsi"/>
                <w:szCs w:val="22"/>
              </w:rPr>
              <w:t>close the gap</w:t>
            </w:r>
            <w:r>
              <w:rPr>
                <w:rFonts w:asciiTheme="minorHAnsi" w:hAnsiTheme="minorHAnsi" w:cstheme="minorHAnsi"/>
                <w:szCs w:val="22"/>
              </w:rPr>
              <w:t xml:space="preserve"> </w:t>
            </w:r>
            <w:r w:rsidRPr="00C6620F">
              <w:rPr>
                <w:rFonts w:asciiTheme="minorHAnsi" w:hAnsiTheme="minorHAnsi" w:cstheme="minorHAnsi"/>
                <w:szCs w:val="22"/>
              </w:rPr>
              <w:t>in health and life expectancy between Aboriginal and Torres Strait Islander and non-Indigenous Australians</w:t>
            </w:r>
            <w:r w:rsidRPr="001B1820">
              <w:rPr>
                <w:rFonts w:asciiTheme="minorHAnsi" w:hAnsiTheme="minorHAnsi" w:cstheme="minorHAnsi"/>
                <w:szCs w:val="22"/>
              </w:rPr>
              <w:t xml:space="preserve">. </w:t>
            </w:r>
          </w:p>
        </w:tc>
      </w:tr>
    </w:tbl>
    <w:p w:rsidR="008D2928" w:rsidRPr="00697308" w:rsidRDefault="008D2928" w:rsidP="00380161">
      <w:pPr>
        <w:rPr>
          <w:b/>
          <w:sz w:val="28"/>
          <w:szCs w:val="28"/>
        </w:rPr>
      </w:pPr>
      <w:r>
        <w:rPr>
          <w:b/>
          <w:sz w:val="28"/>
          <w:szCs w:val="28"/>
        </w:rPr>
        <w:t xml:space="preserve">Executive summary </w:t>
      </w:r>
    </w:p>
    <w:p w:rsidR="008D2928" w:rsidRDefault="008D2928" w:rsidP="00380161">
      <w:r>
        <w:rPr>
          <w:i/>
        </w:rPr>
        <w:t>Building on the Close the Gap p</w:t>
      </w:r>
      <w:r w:rsidRPr="001B1820">
        <w:rPr>
          <w:i/>
        </w:rPr>
        <w:t>latform</w:t>
      </w:r>
      <w:r w:rsidRPr="001B1820">
        <w:t xml:space="preserve"> </w:t>
      </w:r>
      <w:r>
        <w:t>outlines the key commitments and milestones for the government of the 44</w:t>
      </w:r>
      <w:r w:rsidRPr="00A05810">
        <w:rPr>
          <w:vertAlign w:val="superscript"/>
        </w:rPr>
        <w:t>th</w:t>
      </w:r>
      <w:r>
        <w:t xml:space="preserve"> Parliament. </w:t>
      </w:r>
    </w:p>
    <w:p w:rsidR="008D2928" w:rsidRDefault="008D2928" w:rsidP="00380161">
      <w:r w:rsidRPr="00544B20">
        <w:lastRenderedPageBreak/>
        <w:t>Meeting these commitments is critical if we are to finally close the gap in health and life expectancy between Aboriginal and Torres Strait Islander and non-Indige</w:t>
      </w:r>
      <w:r>
        <w:t xml:space="preserve">nous Australians by 2030. Undertaking these commitments will continue the multi-party efforts to close the gap. The broad national support for the Close the Gap Campaign </w:t>
      </w:r>
      <w:r w:rsidRPr="00C6620F">
        <w:t xml:space="preserve">for Aboriginal and Torres Strait Islander health equality </w:t>
      </w:r>
      <w:r>
        <w:t xml:space="preserve">demonstrates this is action that the Australian people want. </w:t>
      </w:r>
    </w:p>
    <w:p w:rsidR="008D2928" w:rsidRDefault="008D2928" w:rsidP="00380161">
      <w:r>
        <w:t xml:space="preserve">The Close the Gap Campaign has consistently advocated for long-term approaches and policy continuity. </w:t>
      </w:r>
      <w:r>
        <w:rPr>
          <w:i/>
        </w:rPr>
        <w:t>Building on the Close the Gap p</w:t>
      </w:r>
      <w:r w:rsidRPr="009D341E">
        <w:rPr>
          <w:i/>
        </w:rPr>
        <w:t>latform</w:t>
      </w:r>
      <w:r w:rsidRPr="009D341E">
        <w:t xml:space="preserve"> </w:t>
      </w:r>
      <w:r>
        <w:t xml:space="preserve">sits within this long-term approach and sets out the concrete actions to be undertaken in the forthcoming term of government. </w:t>
      </w:r>
    </w:p>
    <w:p w:rsidR="008D2928" w:rsidRDefault="008D2928" w:rsidP="00380161">
      <w:r>
        <w:rPr>
          <w:i/>
        </w:rPr>
        <w:t>Building on the Close the Gap p</w:t>
      </w:r>
      <w:r w:rsidRPr="009D341E">
        <w:rPr>
          <w:i/>
        </w:rPr>
        <w:t>latform</w:t>
      </w:r>
      <w:r w:rsidRPr="009D341E">
        <w:t xml:space="preserve"> </w:t>
      </w:r>
      <w:r>
        <w:t xml:space="preserve">sets out clear commitments and milestones for achievement by government in the first 100 days, the first year and throughout the term of government. The Close the Gap Campaign will monitor progress during the term of government including through its annual shadow or progress report, which is released to coincide with the Prime Minister’s </w:t>
      </w:r>
      <w:proofErr w:type="gramStart"/>
      <w:r w:rsidRPr="009D341E">
        <w:rPr>
          <w:i/>
        </w:rPr>
        <w:t>Closing</w:t>
      </w:r>
      <w:proofErr w:type="gramEnd"/>
      <w:r w:rsidRPr="009D341E">
        <w:rPr>
          <w:i/>
        </w:rPr>
        <w:t xml:space="preserve"> the Gap Report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2928" w:rsidRPr="00922B89" w:rsidTr="00B63F41">
        <w:tc>
          <w:tcPr>
            <w:tcW w:w="9286" w:type="dxa"/>
            <w:shd w:val="clear" w:color="auto" w:fill="auto"/>
          </w:tcPr>
          <w:p w:rsidR="008D2928" w:rsidRPr="00922B89" w:rsidDel="009D1FCE" w:rsidRDefault="008D2928" w:rsidP="00380161">
            <w:pPr>
              <w:rPr>
                <w:rFonts w:cs="Calibri"/>
                <w:b/>
                <w:sz w:val="20"/>
                <w:szCs w:val="20"/>
              </w:rPr>
            </w:pPr>
            <w:r w:rsidRPr="00922B89" w:rsidDel="00DA5364">
              <w:rPr>
                <w:rFonts w:cs="Calibri"/>
                <w:b/>
                <w:sz w:val="20"/>
                <w:szCs w:val="20"/>
              </w:rPr>
              <w:t>T</w:t>
            </w:r>
            <w:r w:rsidRPr="00922B89" w:rsidDel="009D1FCE">
              <w:rPr>
                <w:rFonts w:cs="Calibri"/>
                <w:b/>
                <w:sz w:val="20"/>
                <w:szCs w:val="20"/>
              </w:rPr>
              <w:t>he Close the Gap Campaign calls for</w:t>
            </w:r>
            <w:r w:rsidRPr="00922B89">
              <w:rPr>
                <w:rFonts w:cs="Calibri"/>
                <w:b/>
                <w:sz w:val="20"/>
                <w:szCs w:val="20"/>
              </w:rPr>
              <w:t xml:space="preserve"> an incoming government to</w:t>
            </w:r>
            <w:r w:rsidRPr="00922B89" w:rsidDel="009D1FCE">
              <w:rPr>
                <w:rFonts w:cs="Calibri"/>
                <w:b/>
                <w:sz w:val="20"/>
                <w:szCs w:val="20"/>
              </w:rPr>
              <w:t>:</w:t>
            </w:r>
          </w:p>
          <w:p w:rsidR="008D2928" w:rsidRPr="00922B89" w:rsidRDefault="008D2928" w:rsidP="00380161">
            <w:pPr>
              <w:rPr>
                <w:rFonts w:cs="Calibri"/>
                <w:i/>
                <w:sz w:val="20"/>
                <w:szCs w:val="20"/>
              </w:rPr>
            </w:pPr>
            <w:r w:rsidRPr="00922B89">
              <w:rPr>
                <w:rFonts w:cs="Calibri"/>
                <w:i/>
                <w:sz w:val="20"/>
                <w:szCs w:val="20"/>
              </w:rPr>
              <w:t>In the first 100 days (see pages 6-7)</w:t>
            </w:r>
          </w:p>
          <w:p w:rsidR="008D2928" w:rsidRPr="00922B89" w:rsidRDefault="008D2928" w:rsidP="006F02F3">
            <w:pPr>
              <w:pStyle w:val="ListParagraph"/>
              <w:numPr>
                <w:ilvl w:val="0"/>
                <w:numId w:val="39"/>
              </w:numPr>
              <w:ind w:left="714" w:hanging="357"/>
              <w:contextualSpacing w:val="0"/>
              <w:rPr>
                <w:sz w:val="20"/>
                <w:szCs w:val="20"/>
              </w:rPr>
            </w:pPr>
            <w:r>
              <w:rPr>
                <w:sz w:val="20"/>
                <w:szCs w:val="20"/>
              </w:rPr>
              <w:t>R</w:t>
            </w:r>
            <w:r w:rsidRPr="00922B89">
              <w:rPr>
                <w:sz w:val="20"/>
                <w:szCs w:val="20"/>
              </w:rPr>
              <w:t xml:space="preserve">eaffirm the commitment </w:t>
            </w:r>
            <w:r>
              <w:rPr>
                <w:sz w:val="20"/>
                <w:szCs w:val="20"/>
              </w:rPr>
              <w:t xml:space="preserve">of the Prime Minister </w:t>
            </w:r>
            <w:r w:rsidRPr="00922B89">
              <w:rPr>
                <w:sz w:val="20"/>
                <w:szCs w:val="20"/>
              </w:rPr>
              <w:t xml:space="preserve">to report on progress towards closing the gap between Aboriginal and Torres Strait Islander and non-Indigenous Australians. This should occur on, or as near as possible to, the first day of Parliament at the start of the calendar year. </w:t>
            </w:r>
          </w:p>
          <w:p w:rsidR="008D2928" w:rsidRPr="00922B89" w:rsidRDefault="008D2928" w:rsidP="006F02F3">
            <w:pPr>
              <w:pStyle w:val="ListParagraph"/>
              <w:numPr>
                <w:ilvl w:val="0"/>
                <w:numId w:val="39"/>
              </w:numPr>
              <w:contextualSpacing w:val="0"/>
              <w:rPr>
                <w:rFonts w:cs="Calibri"/>
                <w:i/>
                <w:sz w:val="20"/>
                <w:szCs w:val="20"/>
              </w:rPr>
            </w:pPr>
            <w:r w:rsidRPr="00922B89">
              <w:rPr>
                <w:sz w:val="20"/>
                <w:szCs w:val="20"/>
              </w:rPr>
              <w:t xml:space="preserve">Forge an agreement through the COAG process on a new </w:t>
            </w:r>
            <w:r w:rsidRPr="00922B89">
              <w:rPr>
                <w:i/>
                <w:sz w:val="20"/>
                <w:szCs w:val="20"/>
              </w:rPr>
              <w:t>National Partnership Agreement on Closing the Gap in Indigenous Health Outcomes</w:t>
            </w:r>
            <w:r w:rsidRPr="00922B89">
              <w:rPr>
                <w:sz w:val="20"/>
                <w:szCs w:val="20"/>
              </w:rPr>
              <w:t>, with a minimum Commonwealth investment of $777 million over the next three years.</w:t>
            </w:r>
          </w:p>
          <w:p w:rsidR="008D2928" w:rsidRPr="00922B89" w:rsidRDefault="008D2928" w:rsidP="006F02F3">
            <w:pPr>
              <w:pStyle w:val="ListParagraph"/>
              <w:numPr>
                <w:ilvl w:val="0"/>
                <w:numId w:val="39"/>
              </w:numPr>
              <w:contextualSpacing w:val="0"/>
              <w:rPr>
                <w:rFonts w:cs="Calibri"/>
                <w:i/>
                <w:sz w:val="20"/>
                <w:szCs w:val="20"/>
              </w:rPr>
            </w:pPr>
            <w:r>
              <w:rPr>
                <w:sz w:val="20"/>
                <w:szCs w:val="20"/>
              </w:rPr>
              <w:t>Establish</w:t>
            </w:r>
            <w:r w:rsidRPr="00BA4487">
              <w:rPr>
                <w:sz w:val="20"/>
                <w:szCs w:val="20"/>
              </w:rPr>
              <w:t xml:space="preserve"> a clear process that ensures a national implementation strategy for the </w:t>
            </w:r>
            <w:r w:rsidRPr="00BA4487">
              <w:rPr>
                <w:i/>
                <w:sz w:val="20"/>
                <w:szCs w:val="20"/>
              </w:rPr>
              <w:t>National Aboriginal and Torres Strait Islander Health Plan 2013-2023</w:t>
            </w:r>
            <w:r w:rsidRPr="00BA4487">
              <w:rPr>
                <w:sz w:val="20"/>
                <w:szCs w:val="20"/>
              </w:rPr>
              <w:t xml:space="preserve"> is developed in partnership with Aboriginal and Torres Strait Islander peoples and their representatives</w:t>
            </w:r>
            <w:r w:rsidRPr="00922B89">
              <w:rPr>
                <w:sz w:val="20"/>
                <w:szCs w:val="20"/>
              </w:rPr>
              <w:t>.</w:t>
            </w:r>
          </w:p>
          <w:p w:rsidR="008D2928" w:rsidRPr="00922B89" w:rsidRDefault="008D2928" w:rsidP="00D654A0">
            <w:pPr>
              <w:rPr>
                <w:rFonts w:cs="Calibri"/>
                <w:i/>
                <w:sz w:val="20"/>
                <w:szCs w:val="20"/>
              </w:rPr>
            </w:pPr>
            <w:r w:rsidRPr="00922B89">
              <w:rPr>
                <w:rFonts w:cs="Calibri"/>
                <w:i/>
                <w:sz w:val="20"/>
                <w:szCs w:val="20"/>
              </w:rPr>
              <w:t>In the first year (see pages 8-9)</w:t>
            </w:r>
          </w:p>
          <w:p w:rsidR="008D2928" w:rsidRPr="00922B89" w:rsidRDefault="008D2928" w:rsidP="006F02F3">
            <w:pPr>
              <w:pStyle w:val="ListParagraph"/>
              <w:numPr>
                <w:ilvl w:val="0"/>
                <w:numId w:val="46"/>
              </w:numPr>
              <w:rPr>
                <w:rFonts w:cs="Calibri"/>
                <w:sz w:val="20"/>
                <w:szCs w:val="20"/>
              </w:rPr>
            </w:pPr>
            <w:proofErr w:type="spellStart"/>
            <w:r w:rsidRPr="00922B89">
              <w:rPr>
                <w:rFonts w:cs="Calibri"/>
                <w:sz w:val="20"/>
                <w:szCs w:val="20"/>
              </w:rPr>
              <w:t>Finalise</w:t>
            </w:r>
            <w:proofErr w:type="spellEnd"/>
            <w:r w:rsidRPr="00922B89">
              <w:rPr>
                <w:rFonts w:cs="Calibri"/>
                <w:sz w:val="20"/>
                <w:szCs w:val="20"/>
              </w:rPr>
              <w:t xml:space="preserve"> a national implementation strategy for the </w:t>
            </w:r>
            <w:r w:rsidRPr="00922B89">
              <w:rPr>
                <w:rFonts w:cs="Calibri"/>
                <w:i/>
                <w:sz w:val="20"/>
                <w:szCs w:val="20"/>
              </w:rPr>
              <w:t xml:space="preserve">National Aboriginal and Torres Strait Islander Health Plan 2013-2023 </w:t>
            </w:r>
            <w:r w:rsidRPr="00922B89">
              <w:rPr>
                <w:rFonts w:cs="Calibri"/>
                <w:sz w:val="20"/>
                <w:szCs w:val="20"/>
              </w:rPr>
              <w:t>developed in partnership with Aboriginal and Torres Strait Islander people and their representatives as well as state and territory governments. This strategy should include measurable benchmarks</w:t>
            </w:r>
            <w:r>
              <w:rPr>
                <w:rFonts w:cs="Calibri"/>
                <w:sz w:val="20"/>
                <w:szCs w:val="20"/>
              </w:rPr>
              <w:t xml:space="preserve"> and targets</w:t>
            </w:r>
            <w:r w:rsidRPr="00922B89">
              <w:rPr>
                <w:rFonts w:cs="Calibri"/>
                <w:sz w:val="20"/>
                <w:szCs w:val="20"/>
              </w:rPr>
              <w:t xml:space="preserve"> to monitor progress. </w:t>
            </w:r>
          </w:p>
          <w:p w:rsidR="008D2928" w:rsidRPr="00922B89" w:rsidRDefault="008D2928" w:rsidP="006F02F3">
            <w:pPr>
              <w:pStyle w:val="ListParagraph"/>
              <w:numPr>
                <w:ilvl w:val="0"/>
                <w:numId w:val="46"/>
              </w:numPr>
              <w:contextualSpacing w:val="0"/>
              <w:rPr>
                <w:rFonts w:cs="Calibri"/>
                <w:sz w:val="20"/>
                <w:szCs w:val="20"/>
              </w:rPr>
            </w:pPr>
            <w:r w:rsidRPr="00922B89">
              <w:rPr>
                <w:rFonts w:cs="Calibri"/>
                <w:sz w:val="20"/>
                <w:szCs w:val="20"/>
              </w:rPr>
              <w:t xml:space="preserve">Develop a whole-of-government mechanism </w:t>
            </w:r>
            <w:r>
              <w:rPr>
                <w:rFonts w:cs="Calibri"/>
                <w:sz w:val="20"/>
                <w:szCs w:val="20"/>
              </w:rPr>
              <w:t xml:space="preserve">across sectors and portfolios </w:t>
            </w:r>
            <w:r w:rsidRPr="00922B89">
              <w:rPr>
                <w:rFonts w:cs="Calibri"/>
                <w:sz w:val="20"/>
                <w:szCs w:val="20"/>
              </w:rPr>
              <w:t>to drive an integrated response to health issues and their social and cultural determinants, including the impacts of intergenerational trauma.</w:t>
            </w:r>
          </w:p>
          <w:p w:rsidR="008D2928" w:rsidRPr="00922B89" w:rsidRDefault="008D2928" w:rsidP="006F02F3">
            <w:pPr>
              <w:pStyle w:val="ListParagraph"/>
              <w:numPr>
                <w:ilvl w:val="0"/>
                <w:numId w:val="46"/>
              </w:numPr>
              <w:contextualSpacing w:val="0"/>
              <w:rPr>
                <w:rFonts w:cs="Calibri"/>
                <w:sz w:val="20"/>
                <w:szCs w:val="20"/>
              </w:rPr>
            </w:pPr>
            <w:r w:rsidRPr="00922B89">
              <w:rPr>
                <w:rFonts w:cs="Calibri"/>
                <w:sz w:val="20"/>
                <w:szCs w:val="20"/>
              </w:rPr>
              <w:t>In partnership with Aboriginal and Torres Strait Islander peoples and their representatives</w:t>
            </w:r>
            <w:r>
              <w:rPr>
                <w:rFonts w:cs="Calibri"/>
                <w:sz w:val="20"/>
                <w:szCs w:val="20"/>
              </w:rPr>
              <w:t>,</w:t>
            </w:r>
            <w:r w:rsidRPr="00922B89">
              <w:rPr>
                <w:rFonts w:cs="Calibri"/>
                <w:sz w:val="20"/>
                <w:szCs w:val="20"/>
              </w:rPr>
              <w:t xml:space="preserve"> as well as state and territory governments</w:t>
            </w:r>
            <w:r>
              <w:rPr>
                <w:rFonts w:cs="Calibri"/>
                <w:sz w:val="20"/>
                <w:szCs w:val="20"/>
              </w:rPr>
              <w:t>,</w:t>
            </w:r>
            <w:r w:rsidRPr="00922B89">
              <w:rPr>
                <w:rFonts w:cs="Calibri"/>
                <w:sz w:val="20"/>
                <w:szCs w:val="20"/>
              </w:rPr>
              <w:t xml:space="preserve"> develop</w:t>
            </w:r>
            <w:r>
              <w:rPr>
                <w:rFonts w:cs="Calibri"/>
                <w:sz w:val="20"/>
                <w:szCs w:val="20"/>
              </w:rPr>
              <w:t xml:space="preserve"> specific COAG Closing the Gap t</w:t>
            </w:r>
            <w:r w:rsidRPr="00922B89">
              <w:rPr>
                <w:rFonts w:cs="Calibri"/>
                <w:sz w:val="20"/>
                <w:szCs w:val="20"/>
              </w:rPr>
              <w:t xml:space="preserve">argets in relation to incarceration rates and community safety. </w:t>
            </w:r>
          </w:p>
          <w:p w:rsidR="008D2928" w:rsidRPr="00922B89" w:rsidRDefault="008D2928" w:rsidP="002F130A">
            <w:pPr>
              <w:rPr>
                <w:rFonts w:cs="Calibri"/>
                <w:i/>
                <w:sz w:val="20"/>
                <w:szCs w:val="20"/>
              </w:rPr>
            </w:pPr>
            <w:r w:rsidRPr="00922B89">
              <w:rPr>
                <w:rFonts w:cs="Calibri"/>
                <w:i/>
                <w:sz w:val="20"/>
                <w:szCs w:val="20"/>
              </w:rPr>
              <w:t>During this term of government (see pages 10-11)</w:t>
            </w:r>
          </w:p>
          <w:p w:rsidR="008D2928" w:rsidRPr="00922B89" w:rsidRDefault="008D2928" w:rsidP="006F02F3">
            <w:pPr>
              <w:pStyle w:val="ListParagraph"/>
              <w:numPr>
                <w:ilvl w:val="0"/>
                <w:numId w:val="34"/>
              </w:numPr>
              <w:ind w:left="714" w:hanging="357"/>
              <w:contextualSpacing w:val="0"/>
              <w:rPr>
                <w:rFonts w:cs="Calibri"/>
                <w:sz w:val="20"/>
                <w:szCs w:val="20"/>
              </w:rPr>
            </w:pPr>
            <w:r w:rsidRPr="00922B89">
              <w:rPr>
                <w:rFonts w:cs="Calibri"/>
                <w:sz w:val="20"/>
                <w:szCs w:val="20"/>
              </w:rPr>
              <w:t xml:space="preserve">Introduce and pass legislation to </w:t>
            </w:r>
            <w:proofErr w:type="spellStart"/>
            <w:r w:rsidRPr="00922B89">
              <w:rPr>
                <w:rFonts w:cs="Calibri"/>
                <w:sz w:val="20"/>
                <w:szCs w:val="20"/>
              </w:rPr>
              <w:t>formalise</w:t>
            </w:r>
            <w:proofErr w:type="spellEnd"/>
            <w:r w:rsidRPr="00922B89">
              <w:rPr>
                <w:rFonts w:cs="Calibri"/>
                <w:sz w:val="20"/>
                <w:szCs w:val="20"/>
              </w:rPr>
              <w:t xml:space="preserve"> a process for national </w:t>
            </w:r>
            <w:r w:rsidRPr="00922B89">
              <w:rPr>
                <w:sz w:val="20"/>
                <w:szCs w:val="20"/>
              </w:rPr>
              <w:t>monitoring and reporting on efforts to close the gap in accordance with benchmarks and targets. This legislation should include a requirement for this process to be undertaken in partnership with Aboriginal and Torres Strait Islander peoples and their representatives. It should also have a sunset clause of 2031 – the year after the date by which all parties have committed to close the gap in health equality</w:t>
            </w:r>
            <w:r w:rsidRPr="00922B89">
              <w:rPr>
                <w:rFonts w:cs="Calibri"/>
                <w:sz w:val="20"/>
                <w:szCs w:val="20"/>
              </w:rPr>
              <w:t>.</w:t>
            </w:r>
          </w:p>
          <w:p w:rsidR="008D2928" w:rsidRPr="00922B89" w:rsidRDefault="008D2928" w:rsidP="006F02F3">
            <w:pPr>
              <w:pStyle w:val="ListParagraph"/>
              <w:numPr>
                <w:ilvl w:val="0"/>
                <w:numId w:val="34"/>
              </w:numPr>
              <w:ind w:left="714" w:hanging="357"/>
              <w:contextualSpacing w:val="0"/>
              <w:rPr>
                <w:rFonts w:cs="Calibri"/>
                <w:sz w:val="20"/>
                <w:szCs w:val="20"/>
              </w:rPr>
            </w:pPr>
            <w:r w:rsidRPr="00922B89">
              <w:rPr>
                <w:rFonts w:cs="Calibri"/>
                <w:sz w:val="20"/>
                <w:szCs w:val="20"/>
              </w:rPr>
              <w:t xml:space="preserve">Develop formal mechanisms that ensure long-term funding commitments, including the National Partnership Agreements, are linked with progress in closing the health equality gap. </w:t>
            </w:r>
          </w:p>
          <w:p w:rsidR="008D2928" w:rsidRPr="00922B89" w:rsidRDefault="008D2928" w:rsidP="006F02F3">
            <w:pPr>
              <w:pStyle w:val="ListParagraph"/>
              <w:numPr>
                <w:ilvl w:val="0"/>
                <w:numId w:val="34"/>
              </w:numPr>
              <w:ind w:left="714" w:hanging="357"/>
              <w:contextualSpacing w:val="0"/>
              <w:rPr>
                <w:rFonts w:cs="Calibri"/>
                <w:sz w:val="20"/>
                <w:szCs w:val="20"/>
              </w:rPr>
            </w:pPr>
            <w:r w:rsidRPr="00922B89">
              <w:rPr>
                <w:rFonts w:cs="Calibri"/>
                <w:sz w:val="20"/>
                <w:szCs w:val="20"/>
              </w:rPr>
              <w:t xml:space="preserve">Develop a new mechanism to determine the appropriate Aboriginal and Torres Strait Islander share of mainstream health programs on a basis </w:t>
            </w:r>
            <w:r>
              <w:rPr>
                <w:rFonts w:cs="Calibri"/>
                <w:sz w:val="20"/>
                <w:szCs w:val="20"/>
              </w:rPr>
              <w:t>that</w:t>
            </w:r>
            <w:r w:rsidRPr="00922B89">
              <w:rPr>
                <w:rFonts w:cs="Calibri"/>
                <w:sz w:val="20"/>
                <w:szCs w:val="20"/>
              </w:rPr>
              <w:t xml:space="preserve"> reflects both the population size and an index of need.</w:t>
            </w:r>
          </w:p>
        </w:tc>
      </w:tr>
    </w:tbl>
    <w:p w:rsidR="008D2928" w:rsidRDefault="008D2928" w:rsidP="00380161">
      <w:pPr>
        <w:spacing w:before="0" w:after="0"/>
      </w:pPr>
      <w:r>
        <w:br w:type="page"/>
      </w:r>
    </w:p>
    <w:p w:rsidR="008D2928" w:rsidRPr="00BF5794" w:rsidRDefault="008D2928" w:rsidP="00380161">
      <w:pPr>
        <w:rPr>
          <w:rFonts w:cs="Calibri"/>
          <w:b/>
          <w:sz w:val="28"/>
          <w:szCs w:val="28"/>
          <w:lang w:eastAsia="en-US"/>
        </w:rPr>
      </w:pPr>
      <w:r w:rsidRPr="00BF5794">
        <w:rPr>
          <w:rFonts w:cs="Calibri"/>
          <w:b/>
          <w:sz w:val="28"/>
          <w:szCs w:val="28"/>
          <w:lang w:eastAsia="en-US"/>
        </w:rPr>
        <w:lastRenderedPageBreak/>
        <w:t>First</w:t>
      </w:r>
      <w:r>
        <w:rPr>
          <w:rFonts w:cs="Calibri"/>
          <w:b/>
          <w:sz w:val="28"/>
          <w:szCs w:val="28"/>
          <w:lang w:eastAsia="en-US"/>
        </w:rPr>
        <w:t xml:space="preserve"> </w:t>
      </w:r>
      <w:r w:rsidRPr="00BF5794">
        <w:rPr>
          <w:rFonts w:cs="Calibri"/>
          <w:b/>
          <w:sz w:val="28"/>
          <w:szCs w:val="28"/>
          <w:lang w:eastAsia="en-US"/>
        </w:rPr>
        <w:t>100 days</w:t>
      </w:r>
    </w:p>
    <w:p w:rsidR="008D2928" w:rsidRDefault="008D2928" w:rsidP="00D63142">
      <w:pPr>
        <w:rPr>
          <w:rFonts w:cs="Calibri"/>
          <w:szCs w:val="22"/>
          <w:lang w:eastAsia="en-US"/>
        </w:rPr>
      </w:pPr>
      <w:r w:rsidRPr="00BE502D">
        <w:rPr>
          <w:rFonts w:cs="Calibri"/>
          <w:szCs w:val="22"/>
          <w:lang w:eastAsia="en-US"/>
        </w:rPr>
        <w:t xml:space="preserve">There is </w:t>
      </w:r>
      <w:r>
        <w:rPr>
          <w:rFonts w:cs="Calibri"/>
          <w:szCs w:val="22"/>
          <w:lang w:eastAsia="en-US"/>
        </w:rPr>
        <w:t>17 years to go until 2030</w:t>
      </w:r>
      <w:r w:rsidRPr="00BE502D">
        <w:rPr>
          <w:rFonts w:cs="Calibri"/>
          <w:szCs w:val="22"/>
          <w:lang w:eastAsia="en-US"/>
        </w:rPr>
        <w:t xml:space="preserve">. Policy continuity </w:t>
      </w:r>
      <w:r>
        <w:rPr>
          <w:rFonts w:cs="Calibri"/>
          <w:szCs w:val="22"/>
          <w:lang w:eastAsia="en-US"/>
        </w:rPr>
        <w:t xml:space="preserve">and transparent reporting </w:t>
      </w:r>
      <w:r w:rsidRPr="00BE502D">
        <w:rPr>
          <w:rFonts w:cs="Calibri"/>
          <w:szCs w:val="22"/>
          <w:lang w:eastAsia="en-US"/>
        </w:rPr>
        <w:t>is critical for the achievement of health equality over that span of time</w:t>
      </w:r>
      <w:r>
        <w:rPr>
          <w:rFonts w:cs="Calibri"/>
          <w:szCs w:val="22"/>
          <w:lang w:eastAsia="en-US"/>
        </w:rPr>
        <w:t xml:space="preserve">. </w:t>
      </w:r>
    </w:p>
    <w:p w:rsidR="008D2928" w:rsidRDefault="008D2928" w:rsidP="00D63142">
      <w:pPr>
        <w:rPr>
          <w:rFonts w:cs="Calibri"/>
          <w:szCs w:val="22"/>
          <w:lang w:eastAsia="en-US"/>
        </w:rPr>
      </w:pPr>
      <w:r w:rsidRPr="009B0009">
        <w:rPr>
          <w:rFonts w:cs="Calibri"/>
          <w:szCs w:val="22"/>
          <w:lang w:eastAsia="en-US"/>
        </w:rPr>
        <w:t>To maintain momentum it is imperative that early in its term</w:t>
      </w:r>
      <w:r>
        <w:rPr>
          <w:rFonts w:cs="Calibri"/>
          <w:szCs w:val="22"/>
          <w:lang w:eastAsia="en-US"/>
        </w:rPr>
        <w:t>,</w:t>
      </w:r>
      <w:r w:rsidRPr="009B0009">
        <w:rPr>
          <w:rFonts w:cs="Calibri"/>
          <w:szCs w:val="22"/>
          <w:lang w:eastAsia="en-US"/>
        </w:rPr>
        <w:t xml:space="preserve"> an incoming government clearly and unambiguously signal</w:t>
      </w:r>
      <w:r>
        <w:rPr>
          <w:rFonts w:cs="Calibri"/>
          <w:szCs w:val="22"/>
          <w:lang w:eastAsia="en-US"/>
        </w:rPr>
        <w:t>s</w:t>
      </w:r>
      <w:r w:rsidRPr="009B0009">
        <w:rPr>
          <w:rFonts w:cs="Calibri"/>
          <w:szCs w:val="22"/>
          <w:lang w:eastAsia="en-US"/>
        </w:rPr>
        <w:t xml:space="preserve"> its commitment to the Closing the Gap policy platform and reporting process. </w:t>
      </w:r>
    </w:p>
    <w:tbl>
      <w:tblPr>
        <w:tblStyle w:val="TableGrid"/>
        <w:tblW w:w="0" w:type="auto"/>
        <w:tblLook w:val="04A0" w:firstRow="1" w:lastRow="0" w:firstColumn="1" w:lastColumn="0" w:noHBand="0" w:noVBand="1"/>
      </w:tblPr>
      <w:tblGrid>
        <w:gridCol w:w="9286"/>
      </w:tblGrid>
      <w:tr w:rsidR="008D2928" w:rsidTr="003B04C8">
        <w:tc>
          <w:tcPr>
            <w:tcW w:w="9286" w:type="dxa"/>
            <w:shd w:val="clear" w:color="auto" w:fill="auto"/>
          </w:tcPr>
          <w:p w:rsidR="008D2928" w:rsidRDefault="008D2928" w:rsidP="003B04C8">
            <w:pPr>
              <w:rPr>
                <w:rFonts w:cs="Calibri"/>
                <w:szCs w:val="22"/>
                <w:lang w:eastAsia="en-US"/>
              </w:rPr>
            </w:pPr>
            <w:r w:rsidRPr="00CF69CA">
              <w:rPr>
                <w:rFonts w:asciiTheme="minorHAnsi" w:hAnsiTheme="minorHAnsi" w:cstheme="minorHAnsi"/>
                <w:szCs w:val="22"/>
              </w:rPr>
              <w:t>The Camp</w:t>
            </w:r>
            <w:r>
              <w:rPr>
                <w:rFonts w:asciiTheme="minorHAnsi" w:hAnsiTheme="minorHAnsi" w:cstheme="minorHAnsi"/>
                <w:szCs w:val="22"/>
              </w:rPr>
              <w:t>aign produces a complementary “S</w:t>
            </w:r>
            <w:r w:rsidRPr="00CF69CA">
              <w:rPr>
                <w:rFonts w:asciiTheme="minorHAnsi" w:hAnsiTheme="minorHAnsi" w:cstheme="minorHAnsi"/>
                <w:szCs w:val="22"/>
              </w:rPr>
              <w:t>hadow</w:t>
            </w:r>
            <w:r>
              <w:rPr>
                <w:rFonts w:asciiTheme="minorHAnsi" w:hAnsiTheme="minorHAnsi" w:cstheme="minorHAnsi"/>
                <w:szCs w:val="22"/>
              </w:rPr>
              <w:t xml:space="preserve"> R</w:t>
            </w:r>
            <w:r w:rsidRPr="00CF69CA">
              <w:rPr>
                <w:rFonts w:asciiTheme="minorHAnsi" w:hAnsiTheme="minorHAnsi" w:cstheme="minorHAnsi"/>
                <w:szCs w:val="22"/>
              </w:rPr>
              <w:t>eport</w:t>
            </w:r>
            <w:r>
              <w:rPr>
                <w:rFonts w:asciiTheme="minorHAnsi" w:hAnsiTheme="minorHAnsi" w:cstheme="minorHAnsi"/>
                <w:szCs w:val="22"/>
              </w:rPr>
              <w:t>”</w:t>
            </w:r>
            <w:r w:rsidRPr="00CF69CA">
              <w:rPr>
                <w:rFonts w:ascii="Arial" w:hAnsi="Arial" w:cstheme="minorHAnsi"/>
                <w:sz w:val="20"/>
                <w:szCs w:val="22"/>
                <w:vertAlign w:val="superscript"/>
              </w:rPr>
              <w:endnoteReference w:id="2"/>
            </w:r>
            <w:r w:rsidRPr="00CF69CA">
              <w:rPr>
                <w:rFonts w:asciiTheme="minorHAnsi" w:hAnsiTheme="minorHAnsi" w:cstheme="minorHAnsi"/>
                <w:szCs w:val="22"/>
              </w:rPr>
              <w:t xml:space="preserve"> coinciding with the </w:t>
            </w:r>
            <w:r>
              <w:rPr>
                <w:rFonts w:asciiTheme="minorHAnsi" w:hAnsiTheme="minorHAnsi" w:cstheme="minorHAnsi"/>
                <w:szCs w:val="22"/>
              </w:rPr>
              <w:t>Prime Minister’s</w:t>
            </w:r>
            <w:r w:rsidRPr="00CF69CA">
              <w:rPr>
                <w:rFonts w:asciiTheme="minorHAnsi" w:hAnsiTheme="minorHAnsi" w:cstheme="minorHAnsi"/>
                <w:szCs w:val="22"/>
              </w:rPr>
              <w:t xml:space="preserve"> </w:t>
            </w:r>
            <w:r w:rsidRPr="00CF69CA">
              <w:rPr>
                <w:rFonts w:eastAsia="Calibri" w:cs="Calibri"/>
                <w:color w:val="000000"/>
                <w:szCs w:val="22"/>
                <w:lang w:val="en-US" w:eastAsia="en-US"/>
              </w:rPr>
              <w:t>annual report to Parliament on progress towards closing the gap between Aboriginal and Torres Strait Islander and non-Indigenous Australians.</w:t>
            </w:r>
            <w:r w:rsidRPr="00CF69CA">
              <w:rPr>
                <w:rFonts w:ascii="Arial" w:eastAsia="Calibri" w:hAnsi="Arial" w:cs="Calibri"/>
                <w:color w:val="000000"/>
                <w:sz w:val="20"/>
                <w:szCs w:val="22"/>
                <w:vertAlign w:val="superscript"/>
                <w:lang w:val="en-US" w:eastAsia="en-US"/>
              </w:rPr>
              <w:endnoteReference w:id="3"/>
            </w:r>
            <w:r w:rsidRPr="00CF69CA">
              <w:rPr>
                <w:rFonts w:eastAsia="Calibri" w:cs="Calibri"/>
                <w:color w:val="000000"/>
                <w:szCs w:val="22"/>
                <w:lang w:val="en-US" w:eastAsia="en-US"/>
              </w:rPr>
              <w:t xml:space="preserve"> It has become a welcome tradition that the Prime Minister meets with and exchanges reports with the</w:t>
            </w:r>
            <w:r>
              <w:rPr>
                <w:rFonts w:eastAsia="Calibri" w:cs="Calibri"/>
                <w:color w:val="000000"/>
                <w:szCs w:val="22"/>
                <w:lang w:val="en-US" w:eastAsia="en-US"/>
              </w:rPr>
              <w:t xml:space="preserve"> Steering Committee of the</w:t>
            </w:r>
            <w:r w:rsidRPr="00CF69CA">
              <w:rPr>
                <w:rFonts w:eastAsia="Calibri" w:cs="Calibri"/>
                <w:color w:val="000000"/>
                <w:szCs w:val="22"/>
                <w:lang w:val="en-US" w:eastAsia="en-US"/>
              </w:rPr>
              <w:t xml:space="preserve"> </w:t>
            </w:r>
            <w:r>
              <w:rPr>
                <w:rFonts w:eastAsia="Calibri" w:cs="Calibri"/>
                <w:color w:val="000000"/>
                <w:szCs w:val="22"/>
                <w:lang w:val="en-US" w:eastAsia="en-US"/>
              </w:rPr>
              <w:t xml:space="preserve">Close the Gap </w:t>
            </w:r>
            <w:r w:rsidRPr="00CF69CA">
              <w:rPr>
                <w:rFonts w:eastAsia="Calibri" w:cs="Calibri"/>
                <w:color w:val="000000"/>
                <w:szCs w:val="22"/>
                <w:lang w:val="en-US" w:eastAsia="en-US"/>
              </w:rPr>
              <w:t>Campaign.</w:t>
            </w:r>
            <w:r>
              <w:rPr>
                <w:rFonts w:eastAsia="Calibri" w:cs="Calibri"/>
                <w:color w:val="000000"/>
                <w:szCs w:val="22"/>
                <w:lang w:val="en-US" w:eastAsia="en-US"/>
              </w:rPr>
              <w:t xml:space="preserve"> </w:t>
            </w:r>
          </w:p>
        </w:tc>
      </w:tr>
    </w:tbl>
    <w:p w:rsidR="008D2928" w:rsidRDefault="008D2928" w:rsidP="009B0009">
      <w:pPr>
        <w:rPr>
          <w:rFonts w:cs="Calibri"/>
        </w:rPr>
      </w:pPr>
      <w:r w:rsidRPr="00882157">
        <w:rPr>
          <w:rFonts w:cs="Calibri"/>
        </w:rPr>
        <w:t xml:space="preserve">Australians want to see this commitment backed up by action. </w:t>
      </w:r>
      <w:r>
        <w:rPr>
          <w:rFonts w:cs="Calibri"/>
        </w:rPr>
        <w:t>There are two developments that together will be major determinants on whether Aboriginal and Torres Strait Islander health equality is achieved by 2030:</w:t>
      </w:r>
    </w:p>
    <w:p w:rsidR="008D2928" w:rsidRDefault="008D2928" w:rsidP="009B0009">
      <w:pPr>
        <w:pStyle w:val="ListParagraph"/>
        <w:numPr>
          <w:ilvl w:val="0"/>
          <w:numId w:val="44"/>
        </w:numPr>
        <w:spacing w:before="120" w:after="120"/>
        <w:ind w:left="714" w:hanging="357"/>
        <w:contextualSpacing w:val="0"/>
        <w:rPr>
          <w:rFonts w:cs="Calibri"/>
        </w:rPr>
      </w:pPr>
      <w:r>
        <w:rPr>
          <w:rFonts w:cs="Calibri"/>
        </w:rPr>
        <w:t xml:space="preserve">The renewal with adequate funding of the expired </w:t>
      </w:r>
      <w:r w:rsidRPr="00D63142">
        <w:rPr>
          <w:rFonts w:cs="Calibri"/>
          <w:i/>
        </w:rPr>
        <w:t>National Partnership Agreement on Closing the Gap in Indigenous Health Outcomes</w:t>
      </w:r>
      <w:r>
        <w:rPr>
          <w:rFonts w:cs="Calibri"/>
          <w:i/>
        </w:rPr>
        <w:t xml:space="preserve"> </w:t>
      </w:r>
      <w:r>
        <w:rPr>
          <w:rFonts w:cs="Calibri"/>
        </w:rPr>
        <w:t>(Indigenous Health NPA);</w:t>
      </w:r>
    </w:p>
    <w:p w:rsidR="008D2928" w:rsidRDefault="008D2928" w:rsidP="009B0009">
      <w:pPr>
        <w:pStyle w:val="ListParagraph"/>
        <w:numPr>
          <w:ilvl w:val="0"/>
          <w:numId w:val="44"/>
        </w:numPr>
        <w:spacing w:before="120" w:after="120"/>
        <w:ind w:left="714" w:hanging="357"/>
        <w:contextualSpacing w:val="0"/>
        <w:rPr>
          <w:rFonts w:cs="Calibri"/>
        </w:rPr>
      </w:pPr>
      <w:r>
        <w:rPr>
          <w:rFonts w:cs="Calibri"/>
        </w:rPr>
        <w:t xml:space="preserve">The implementation of the </w:t>
      </w:r>
      <w:r w:rsidRPr="00602262">
        <w:rPr>
          <w:rFonts w:cs="Calibri"/>
          <w:i/>
        </w:rPr>
        <w:t>National Aboriginal and Torres Strait Islander Health Plan 2013-2023</w:t>
      </w:r>
      <w:r>
        <w:rPr>
          <w:rFonts w:cs="Calibri"/>
          <w:i/>
        </w:rPr>
        <w:t xml:space="preserve"> </w:t>
      </w:r>
      <w:r>
        <w:rPr>
          <w:rFonts w:cs="Calibri"/>
        </w:rPr>
        <w:t>(Health Plan).</w:t>
      </w:r>
    </w:p>
    <w:p w:rsidR="008D2928" w:rsidRDefault="008D2928" w:rsidP="009B0009">
      <w:pPr>
        <w:rPr>
          <w:rFonts w:cs="Calibri"/>
          <w:szCs w:val="22"/>
          <w:lang w:eastAsia="en-US"/>
        </w:rPr>
      </w:pPr>
      <w:r w:rsidRPr="007231FF">
        <w:rPr>
          <w:rFonts w:cs="Calibri"/>
          <w:szCs w:val="22"/>
          <w:lang w:eastAsia="en-US"/>
        </w:rPr>
        <w:t xml:space="preserve">The Indigenous Health NPA and the Health Plan are </w:t>
      </w:r>
      <w:r>
        <w:rPr>
          <w:rFonts w:cs="Calibri"/>
          <w:szCs w:val="22"/>
          <w:lang w:eastAsia="en-US"/>
        </w:rPr>
        <w:t>complementary. Action on both</w:t>
      </w:r>
      <w:r w:rsidRPr="007231FF">
        <w:rPr>
          <w:rFonts w:cs="Calibri"/>
          <w:szCs w:val="22"/>
          <w:lang w:eastAsia="en-US"/>
        </w:rPr>
        <w:t xml:space="preserve"> is essential.</w:t>
      </w:r>
    </w:p>
    <w:p w:rsidR="008D2928" w:rsidRDefault="008D2928" w:rsidP="009B0009">
      <w:pPr>
        <w:rPr>
          <w:rFonts w:cs="Calibri"/>
          <w:szCs w:val="22"/>
          <w:lang w:eastAsia="en-US"/>
        </w:rPr>
      </w:pPr>
      <w:r>
        <w:rPr>
          <w:rFonts w:cs="Calibri"/>
          <w:szCs w:val="22"/>
          <w:lang w:eastAsia="en-US"/>
        </w:rPr>
        <w:t xml:space="preserve">If supported by necessary funding and effectively implemented the </w:t>
      </w:r>
      <w:r w:rsidRPr="00BF5794">
        <w:rPr>
          <w:rFonts w:cs="Calibri"/>
          <w:szCs w:val="22"/>
          <w:lang w:eastAsia="en-US"/>
        </w:rPr>
        <w:t xml:space="preserve">Health Plan </w:t>
      </w:r>
      <w:r>
        <w:rPr>
          <w:rFonts w:cs="Calibri"/>
          <w:szCs w:val="22"/>
          <w:lang w:eastAsia="en-US"/>
        </w:rPr>
        <w:t xml:space="preserve">will be crucial in </w:t>
      </w:r>
      <w:r w:rsidRPr="00BF5794">
        <w:rPr>
          <w:rFonts w:cs="Calibri"/>
          <w:szCs w:val="22"/>
          <w:lang w:eastAsia="en-US"/>
        </w:rPr>
        <w:t xml:space="preserve">closing the gap </w:t>
      </w:r>
      <w:r>
        <w:rPr>
          <w:rFonts w:cs="Calibri"/>
          <w:szCs w:val="22"/>
          <w:lang w:eastAsia="en-US"/>
        </w:rPr>
        <w:t>in</w:t>
      </w:r>
      <w:r w:rsidRPr="00BF5794">
        <w:rPr>
          <w:rFonts w:cs="Calibri"/>
          <w:szCs w:val="22"/>
          <w:lang w:eastAsia="en-US"/>
        </w:rPr>
        <w:t xml:space="preserve"> health equality. The next step is the development of a </w:t>
      </w:r>
      <w:r>
        <w:rPr>
          <w:rFonts w:cs="Calibri"/>
          <w:szCs w:val="22"/>
          <w:lang w:eastAsia="en-US"/>
        </w:rPr>
        <w:t>national i</w:t>
      </w:r>
      <w:r w:rsidRPr="00BF5794">
        <w:rPr>
          <w:rFonts w:cs="Calibri"/>
          <w:szCs w:val="22"/>
          <w:lang w:eastAsia="en-US"/>
        </w:rPr>
        <w:t xml:space="preserve">mplementation </w:t>
      </w:r>
      <w:r>
        <w:rPr>
          <w:rFonts w:cs="Calibri"/>
          <w:szCs w:val="22"/>
          <w:lang w:eastAsia="en-US"/>
        </w:rPr>
        <w:t>strategy</w:t>
      </w:r>
      <w:r w:rsidRPr="00BF5794">
        <w:rPr>
          <w:rFonts w:cs="Calibri"/>
          <w:szCs w:val="22"/>
          <w:lang w:eastAsia="en-US"/>
        </w:rPr>
        <w:t xml:space="preserve"> to set out detailed and comprehensive commitments with measurable targets and benchmarks to monitor progress over time. This needs to be</w:t>
      </w:r>
      <w:r>
        <w:rPr>
          <w:rFonts w:cs="Calibri"/>
          <w:szCs w:val="22"/>
          <w:lang w:eastAsia="en-US"/>
        </w:rPr>
        <w:t xml:space="preserve"> developed</w:t>
      </w:r>
      <w:r w:rsidRPr="00BF5794">
        <w:rPr>
          <w:rFonts w:cs="Calibri"/>
          <w:szCs w:val="22"/>
          <w:lang w:eastAsia="en-US"/>
        </w:rPr>
        <w:t xml:space="preserve"> in partnership with Aboriginal and Torres Strait Islander peoples and their representatives</w:t>
      </w:r>
      <w:r>
        <w:rPr>
          <w:rFonts w:cs="Calibri"/>
          <w:szCs w:val="22"/>
          <w:lang w:eastAsia="en-US"/>
        </w:rPr>
        <w:t>.</w:t>
      </w:r>
    </w:p>
    <w:tbl>
      <w:tblPr>
        <w:tblStyle w:val="TableGrid"/>
        <w:tblW w:w="0" w:type="auto"/>
        <w:tblLook w:val="04A0" w:firstRow="1" w:lastRow="0" w:firstColumn="1" w:lastColumn="0" w:noHBand="0" w:noVBand="1"/>
      </w:tblPr>
      <w:tblGrid>
        <w:gridCol w:w="9286"/>
      </w:tblGrid>
      <w:tr w:rsidR="008D2928" w:rsidTr="009B0009">
        <w:tc>
          <w:tcPr>
            <w:tcW w:w="9286" w:type="dxa"/>
          </w:tcPr>
          <w:p w:rsidR="008D2928" w:rsidRDefault="008D2928" w:rsidP="00D308F8">
            <w:pPr>
              <w:rPr>
                <w:rFonts w:cs="Calibri"/>
                <w:szCs w:val="22"/>
                <w:lang w:eastAsia="en-US"/>
              </w:rPr>
            </w:pPr>
            <w:r>
              <w:rPr>
                <w:rFonts w:cs="Calibri"/>
                <w:szCs w:val="22"/>
                <w:lang w:eastAsia="en-US"/>
              </w:rPr>
              <w:t xml:space="preserve">The National Health Leadership Forum (NHLF) of the National Congress of Australia’s First Peoples (Congress) has been established to partner with the federal government in the development, implementation and monitoring of all national level policies with health impacts for Aboriginal and Torres Strait Islander peoples. This Partnership also needs to be replicated at the state/territory and local levels. </w:t>
            </w:r>
          </w:p>
        </w:tc>
      </w:tr>
    </w:tbl>
    <w:p w:rsidR="008D2928" w:rsidRPr="002828B5" w:rsidRDefault="008D2928" w:rsidP="00D63142">
      <w:pPr>
        <w:rPr>
          <w:rFonts w:cs="Calibri"/>
          <w:b/>
          <w:szCs w:val="22"/>
          <w:lang w:eastAsia="en-US"/>
        </w:rPr>
      </w:pPr>
      <w:r>
        <w:rPr>
          <w:rFonts w:cs="Calibri"/>
          <w:b/>
          <w:szCs w:val="22"/>
          <w:lang w:eastAsia="en-US"/>
        </w:rPr>
        <w:t>The Close the Gap Campaign calls for the following c</w:t>
      </w:r>
      <w:r w:rsidRPr="00380161">
        <w:rPr>
          <w:rFonts w:cs="Calibri"/>
          <w:b/>
          <w:szCs w:val="22"/>
          <w:lang w:eastAsia="en-US"/>
        </w:rPr>
        <w:t xml:space="preserve">ommitments </w:t>
      </w:r>
      <w:r>
        <w:rPr>
          <w:rFonts w:cs="Calibri"/>
          <w:b/>
          <w:szCs w:val="22"/>
          <w:lang w:eastAsia="en-US"/>
        </w:rPr>
        <w:t>from</w:t>
      </w:r>
      <w:r w:rsidRPr="00380161">
        <w:rPr>
          <w:rFonts w:cs="Calibri"/>
          <w:b/>
          <w:szCs w:val="22"/>
          <w:lang w:eastAsia="en-US"/>
        </w:rPr>
        <w:t xml:space="preserve"> </w:t>
      </w:r>
      <w:r>
        <w:rPr>
          <w:rFonts w:cs="Calibri"/>
          <w:b/>
          <w:szCs w:val="22"/>
          <w:lang w:eastAsia="en-US"/>
        </w:rPr>
        <w:t>an incoming government, in the first 100 days</w:t>
      </w:r>
      <w:r w:rsidRPr="002828B5">
        <w:rPr>
          <w:rFonts w:cs="Calibri"/>
          <w:b/>
          <w:szCs w:val="22"/>
          <w:lang w:eastAsia="en-US"/>
        </w:rPr>
        <w:t>:</w:t>
      </w:r>
    </w:p>
    <w:p w:rsidR="008D2928" w:rsidRPr="005E104D" w:rsidRDefault="008D2928" w:rsidP="005E104D">
      <w:pPr>
        <w:pStyle w:val="ListParagraph"/>
        <w:numPr>
          <w:ilvl w:val="0"/>
          <w:numId w:val="39"/>
        </w:numPr>
        <w:spacing w:before="120" w:after="120"/>
        <w:ind w:left="714" w:hanging="357"/>
        <w:contextualSpacing w:val="0"/>
      </w:pPr>
      <w:r w:rsidRPr="005E104D">
        <w:t xml:space="preserve">Reaffirm the commitment of the Prime Minister to report on progress towards closing the gap between Aboriginal and Torres Strait Islander and non-Indigenous Australians. This should occur on, or as near as possible to, the first day of Parliament at the start of the calendar year. </w:t>
      </w:r>
    </w:p>
    <w:p w:rsidR="008D2928" w:rsidRPr="005E104D" w:rsidRDefault="008D2928" w:rsidP="005E104D">
      <w:pPr>
        <w:pStyle w:val="ListParagraph"/>
        <w:numPr>
          <w:ilvl w:val="0"/>
          <w:numId w:val="39"/>
        </w:numPr>
        <w:spacing w:before="120" w:after="120"/>
        <w:contextualSpacing w:val="0"/>
        <w:rPr>
          <w:rFonts w:cs="Calibri"/>
          <w:i/>
        </w:rPr>
      </w:pPr>
      <w:r w:rsidRPr="005E104D">
        <w:t xml:space="preserve">Forge an agreement through the COAG process on a new </w:t>
      </w:r>
      <w:r w:rsidRPr="005E104D">
        <w:rPr>
          <w:i/>
        </w:rPr>
        <w:t>National Partnership Agreement on Closing the Gap in Indigenous Health Outcomes</w:t>
      </w:r>
      <w:r w:rsidRPr="005E104D">
        <w:t>, with a minimum Commonwealth investment of $777 million over the next three years.</w:t>
      </w:r>
    </w:p>
    <w:p w:rsidR="008D2928" w:rsidRPr="003B04C8" w:rsidRDefault="008D2928" w:rsidP="00441E53">
      <w:pPr>
        <w:pStyle w:val="ListParagraph"/>
        <w:numPr>
          <w:ilvl w:val="0"/>
          <w:numId w:val="39"/>
        </w:numPr>
        <w:spacing w:before="120" w:after="120"/>
        <w:contextualSpacing w:val="0"/>
        <w:rPr>
          <w:rFonts w:cs="Calibri"/>
        </w:rPr>
      </w:pPr>
      <w:r>
        <w:rPr>
          <w:sz w:val="20"/>
          <w:szCs w:val="20"/>
        </w:rPr>
        <w:t>Establish</w:t>
      </w:r>
      <w:r w:rsidRPr="00BA4487">
        <w:rPr>
          <w:sz w:val="20"/>
          <w:szCs w:val="20"/>
        </w:rPr>
        <w:t xml:space="preserve"> a clear process that ensures a national implementation strategy for the </w:t>
      </w:r>
      <w:r w:rsidRPr="00BA4487">
        <w:rPr>
          <w:i/>
          <w:sz w:val="20"/>
          <w:szCs w:val="20"/>
        </w:rPr>
        <w:t>National Aboriginal and Torres Strait Islander Health Plan 2013-2023</w:t>
      </w:r>
      <w:r w:rsidRPr="00BA4487">
        <w:rPr>
          <w:sz w:val="20"/>
          <w:szCs w:val="20"/>
        </w:rPr>
        <w:t xml:space="preserve"> is developed in partnership with Aboriginal and Torres Strait Islander peoples and their representatives</w:t>
      </w:r>
      <w:r w:rsidRPr="00922B89">
        <w:rPr>
          <w:sz w:val="20"/>
          <w:szCs w:val="20"/>
        </w:rPr>
        <w:t>.</w:t>
      </w:r>
      <w:r w:rsidRPr="003B04C8">
        <w:rPr>
          <w:rFonts w:cs="Calibri"/>
        </w:rPr>
        <w:br w:type="page"/>
      </w:r>
    </w:p>
    <w:p w:rsidR="008D2928" w:rsidRPr="005526DB" w:rsidRDefault="008D2928" w:rsidP="00380161">
      <w:pPr>
        <w:rPr>
          <w:rFonts w:cs="Calibri"/>
          <w:b/>
          <w:sz w:val="28"/>
          <w:szCs w:val="28"/>
          <w:lang w:eastAsia="en-US"/>
        </w:rPr>
      </w:pPr>
      <w:r w:rsidRPr="005526DB">
        <w:rPr>
          <w:rFonts w:eastAsia="Calibri" w:cs="Calibri"/>
          <w:b/>
          <w:sz w:val="28"/>
          <w:szCs w:val="28"/>
          <w:lang w:val="en-US" w:eastAsia="en-US"/>
        </w:rPr>
        <w:lastRenderedPageBreak/>
        <w:t>First year</w:t>
      </w:r>
    </w:p>
    <w:p w:rsidR="008D2928" w:rsidRDefault="008D2928" w:rsidP="00D20AC2">
      <w:pPr>
        <w:rPr>
          <w:rFonts w:cs="Calibri"/>
        </w:rPr>
      </w:pPr>
      <w:r>
        <w:rPr>
          <w:rFonts w:cs="Calibri"/>
        </w:rPr>
        <w:t xml:space="preserve">The first year of government is an important time to bring the Health Plan to life. The Close the Gap Campaign welcomes that the Health Plan: </w:t>
      </w:r>
    </w:p>
    <w:p w:rsidR="008D2928" w:rsidRDefault="008D2928" w:rsidP="00D55016">
      <w:pPr>
        <w:pStyle w:val="ListParagraph"/>
        <w:numPr>
          <w:ilvl w:val="0"/>
          <w:numId w:val="47"/>
        </w:numPr>
        <w:spacing w:before="120" w:after="120"/>
        <w:contextualSpacing w:val="0"/>
      </w:pPr>
      <w:r>
        <w:t>Has an overarching goal of closing the life expectancy gap by 2030;</w:t>
      </w:r>
    </w:p>
    <w:p w:rsidR="008D2928" w:rsidRDefault="008D2928" w:rsidP="00D55016">
      <w:pPr>
        <w:pStyle w:val="ListParagraph"/>
        <w:numPr>
          <w:ilvl w:val="0"/>
          <w:numId w:val="47"/>
        </w:numPr>
        <w:spacing w:before="120" w:after="120"/>
        <w:contextualSpacing w:val="0"/>
      </w:pPr>
      <w:r>
        <w:t>Adopts a human rights-based approach and addresses racism at both the individual and systemic levels;</w:t>
      </w:r>
    </w:p>
    <w:p w:rsidR="008D2928" w:rsidRDefault="008D2928" w:rsidP="00D55016">
      <w:pPr>
        <w:pStyle w:val="ListParagraph"/>
        <w:numPr>
          <w:ilvl w:val="0"/>
          <w:numId w:val="47"/>
        </w:numPr>
        <w:spacing w:before="120" w:after="120"/>
        <w:contextualSpacing w:val="0"/>
      </w:pPr>
      <w:r>
        <w:t xml:space="preserve">Adopts a </w:t>
      </w:r>
      <w:r w:rsidRPr="00D41169">
        <w:t xml:space="preserve">holistic definition of health including recognition of the impacts of past policies </w:t>
      </w:r>
      <w:r>
        <w:t xml:space="preserve">and the ongoing cycle of trauma </w:t>
      </w:r>
      <w:r w:rsidRPr="00D41169">
        <w:t>on the health of Aboriginal and Torres Strait Islander</w:t>
      </w:r>
      <w:r>
        <w:t xml:space="preserve"> people and the role of healing;</w:t>
      </w:r>
    </w:p>
    <w:p w:rsidR="008D2928" w:rsidRDefault="008D2928" w:rsidP="00D55016">
      <w:pPr>
        <w:pStyle w:val="ListParagraph"/>
        <w:numPr>
          <w:ilvl w:val="0"/>
          <w:numId w:val="47"/>
        </w:numPr>
        <w:spacing w:before="120" w:after="120"/>
        <w:contextualSpacing w:val="0"/>
      </w:pPr>
      <w:proofErr w:type="spellStart"/>
      <w:r>
        <w:t>Recognises</w:t>
      </w:r>
      <w:proofErr w:type="spellEnd"/>
      <w:r>
        <w:t xml:space="preserve"> the central role of culture and social and emotional wellbeing to the physical and mental health of Aboriginal and Torres Strait Islander people;</w:t>
      </w:r>
    </w:p>
    <w:p w:rsidR="008D2928" w:rsidRPr="00D55016" w:rsidRDefault="008D2928" w:rsidP="00D43908">
      <w:pPr>
        <w:pStyle w:val="ListParagraph"/>
        <w:numPr>
          <w:ilvl w:val="0"/>
          <w:numId w:val="47"/>
        </w:numPr>
        <w:spacing w:before="120" w:after="120"/>
        <w:contextualSpacing w:val="0"/>
        <w:rPr>
          <w:rFonts w:cs="Calibri"/>
        </w:rPr>
      </w:pPr>
      <w:r>
        <w:t xml:space="preserve">Is comprehensive and addresses the </w:t>
      </w:r>
      <w:r w:rsidRPr="00C3371A">
        <w:t>wide range of social and cultural determinants of health inequality</w:t>
      </w:r>
      <w:r>
        <w:t>;</w:t>
      </w:r>
      <w:r w:rsidRPr="00D55016">
        <w:rPr>
          <w:rFonts w:cs="Calibri"/>
        </w:rPr>
        <w:t xml:space="preserve"> and</w:t>
      </w:r>
    </w:p>
    <w:p w:rsidR="008D2928" w:rsidRPr="00D43908" w:rsidRDefault="008D2928" w:rsidP="00D43908">
      <w:pPr>
        <w:pStyle w:val="ListParagraph"/>
        <w:numPr>
          <w:ilvl w:val="0"/>
          <w:numId w:val="47"/>
        </w:numPr>
        <w:rPr>
          <w:rFonts w:cs="Calibri"/>
        </w:rPr>
      </w:pPr>
      <w:r>
        <w:rPr>
          <w:rFonts w:cs="Calibri"/>
        </w:rPr>
        <w:t xml:space="preserve">Includes a commitment to develop targets and benchmarks to measure progress. </w:t>
      </w:r>
    </w:p>
    <w:p w:rsidR="008D2928" w:rsidRDefault="008D2928" w:rsidP="00D20AC2">
      <w:pPr>
        <w:rPr>
          <w:rFonts w:cs="Calibri"/>
        </w:rPr>
      </w:pPr>
      <w:r>
        <w:rPr>
          <w:rFonts w:cs="Calibri"/>
        </w:rPr>
        <w:t xml:space="preserve">Combined, these elements, if effectively implemented, are supported by all of the relevant national Aboriginal and Torres Strait Islander and mainstream health bodies. </w:t>
      </w:r>
    </w:p>
    <w:p w:rsidR="008D2928" w:rsidRDefault="008D2928" w:rsidP="00D20AC2">
      <w:pPr>
        <w:rPr>
          <w:rFonts w:cs="Calibri"/>
        </w:rPr>
      </w:pPr>
      <w:r>
        <w:rPr>
          <w:rFonts w:cs="Calibri"/>
        </w:rPr>
        <w:t xml:space="preserve">The Health Plan commits to the development of a national implementation strategy within 12 months. To be effective this must set measurable benchmarks and targets. It must also include the development of a services model and strategies for workforce and funding. </w:t>
      </w:r>
    </w:p>
    <w:p w:rsidR="008D2928" w:rsidRDefault="008D2928" w:rsidP="00D20AC2">
      <w:pPr>
        <w:rPr>
          <w:rFonts w:cs="Calibri"/>
        </w:rPr>
      </w:pPr>
      <w:r>
        <w:rPr>
          <w:rFonts w:cs="Calibri"/>
        </w:rPr>
        <w:t xml:space="preserve">The Health Plan commits government to action on the social and cultural determinants of health including education and employment. A whole-of-government approach led by the Prime Minister is required to coordinate and drive complementary action across jurisdictions and sectors.  </w:t>
      </w:r>
    </w:p>
    <w:p w:rsidR="008D2928" w:rsidRDefault="008D2928" w:rsidP="00D20AC2">
      <w:pPr>
        <w:rPr>
          <w:rFonts w:cs="Calibri"/>
        </w:rPr>
      </w:pPr>
      <w:r>
        <w:rPr>
          <w:rFonts w:cs="Calibri"/>
        </w:rPr>
        <w:t xml:space="preserve">For example, the overrepresentation in imprisonment and crime victimisation rates for Aboriginal and Torres Strait Islander people is a key social determinant of health requiring urgent, coordinated action from government, including the setting of nationally agreed targets. </w:t>
      </w:r>
    </w:p>
    <w:p w:rsidR="008D2928" w:rsidRPr="002828B5" w:rsidRDefault="008D2928" w:rsidP="004B436D">
      <w:pPr>
        <w:rPr>
          <w:rFonts w:cs="Calibri"/>
          <w:b/>
          <w:szCs w:val="22"/>
          <w:lang w:eastAsia="en-US"/>
        </w:rPr>
      </w:pPr>
      <w:r>
        <w:rPr>
          <w:rFonts w:cs="Calibri"/>
          <w:b/>
          <w:szCs w:val="22"/>
          <w:lang w:eastAsia="en-US"/>
        </w:rPr>
        <w:t>The Close the Gap Campaign calls for the following c</w:t>
      </w:r>
      <w:r w:rsidRPr="00380161">
        <w:rPr>
          <w:rFonts w:cs="Calibri"/>
          <w:b/>
          <w:szCs w:val="22"/>
          <w:lang w:eastAsia="en-US"/>
        </w:rPr>
        <w:t xml:space="preserve">ommitments </w:t>
      </w:r>
      <w:r>
        <w:rPr>
          <w:rFonts w:cs="Calibri"/>
          <w:b/>
          <w:szCs w:val="22"/>
          <w:lang w:eastAsia="en-US"/>
        </w:rPr>
        <w:t>from</w:t>
      </w:r>
      <w:r w:rsidRPr="00380161">
        <w:rPr>
          <w:rFonts w:cs="Calibri"/>
          <w:b/>
          <w:szCs w:val="22"/>
          <w:lang w:eastAsia="en-US"/>
        </w:rPr>
        <w:t xml:space="preserve"> </w:t>
      </w:r>
      <w:r>
        <w:rPr>
          <w:rFonts w:cs="Calibri"/>
          <w:b/>
          <w:szCs w:val="22"/>
          <w:lang w:eastAsia="en-US"/>
        </w:rPr>
        <w:t>an incoming government, in the first year</w:t>
      </w:r>
      <w:r w:rsidRPr="002828B5">
        <w:rPr>
          <w:rFonts w:cs="Calibri"/>
          <w:b/>
          <w:szCs w:val="22"/>
          <w:lang w:eastAsia="en-US"/>
        </w:rPr>
        <w:t>:</w:t>
      </w:r>
    </w:p>
    <w:p w:rsidR="008D2928" w:rsidRPr="00922B89" w:rsidRDefault="008D2928" w:rsidP="005E104D">
      <w:pPr>
        <w:pStyle w:val="ListParagraph"/>
        <w:numPr>
          <w:ilvl w:val="0"/>
          <w:numId w:val="46"/>
        </w:numPr>
        <w:rPr>
          <w:rFonts w:cs="Calibri"/>
          <w:sz w:val="20"/>
          <w:szCs w:val="20"/>
        </w:rPr>
      </w:pPr>
      <w:proofErr w:type="spellStart"/>
      <w:r w:rsidRPr="00922B89">
        <w:rPr>
          <w:rFonts w:cs="Calibri"/>
          <w:sz w:val="20"/>
          <w:szCs w:val="20"/>
        </w:rPr>
        <w:t>Finalise</w:t>
      </w:r>
      <w:proofErr w:type="spellEnd"/>
      <w:r w:rsidRPr="00922B89">
        <w:rPr>
          <w:rFonts w:cs="Calibri"/>
          <w:sz w:val="20"/>
          <w:szCs w:val="20"/>
        </w:rPr>
        <w:t xml:space="preserve"> a national implementation strategy for the </w:t>
      </w:r>
      <w:r w:rsidRPr="00922B89">
        <w:rPr>
          <w:rFonts w:cs="Calibri"/>
          <w:i/>
          <w:sz w:val="20"/>
          <w:szCs w:val="20"/>
        </w:rPr>
        <w:t xml:space="preserve">National Aboriginal and Torres Strait Islander Health Plan 2013-2023 </w:t>
      </w:r>
      <w:r w:rsidRPr="00922B89">
        <w:rPr>
          <w:rFonts w:cs="Calibri"/>
          <w:sz w:val="20"/>
          <w:szCs w:val="20"/>
        </w:rPr>
        <w:t>developed in partnership with Aboriginal and Torres Strait Islander people and their representatives as well as state and territory governments. This strategy should include measurable benchmarks</w:t>
      </w:r>
      <w:r>
        <w:rPr>
          <w:rFonts w:cs="Calibri"/>
          <w:sz w:val="20"/>
          <w:szCs w:val="20"/>
        </w:rPr>
        <w:t xml:space="preserve"> and targets</w:t>
      </w:r>
      <w:r w:rsidRPr="00922B89">
        <w:rPr>
          <w:rFonts w:cs="Calibri"/>
          <w:sz w:val="20"/>
          <w:szCs w:val="20"/>
        </w:rPr>
        <w:t xml:space="preserve"> to monitor progress. </w:t>
      </w:r>
    </w:p>
    <w:p w:rsidR="008D2928" w:rsidRPr="00922B89" w:rsidRDefault="008D2928" w:rsidP="005E104D">
      <w:pPr>
        <w:pStyle w:val="ListParagraph"/>
        <w:numPr>
          <w:ilvl w:val="0"/>
          <w:numId w:val="46"/>
        </w:numPr>
        <w:spacing w:before="120" w:after="120"/>
        <w:contextualSpacing w:val="0"/>
        <w:rPr>
          <w:rFonts w:cs="Calibri"/>
          <w:sz w:val="20"/>
          <w:szCs w:val="20"/>
        </w:rPr>
      </w:pPr>
      <w:r w:rsidRPr="00922B89">
        <w:rPr>
          <w:rFonts w:cs="Calibri"/>
          <w:sz w:val="20"/>
          <w:szCs w:val="20"/>
        </w:rPr>
        <w:t xml:space="preserve">Develop a whole-of-government mechanism </w:t>
      </w:r>
      <w:r>
        <w:rPr>
          <w:rFonts w:cs="Calibri"/>
          <w:sz w:val="20"/>
          <w:szCs w:val="20"/>
        </w:rPr>
        <w:t xml:space="preserve">across sectors and portfolios </w:t>
      </w:r>
      <w:r w:rsidRPr="00922B89">
        <w:rPr>
          <w:rFonts w:cs="Calibri"/>
          <w:sz w:val="20"/>
          <w:szCs w:val="20"/>
        </w:rPr>
        <w:t>to drive an integrated response to health issues and their social and cultural determinants, including the impacts of intergenerational trauma.</w:t>
      </w:r>
    </w:p>
    <w:p w:rsidR="008D2928" w:rsidRPr="00922B89" w:rsidRDefault="008D2928" w:rsidP="005E104D">
      <w:pPr>
        <w:pStyle w:val="ListParagraph"/>
        <w:numPr>
          <w:ilvl w:val="0"/>
          <w:numId w:val="46"/>
        </w:numPr>
        <w:spacing w:before="120" w:after="120"/>
        <w:contextualSpacing w:val="0"/>
        <w:rPr>
          <w:rFonts w:cs="Calibri"/>
          <w:sz w:val="20"/>
          <w:szCs w:val="20"/>
        </w:rPr>
      </w:pPr>
      <w:r w:rsidRPr="00922B89">
        <w:rPr>
          <w:rFonts w:cs="Calibri"/>
          <w:sz w:val="20"/>
          <w:szCs w:val="20"/>
        </w:rPr>
        <w:t>In partnership with Aboriginal and Torres Strait Islander peoples and their representatives</w:t>
      </w:r>
      <w:r>
        <w:rPr>
          <w:rFonts w:cs="Calibri"/>
          <w:sz w:val="20"/>
          <w:szCs w:val="20"/>
        </w:rPr>
        <w:t>,</w:t>
      </w:r>
      <w:r w:rsidRPr="00922B89">
        <w:rPr>
          <w:rFonts w:cs="Calibri"/>
          <w:sz w:val="20"/>
          <w:szCs w:val="20"/>
        </w:rPr>
        <w:t xml:space="preserve"> as well as state and territory governments</w:t>
      </w:r>
      <w:r>
        <w:rPr>
          <w:rFonts w:cs="Calibri"/>
          <w:sz w:val="20"/>
          <w:szCs w:val="20"/>
        </w:rPr>
        <w:t>,</w:t>
      </w:r>
      <w:r w:rsidRPr="00922B89">
        <w:rPr>
          <w:rFonts w:cs="Calibri"/>
          <w:sz w:val="20"/>
          <w:szCs w:val="20"/>
        </w:rPr>
        <w:t xml:space="preserve"> develop</w:t>
      </w:r>
      <w:r>
        <w:rPr>
          <w:rFonts w:cs="Calibri"/>
          <w:sz w:val="20"/>
          <w:szCs w:val="20"/>
        </w:rPr>
        <w:t xml:space="preserve"> specific COAG Closing the Gap t</w:t>
      </w:r>
      <w:r w:rsidRPr="00922B89">
        <w:rPr>
          <w:rFonts w:cs="Calibri"/>
          <w:sz w:val="20"/>
          <w:szCs w:val="20"/>
        </w:rPr>
        <w:t xml:space="preserve">argets in relation to incarceration rates and community safety. </w:t>
      </w:r>
    </w:p>
    <w:p w:rsidR="008D2928" w:rsidRDefault="008D2928">
      <w:pPr>
        <w:spacing w:before="0" w:after="0"/>
        <w:rPr>
          <w:rFonts w:cs="Calibri"/>
        </w:rPr>
      </w:pPr>
      <w:r>
        <w:rPr>
          <w:rFonts w:cs="Calibri"/>
        </w:rPr>
        <w:br w:type="page"/>
      </w:r>
    </w:p>
    <w:p w:rsidR="008D2928" w:rsidRPr="00D654A0" w:rsidRDefault="008D2928" w:rsidP="002779F9">
      <w:pPr>
        <w:rPr>
          <w:rFonts w:eastAsia="Calibri"/>
          <w:b/>
          <w:sz w:val="28"/>
          <w:szCs w:val="28"/>
          <w:lang w:val="en-US" w:eastAsia="en-US"/>
        </w:rPr>
      </w:pPr>
      <w:r w:rsidRPr="00D654A0">
        <w:rPr>
          <w:rFonts w:eastAsia="Calibri" w:cs="Calibri"/>
          <w:b/>
          <w:sz w:val="28"/>
          <w:szCs w:val="28"/>
          <w:lang w:val="en-US" w:eastAsia="en-US"/>
        </w:rPr>
        <w:lastRenderedPageBreak/>
        <w:t>During this term of</w:t>
      </w:r>
      <w:r w:rsidRPr="00D654A0">
        <w:rPr>
          <w:rFonts w:eastAsia="Calibri"/>
          <w:b/>
          <w:sz w:val="28"/>
          <w:szCs w:val="28"/>
          <w:lang w:val="en-US" w:eastAsia="en-US"/>
        </w:rPr>
        <w:t xml:space="preserve"> government </w:t>
      </w:r>
    </w:p>
    <w:p w:rsidR="008D2928" w:rsidRDefault="008D2928" w:rsidP="00E17F74">
      <w:r>
        <w:t xml:space="preserve">Closing the Gap, as a national priority, must involve a coordinated and planned national response across federal, state and territory governments through the COAG process if it is to be successful. A national issue requires a national response. This national response must be monitored against benchmarks and targets so that we know whether we are on track to close the gap. </w:t>
      </w:r>
    </w:p>
    <w:p w:rsidR="008D2928" w:rsidRDefault="008D2928" w:rsidP="00E17F74">
      <w:r>
        <w:t xml:space="preserve">To be sustainable over the long-term it is essential that funding be tied to efforts to close the gap. Long-term policy requires long-term funding models. We must now also take the next step and secure an equitable share of mainstream funding to contribute to closing the unacceptable gap </w:t>
      </w:r>
      <w:r w:rsidRPr="0085533A">
        <w:t>in health and life expectancy between Aboriginal and Torres Strait Islander and non-Indigenous Australians</w:t>
      </w:r>
      <w:r>
        <w:t xml:space="preserve">. </w:t>
      </w:r>
      <w:r w:rsidRPr="006C4740">
        <w:t xml:space="preserve">This will require the development of a new mechanism to determine the appropriate Aboriginal and Torres Strait Islander share of mainstream health programs on a basis </w:t>
      </w:r>
      <w:r>
        <w:t>that</w:t>
      </w:r>
      <w:r w:rsidRPr="006C4740">
        <w:t xml:space="preserve"> reflects both the popul</w:t>
      </w:r>
      <w:r>
        <w:t>ation size and an index of need. It must also ensure t</w:t>
      </w:r>
      <w:r w:rsidRPr="006C4740">
        <w:t xml:space="preserve">he most effective services to receive those funds for service delivery in terms of </w:t>
      </w:r>
      <w:r>
        <w:t>access and quality of service. T</w:t>
      </w:r>
      <w:r w:rsidRPr="006C4740">
        <w:t>he available evidence suggests that Aboriginal Community Controlled Health Services are generally the most effective in providing these services.</w:t>
      </w:r>
    </w:p>
    <w:p w:rsidR="008D2928" w:rsidRPr="002828B5" w:rsidRDefault="008D2928" w:rsidP="002779F9">
      <w:pPr>
        <w:rPr>
          <w:rFonts w:cs="Calibri"/>
          <w:b/>
          <w:szCs w:val="22"/>
          <w:lang w:eastAsia="en-US"/>
        </w:rPr>
      </w:pPr>
      <w:r>
        <w:rPr>
          <w:rFonts w:cs="Calibri"/>
          <w:b/>
          <w:szCs w:val="22"/>
          <w:lang w:eastAsia="en-US"/>
        </w:rPr>
        <w:t>The Close the Gap Campaign calls for the following c</w:t>
      </w:r>
      <w:r w:rsidRPr="00380161">
        <w:rPr>
          <w:rFonts w:cs="Calibri"/>
          <w:b/>
          <w:szCs w:val="22"/>
          <w:lang w:eastAsia="en-US"/>
        </w:rPr>
        <w:t xml:space="preserve">ommitments </w:t>
      </w:r>
      <w:r>
        <w:rPr>
          <w:rFonts w:cs="Calibri"/>
          <w:b/>
          <w:szCs w:val="22"/>
          <w:lang w:eastAsia="en-US"/>
        </w:rPr>
        <w:t>from</w:t>
      </w:r>
      <w:r w:rsidRPr="00380161">
        <w:rPr>
          <w:rFonts w:cs="Calibri"/>
          <w:b/>
          <w:szCs w:val="22"/>
          <w:lang w:eastAsia="en-US"/>
        </w:rPr>
        <w:t xml:space="preserve"> </w:t>
      </w:r>
      <w:r>
        <w:rPr>
          <w:rFonts w:cs="Calibri"/>
          <w:b/>
          <w:szCs w:val="22"/>
          <w:lang w:eastAsia="en-US"/>
        </w:rPr>
        <w:t>an incoming government, during this term of government</w:t>
      </w:r>
      <w:r w:rsidRPr="002828B5">
        <w:rPr>
          <w:rFonts w:cs="Calibri"/>
          <w:b/>
          <w:szCs w:val="22"/>
          <w:lang w:eastAsia="en-US"/>
        </w:rPr>
        <w:t>:</w:t>
      </w:r>
    </w:p>
    <w:p w:rsidR="008D2928" w:rsidRPr="005B1C5F" w:rsidRDefault="008D2928" w:rsidP="00B65D09">
      <w:pPr>
        <w:pStyle w:val="ListParagraph"/>
        <w:numPr>
          <w:ilvl w:val="0"/>
          <w:numId w:val="34"/>
        </w:numPr>
        <w:spacing w:before="120" w:after="120"/>
        <w:ind w:left="714" w:hanging="357"/>
        <w:contextualSpacing w:val="0"/>
        <w:rPr>
          <w:rFonts w:cs="Calibri"/>
          <w:sz w:val="20"/>
          <w:szCs w:val="20"/>
        </w:rPr>
      </w:pPr>
      <w:r w:rsidRPr="005B1C5F">
        <w:rPr>
          <w:rFonts w:cs="Calibri"/>
          <w:sz w:val="20"/>
          <w:szCs w:val="20"/>
        </w:rPr>
        <w:t xml:space="preserve">Introduce and pass legislation </w:t>
      </w:r>
      <w:r>
        <w:rPr>
          <w:rFonts w:cs="Calibri"/>
          <w:sz w:val="20"/>
          <w:szCs w:val="20"/>
        </w:rPr>
        <w:t xml:space="preserve">to </w:t>
      </w:r>
      <w:proofErr w:type="spellStart"/>
      <w:r>
        <w:rPr>
          <w:rFonts w:cs="Calibri"/>
          <w:sz w:val="20"/>
          <w:szCs w:val="20"/>
        </w:rPr>
        <w:t>formalise</w:t>
      </w:r>
      <w:proofErr w:type="spellEnd"/>
      <w:r w:rsidRPr="005B1C5F">
        <w:rPr>
          <w:rFonts w:cs="Calibri"/>
          <w:sz w:val="20"/>
          <w:szCs w:val="20"/>
        </w:rPr>
        <w:t xml:space="preserve"> a process for national </w:t>
      </w:r>
      <w:r w:rsidRPr="005B1C5F">
        <w:rPr>
          <w:sz w:val="20"/>
          <w:szCs w:val="20"/>
        </w:rPr>
        <w:t>monitoring and reporting on efforts to close the gap in accordance with benchmarks and targets. This legislation should include a requirement for this process to be undertaken in partnership with Aboriginal and Torres Strait Islander peoples and their representative</w:t>
      </w:r>
      <w:r>
        <w:rPr>
          <w:sz w:val="20"/>
          <w:szCs w:val="20"/>
        </w:rPr>
        <w:t>s</w:t>
      </w:r>
      <w:r w:rsidRPr="005B1C5F">
        <w:rPr>
          <w:sz w:val="20"/>
          <w:szCs w:val="20"/>
        </w:rPr>
        <w:t>. It should also have a sunset clause of 2031 – the year after the date by which all parties have committed to close the gap in health equality</w:t>
      </w:r>
      <w:r w:rsidRPr="005B1C5F">
        <w:rPr>
          <w:rFonts w:cs="Calibri"/>
          <w:sz w:val="20"/>
          <w:szCs w:val="20"/>
        </w:rPr>
        <w:t>.</w:t>
      </w:r>
    </w:p>
    <w:p w:rsidR="008D2928" w:rsidRPr="00B65D09" w:rsidRDefault="008D2928" w:rsidP="00B65D09">
      <w:pPr>
        <w:pStyle w:val="ListParagraph"/>
        <w:numPr>
          <w:ilvl w:val="0"/>
          <w:numId w:val="34"/>
        </w:numPr>
        <w:spacing w:before="120" w:after="120"/>
        <w:ind w:left="714" w:hanging="357"/>
        <w:contextualSpacing w:val="0"/>
      </w:pPr>
      <w:r w:rsidRPr="00B65D09">
        <w:rPr>
          <w:rFonts w:cs="Calibri"/>
          <w:sz w:val="20"/>
          <w:szCs w:val="20"/>
        </w:rPr>
        <w:t xml:space="preserve">Develop formal mechanisms that ensure long-term funding commitments, including the National Partnership Agreements, are linked with progress in closing the health equality gap. </w:t>
      </w:r>
    </w:p>
    <w:p w:rsidR="008D2928" w:rsidRPr="00B65D09" w:rsidRDefault="008D2928" w:rsidP="00B65D09">
      <w:pPr>
        <w:pStyle w:val="ListParagraph"/>
        <w:numPr>
          <w:ilvl w:val="0"/>
          <w:numId w:val="34"/>
        </w:numPr>
        <w:spacing w:before="120" w:after="120"/>
        <w:ind w:left="714" w:hanging="357"/>
        <w:contextualSpacing w:val="0"/>
      </w:pPr>
      <w:r w:rsidRPr="00B65D09">
        <w:rPr>
          <w:rFonts w:cs="Calibri"/>
          <w:sz w:val="20"/>
          <w:szCs w:val="20"/>
        </w:rPr>
        <w:t xml:space="preserve">Develop a new mechanism to determine the appropriate Aboriginal and Torres Strait Islander share of mainstream health programs on a basis </w:t>
      </w:r>
      <w:r>
        <w:rPr>
          <w:rFonts w:cs="Calibri"/>
          <w:sz w:val="20"/>
          <w:szCs w:val="20"/>
        </w:rPr>
        <w:t>that</w:t>
      </w:r>
      <w:r w:rsidRPr="00B65D09">
        <w:rPr>
          <w:rFonts w:cs="Calibri"/>
          <w:sz w:val="20"/>
          <w:szCs w:val="20"/>
        </w:rPr>
        <w:t xml:space="preserve"> reflects both the population size and an index of need.</w:t>
      </w:r>
    </w:p>
    <w:p w:rsidR="008D2928" w:rsidRPr="00B65D09" w:rsidRDefault="008D2928" w:rsidP="00B65D09">
      <w:pPr>
        <w:pStyle w:val="ListParagraph"/>
        <w:numPr>
          <w:ilvl w:val="0"/>
          <w:numId w:val="34"/>
        </w:numPr>
        <w:ind w:left="714" w:hanging="357"/>
        <w:contextualSpacing w:val="0"/>
      </w:pPr>
      <w:r w:rsidRPr="00B65D09">
        <w:br w:type="page"/>
      </w:r>
    </w:p>
    <w:p w:rsidR="008D2928" w:rsidRPr="005B1C5F" w:rsidRDefault="008D2928" w:rsidP="009629C7">
      <w:pPr>
        <w:rPr>
          <w:rFonts w:eastAsia="Calibri" w:cs="Calibri"/>
          <w:b/>
          <w:sz w:val="28"/>
          <w:szCs w:val="28"/>
          <w:lang w:val="en-US" w:eastAsia="en-US"/>
        </w:rPr>
      </w:pPr>
      <w:r w:rsidRPr="005B1C5F">
        <w:rPr>
          <w:rFonts w:eastAsia="Calibri" w:cs="Calibri"/>
          <w:b/>
          <w:sz w:val="28"/>
          <w:szCs w:val="28"/>
          <w:lang w:val="en-US" w:eastAsia="en-US"/>
        </w:rPr>
        <w:lastRenderedPageBreak/>
        <w:t>Conclusion</w:t>
      </w:r>
    </w:p>
    <w:p w:rsidR="008D2928" w:rsidRDefault="008D2928" w:rsidP="009629C7">
      <w:pPr>
        <w:rPr>
          <w:rFonts w:eastAsia="Calibri"/>
          <w:szCs w:val="22"/>
          <w:lang w:val="en-US" w:eastAsia="en-US"/>
        </w:rPr>
      </w:pPr>
      <w:r w:rsidRPr="008B2EFD">
        <w:rPr>
          <w:rFonts w:eastAsia="Calibri"/>
          <w:szCs w:val="22"/>
          <w:lang w:val="en-US" w:eastAsia="en-US"/>
        </w:rPr>
        <w:t>The commitment to close the life expectancy gap by 2030 was a watershed moment for the nation. We are seeing improvements in maternal and childhood health, which provide early positive signs that people on the ground are responding to the initiatives</w:t>
      </w:r>
      <w:r>
        <w:rPr>
          <w:rFonts w:eastAsia="Calibri"/>
          <w:szCs w:val="22"/>
          <w:lang w:val="en-US" w:eastAsia="en-US"/>
        </w:rPr>
        <w:t>.</w:t>
      </w:r>
    </w:p>
    <w:p w:rsidR="008D2928" w:rsidRDefault="008D2928" w:rsidP="009629C7">
      <w:pPr>
        <w:rPr>
          <w:rFonts w:eastAsia="Calibri"/>
          <w:szCs w:val="22"/>
          <w:lang w:val="en-US" w:eastAsia="en-US"/>
        </w:rPr>
      </w:pPr>
      <w:r>
        <w:rPr>
          <w:rFonts w:eastAsia="Calibri"/>
          <w:szCs w:val="22"/>
          <w:lang w:val="en-US" w:eastAsia="en-US"/>
        </w:rPr>
        <w:t xml:space="preserve">Achieving health equality by 2030 is an ambitious yet achievable task. It is also an agreed national priority. With nearly 200,000 Australians supporting action to close the gap, it is clear that the Australian public demand that government, in partnership with Aboriginal and Torres Strait Islander people and their representatives, build on the close the gap platform to meet this challenge. They believe that we can and should be the generation to finally close the appalling life expectancy gap between Aboriginal and Torres Strait Islander and non-Indigenous Australians. </w:t>
      </w:r>
    </w:p>
    <w:p w:rsidR="008D2928" w:rsidRDefault="008D2928" w:rsidP="009629C7">
      <w:pPr>
        <w:rPr>
          <w:rFonts w:eastAsia="Calibri"/>
          <w:szCs w:val="22"/>
          <w:lang w:val="en-US" w:eastAsia="en-US"/>
        </w:rPr>
      </w:pPr>
      <w:r>
        <w:rPr>
          <w:rFonts w:eastAsia="Calibri"/>
          <w:szCs w:val="22"/>
          <w:lang w:val="en-US" w:eastAsia="en-US"/>
        </w:rPr>
        <w:t xml:space="preserve">Australians want action to close the gap that sees babies born to an Aboriginal or Torres Strait Islander mother between two and three times more likely to die before the age of five, or Aboriginal and Torres Strait Islander people suffering heart disease at twice the rate of non-Indigenous Australians. </w:t>
      </w:r>
    </w:p>
    <w:p w:rsidR="008D2928" w:rsidRPr="004228C1" w:rsidRDefault="008D2928" w:rsidP="004228C1">
      <w:r>
        <w:rPr>
          <w:rFonts w:eastAsia="Calibri"/>
          <w:szCs w:val="22"/>
          <w:lang w:val="en-US" w:eastAsia="en-US"/>
        </w:rPr>
        <w:t xml:space="preserve">That is why the Close the Gap Campaign has set out the actions and commitments required of a new government. </w:t>
      </w:r>
      <w:r>
        <w:t xml:space="preserve">This term of government will be critical to achieving the 2030 goal. An incoming government must ramp up the ambition and take further steps in building on the existing platform. </w:t>
      </w:r>
    </w:p>
    <w:p w:rsidR="008D2928" w:rsidRDefault="008D2928">
      <w:pPr>
        <w:spacing w:before="0" w:after="0"/>
        <w:rPr>
          <w:rFonts w:eastAsia="Calibri"/>
          <w:b/>
          <w:sz w:val="28"/>
          <w:szCs w:val="28"/>
          <w:lang w:val="en-US" w:eastAsia="en-US"/>
        </w:rPr>
      </w:pPr>
      <w:r>
        <w:rPr>
          <w:rFonts w:eastAsia="Calibri"/>
          <w:b/>
          <w:sz w:val="28"/>
          <w:szCs w:val="28"/>
          <w:lang w:val="en-US" w:eastAsia="en-US"/>
        </w:rPr>
        <w:br w:type="page"/>
      </w:r>
    </w:p>
    <w:p w:rsidR="008D2928" w:rsidRPr="00B877AA" w:rsidRDefault="008D2928" w:rsidP="00380161">
      <w:pPr>
        <w:rPr>
          <w:rFonts w:eastAsia="Calibri"/>
          <w:b/>
          <w:sz w:val="28"/>
          <w:szCs w:val="28"/>
          <w:lang w:val="en-US" w:eastAsia="en-US"/>
        </w:rPr>
      </w:pPr>
      <w:r>
        <w:rPr>
          <w:rFonts w:eastAsia="Calibri"/>
          <w:b/>
          <w:sz w:val="28"/>
          <w:szCs w:val="28"/>
          <w:lang w:val="en-US" w:eastAsia="en-US"/>
        </w:rPr>
        <w:lastRenderedPageBreak/>
        <w:t xml:space="preserve">Who we are </w:t>
      </w:r>
    </w:p>
    <w:p w:rsidR="00B74A48" w:rsidRPr="00A21475" w:rsidRDefault="008D2928" w:rsidP="00B74A48">
      <w:pPr>
        <w:rPr>
          <w:rFonts w:asciiTheme="minorHAnsi" w:hAnsiTheme="minorHAnsi" w:cstheme="minorHAnsi"/>
          <w:szCs w:val="22"/>
          <w:lang w:val="en-US"/>
        </w:rPr>
      </w:pPr>
      <w:r w:rsidRPr="00A21475">
        <w:rPr>
          <w:rFonts w:asciiTheme="minorHAnsi" w:hAnsiTheme="minorHAnsi" w:cstheme="minorHAnsi"/>
          <w:szCs w:val="22"/>
        </w:rPr>
        <w:t xml:space="preserve">The Close the Gap Campaign for </w:t>
      </w:r>
      <w:r w:rsidRPr="00101EF3">
        <w:rPr>
          <w:rFonts w:asciiTheme="minorHAnsi" w:hAnsiTheme="minorHAnsi" w:cstheme="minorHAnsi"/>
          <w:szCs w:val="22"/>
        </w:rPr>
        <w:t>Aboriginal and Torres Strait Islander</w:t>
      </w:r>
      <w:r>
        <w:rPr>
          <w:rFonts w:asciiTheme="minorHAnsi" w:hAnsiTheme="minorHAnsi" w:cstheme="minorHAnsi"/>
          <w:szCs w:val="22"/>
        </w:rPr>
        <w:t xml:space="preserve"> </w:t>
      </w:r>
      <w:r w:rsidRPr="00A21475">
        <w:rPr>
          <w:rFonts w:asciiTheme="minorHAnsi" w:hAnsiTheme="minorHAnsi" w:cstheme="minorHAnsi"/>
          <w:szCs w:val="22"/>
        </w:rPr>
        <w:t xml:space="preserve">Health Equality is a coalition of </w:t>
      </w:r>
      <w:r w:rsidRPr="00101EF3">
        <w:rPr>
          <w:rFonts w:asciiTheme="minorHAnsi" w:hAnsiTheme="minorHAnsi" w:cstheme="minorHAnsi"/>
          <w:szCs w:val="22"/>
        </w:rPr>
        <w:t>Aboriginal and Torres Strait Islander</w:t>
      </w:r>
      <w:r>
        <w:rPr>
          <w:rFonts w:asciiTheme="minorHAnsi" w:hAnsiTheme="minorHAnsi" w:cstheme="minorHAnsi"/>
          <w:szCs w:val="22"/>
        </w:rPr>
        <w:t xml:space="preserve"> </w:t>
      </w:r>
      <w:r w:rsidRPr="00A21475">
        <w:rPr>
          <w:rFonts w:asciiTheme="minorHAnsi" w:hAnsiTheme="minorHAnsi" w:cstheme="minorHAnsi"/>
          <w:szCs w:val="22"/>
        </w:rPr>
        <w:t xml:space="preserve">and non-Indigenous health and human rights organisations. </w:t>
      </w:r>
      <w:r w:rsidRPr="00A21475">
        <w:rPr>
          <w:rFonts w:asciiTheme="minorHAnsi" w:hAnsiTheme="minorHAnsi" w:cstheme="minorHAnsi"/>
          <w:szCs w:val="22"/>
          <w:lang w:val="en-US"/>
        </w:rPr>
        <w:t>The Campaign's goal is to raise the health and life expectancy of Aboriginal and Torres Strait Islander peoples to that of the non-Indigenous population within a generation: to close the gap by 2030. It aims to do this through the implementation of a h</w:t>
      </w:r>
      <w:r>
        <w:rPr>
          <w:rFonts w:asciiTheme="minorHAnsi" w:hAnsiTheme="minorHAnsi" w:cstheme="minorHAnsi"/>
          <w:szCs w:val="22"/>
          <w:lang w:val="en-US"/>
        </w:rPr>
        <w:t>uman rights-</w:t>
      </w:r>
      <w:r w:rsidRPr="00A21475">
        <w:rPr>
          <w:rFonts w:asciiTheme="minorHAnsi" w:hAnsiTheme="minorHAnsi" w:cstheme="minorHAnsi"/>
          <w:szCs w:val="22"/>
          <w:lang w:val="en-US"/>
        </w:rPr>
        <w:t xml:space="preserve">based approach set out in the Aboriginal and Torres Strait Islander Social Justice Commissioner's </w:t>
      </w:r>
      <w:r w:rsidRPr="00A21475">
        <w:rPr>
          <w:rFonts w:asciiTheme="minorHAnsi" w:hAnsiTheme="minorHAnsi" w:cstheme="minorHAnsi"/>
          <w:i/>
          <w:szCs w:val="22"/>
          <w:lang w:val="en-US"/>
        </w:rPr>
        <w:t>Social Justice Report 2005</w:t>
      </w:r>
      <w:r w:rsidRPr="00A21475">
        <w:rPr>
          <w:rFonts w:asciiTheme="minorHAnsi" w:hAnsiTheme="minorHAnsi" w:cstheme="minorHAnsi"/>
          <w:szCs w:val="22"/>
          <w:vertAlign w:val="superscript"/>
          <w:lang w:val="en-US"/>
        </w:rPr>
        <w:endnoteReference w:id="4"/>
      </w:r>
      <w:r w:rsidRPr="00A21475">
        <w:rPr>
          <w:rFonts w:asciiTheme="minorHAnsi" w:hAnsiTheme="minorHAnsi" w:cstheme="minorHAnsi"/>
          <w:i/>
          <w:szCs w:val="22"/>
          <w:lang w:val="en-US"/>
        </w:rPr>
        <w:t xml:space="preserve"> </w:t>
      </w:r>
      <w:r w:rsidR="00B74A48" w:rsidRPr="00A21475">
        <w:rPr>
          <w:rFonts w:asciiTheme="minorHAnsi" w:hAnsiTheme="minorHAnsi" w:cstheme="minorHAnsi"/>
          <w:szCs w:val="22"/>
          <w:lang w:val="en-US"/>
        </w:rPr>
        <w:t xml:space="preserve">and the </w:t>
      </w:r>
      <w:r w:rsidR="00B74A48" w:rsidRPr="00A21475">
        <w:rPr>
          <w:rFonts w:asciiTheme="minorHAnsi" w:hAnsiTheme="minorHAnsi" w:cstheme="minorHAnsi"/>
          <w:i/>
          <w:szCs w:val="22"/>
          <w:lang w:val="en-US"/>
        </w:rPr>
        <w:t>Close the Gap Statement of Intent</w:t>
      </w:r>
      <w:r w:rsidR="00B74A48" w:rsidRPr="00A21475">
        <w:rPr>
          <w:rFonts w:asciiTheme="minorHAnsi" w:hAnsiTheme="minorHAnsi" w:cstheme="minorHAnsi"/>
          <w:szCs w:val="22"/>
          <w:lang w:val="en-US"/>
        </w:rPr>
        <w:t>.</w:t>
      </w:r>
    </w:p>
    <w:p w:rsidR="00B74A48" w:rsidRDefault="00B74A48" w:rsidP="00B74A48">
      <w:pPr>
        <w:rPr>
          <w:rFonts w:asciiTheme="minorHAnsi" w:hAnsiTheme="minorHAnsi" w:cstheme="minorHAnsi"/>
          <w:szCs w:val="22"/>
        </w:rPr>
      </w:pPr>
      <w:r w:rsidRPr="00A21475">
        <w:rPr>
          <w:rFonts w:asciiTheme="minorHAnsi" w:hAnsiTheme="minorHAnsi" w:cstheme="minorHAnsi"/>
          <w:szCs w:val="22"/>
        </w:rPr>
        <w:t xml:space="preserve">The Close the Gap Campaign Steering Committee (Campaign Steering Committee) first met in March 2006. Our patrons, Catherine Freeman OAM and </w:t>
      </w:r>
      <w:proofErr w:type="spellStart"/>
      <w:proofErr w:type="gramStart"/>
      <w:r w:rsidRPr="00A21475">
        <w:rPr>
          <w:rFonts w:asciiTheme="minorHAnsi" w:hAnsiTheme="minorHAnsi" w:cstheme="minorHAnsi"/>
          <w:szCs w:val="22"/>
        </w:rPr>
        <w:t>lan</w:t>
      </w:r>
      <w:proofErr w:type="spellEnd"/>
      <w:proofErr w:type="gramEnd"/>
      <w:r w:rsidRPr="00A21475">
        <w:rPr>
          <w:rFonts w:asciiTheme="minorHAnsi" w:hAnsiTheme="minorHAnsi" w:cstheme="minorHAnsi"/>
          <w:szCs w:val="22"/>
        </w:rPr>
        <w:t xml:space="preserve"> Thorpe OAM, launched the campaign in April 2007</w:t>
      </w:r>
      <w:r>
        <w:rPr>
          <w:rFonts w:asciiTheme="minorHAnsi" w:hAnsiTheme="minorHAnsi" w:cstheme="minorHAnsi"/>
          <w:szCs w:val="22"/>
        </w:rPr>
        <w:t>.</w:t>
      </w:r>
    </w:p>
    <w:p w:rsidR="00B74A48" w:rsidRPr="00A21475" w:rsidRDefault="00B74A48" w:rsidP="00B74A48">
      <w:pPr>
        <w:rPr>
          <w:rFonts w:asciiTheme="minorHAnsi" w:hAnsiTheme="minorHAnsi" w:cstheme="minorHAnsi"/>
          <w:b/>
          <w:szCs w:val="22"/>
        </w:rPr>
      </w:pPr>
      <w:r w:rsidRPr="00A21475">
        <w:rPr>
          <w:rFonts w:asciiTheme="minorHAnsi" w:hAnsiTheme="minorHAnsi" w:cstheme="minorHAnsi"/>
          <w:b/>
          <w:szCs w:val="22"/>
        </w:rPr>
        <w:t>Current membership of the Campaign Steering Committee</w:t>
      </w:r>
    </w:p>
    <w:p w:rsidR="00B74A48" w:rsidRPr="00A21475" w:rsidRDefault="00B74A48" w:rsidP="00B74A48">
      <w:pPr>
        <w:spacing w:before="0" w:after="0"/>
        <w:rPr>
          <w:rFonts w:eastAsia="Calibri" w:cs="Calibri"/>
          <w:b/>
          <w:color w:val="000000"/>
          <w:szCs w:val="22"/>
          <w:lang w:val="en-US" w:eastAsia="en-US"/>
        </w:rPr>
      </w:pPr>
      <w:r w:rsidRPr="00A21475">
        <w:rPr>
          <w:rFonts w:eastAsia="Calibri" w:cs="Calibri"/>
          <w:b/>
          <w:color w:val="000000"/>
          <w:szCs w:val="22"/>
          <w:lang w:val="en-US" w:eastAsia="en-US"/>
        </w:rPr>
        <w:t>Co-chairs</w:t>
      </w:r>
    </w:p>
    <w:p w:rsidR="00B74A48" w:rsidRPr="00AB3770" w:rsidRDefault="009E7CA8" w:rsidP="00B74A48">
      <w:pPr>
        <w:numPr>
          <w:ilvl w:val="0"/>
          <w:numId w:val="30"/>
        </w:numPr>
        <w:spacing w:before="0" w:after="0"/>
        <w:ind w:left="714" w:hanging="357"/>
        <w:contextualSpacing/>
        <w:rPr>
          <w:rFonts w:eastAsia="Calibri" w:cs="Calibri"/>
          <w:color w:val="000000"/>
          <w:szCs w:val="22"/>
          <w:lang w:val="en-US" w:eastAsia="en-US"/>
        </w:rPr>
      </w:pPr>
      <w:r>
        <w:rPr>
          <w:rFonts w:eastAsia="Calibri" w:cs="Calibri"/>
          <w:color w:val="000000"/>
          <w:szCs w:val="22"/>
          <w:lang w:val="en-US" w:eastAsia="en-US"/>
        </w:rPr>
        <w:t>Co-C</w:t>
      </w:r>
      <w:r w:rsidR="00B74A48" w:rsidRPr="00AB3770">
        <w:rPr>
          <w:rFonts w:eastAsia="Calibri" w:cs="Calibri"/>
          <w:color w:val="000000"/>
          <w:szCs w:val="22"/>
          <w:lang w:val="en-US" w:eastAsia="en-US"/>
        </w:rPr>
        <w:t>hair of the National Congress of Australia’s First People</w:t>
      </w:r>
      <w:r w:rsidR="008D2928">
        <w:rPr>
          <w:rFonts w:eastAsia="Calibri" w:cs="Calibri"/>
          <w:color w:val="000000"/>
          <w:szCs w:val="22"/>
          <w:lang w:val="en-US" w:eastAsia="en-US"/>
        </w:rPr>
        <w:t>s</w:t>
      </w:r>
    </w:p>
    <w:p w:rsidR="00B74A48" w:rsidRPr="00A21475" w:rsidRDefault="00B74A48" w:rsidP="00B74A48">
      <w:pPr>
        <w:numPr>
          <w:ilvl w:val="0"/>
          <w:numId w:val="30"/>
        </w:numPr>
        <w:spacing w:before="0" w:after="0"/>
        <w:ind w:left="714" w:right="144" w:hanging="357"/>
        <w:contextualSpacing/>
        <w:rPr>
          <w:rFonts w:eastAsia="Calibri" w:cs="Calibri"/>
          <w:color w:val="000000"/>
          <w:szCs w:val="22"/>
          <w:lang w:val="en-US" w:eastAsia="en-US"/>
        </w:rPr>
      </w:pPr>
      <w:r w:rsidRPr="00A21475">
        <w:rPr>
          <w:rFonts w:eastAsia="Calibri" w:cs="Calibri"/>
          <w:color w:val="000000"/>
          <w:szCs w:val="22"/>
          <w:lang w:val="en-US" w:eastAsia="en-US"/>
        </w:rPr>
        <w:t>Aboriginal and Torres Strait Islander Social Justice Commissioner, Australian Human Rights Commission</w:t>
      </w:r>
    </w:p>
    <w:p w:rsidR="00B74A48" w:rsidRPr="00A21475" w:rsidRDefault="00B74A48" w:rsidP="00B74A48">
      <w:pPr>
        <w:spacing w:before="0" w:after="0"/>
        <w:rPr>
          <w:rFonts w:eastAsia="Calibri" w:cs="Calibri"/>
          <w:b/>
          <w:color w:val="000000"/>
          <w:szCs w:val="22"/>
          <w:lang w:val="en-US" w:eastAsia="en-US"/>
        </w:rPr>
      </w:pPr>
      <w:r w:rsidRPr="00A21475">
        <w:rPr>
          <w:rFonts w:eastAsia="Calibri" w:cs="Calibri"/>
          <w:b/>
          <w:color w:val="000000"/>
          <w:szCs w:val="22"/>
          <w:lang w:val="en-US" w:eastAsia="en-US"/>
        </w:rPr>
        <w:t>Members</w:t>
      </w:r>
    </w:p>
    <w:p w:rsidR="00B74A48" w:rsidRPr="00A21475" w:rsidRDefault="00B74A48" w:rsidP="00B74A48">
      <w:pPr>
        <w:numPr>
          <w:ilvl w:val="0"/>
          <w:numId w:val="31"/>
        </w:numPr>
        <w:spacing w:before="0" w:after="0"/>
        <w:contextualSpacing/>
        <w:rPr>
          <w:rFonts w:eastAsia="Calibri" w:cs="Calibri"/>
          <w:szCs w:val="22"/>
          <w:lang w:val="en-US" w:eastAsia="en-US"/>
        </w:rPr>
      </w:pPr>
      <w:r w:rsidRPr="00A21475">
        <w:rPr>
          <w:rFonts w:eastAsia="Calibri" w:cs="Calibri"/>
          <w:szCs w:val="22"/>
          <w:lang w:val="en-US" w:eastAsia="en-US"/>
        </w:rPr>
        <w:t>Aboriginal and Torres Str</w:t>
      </w:r>
      <w:r w:rsidR="008D2928">
        <w:rPr>
          <w:rFonts w:eastAsia="Calibri" w:cs="Calibri"/>
          <w:szCs w:val="22"/>
          <w:lang w:val="en-US" w:eastAsia="en-US"/>
        </w:rPr>
        <w:t>ait Islander Healing Foundation</w:t>
      </w:r>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 xml:space="preserve">Australian </w:t>
      </w:r>
      <w:r w:rsidR="008D2928">
        <w:rPr>
          <w:rFonts w:eastAsia="Calibri" w:cs="Calibri"/>
          <w:szCs w:val="22"/>
          <w:lang w:val="en-US" w:eastAsia="en-US"/>
        </w:rPr>
        <w:t>Indigenous Doctors' Association</w:t>
      </w:r>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Australian Indigenous Psychologists' Asso</w:t>
      </w:r>
      <w:r w:rsidR="008D2928">
        <w:rPr>
          <w:rFonts w:eastAsia="Calibri" w:cs="Calibri"/>
          <w:szCs w:val="22"/>
          <w:lang w:val="en-US" w:eastAsia="en-US"/>
        </w:rPr>
        <w:t>ciation</w:t>
      </w:r>
    </w:p>
    <w:p w:rsidR="00B74A48" w:rsidRPr="00A21475" w:rsidRDefault="00B74A48" w:rsidP="00B74A48">
      <w:pPr>
        <w:numPr>
          <w:ilvl w:val="0"/>
          <w:numId w:val="31"/>
        </w:numPr>
        <w:spacing w:before="0" w:after="0"/>
        <w:ind w:left="714" w:right="432" w:hanging="357"/>
        <w:contextualSpacing/>
        <w:rPr>
          <w:rFonts w:eastAsia="Calibri" w:cs="Calibri"/>
          <w:szCs w:val="22"/>
          <w:lang w:val="en-US" w:eastAsia="en-US"/>
        </w:rPr>
      </w:pPr>
      <w:r w:rsidRPr="00A21475">
        <w:rPr>
          <w:rFonts w:eastAsia="Calibri" w:cs="Calibri"/>
          <w:szCs w:val="22"/>
          <w:lang w:val="en-US" w:eastAsia="en-US"/>
        </w:rPr>
        <w:t>Congress of Aboriginal and</w:t>
      </w:r>
      <w:r w:rsidR="008D2928">
        <w:rPr>
          <w:rFonts w:eastAsia="Calibri" w:cs="Calibri"/>
          <w:szCs w:val="22"/>
          <w:lang w:val="en-US" w:eastAsia="en-US"/>
        </w:rPr>
        <w:t xml:space="preserve"> Torres Strait Islander Nurses</w:t>
      </w:r>
    </w:p>
    <w:p w:rsidR="00B74A48" w:rsidRPr="00A21475" w:rsidRDefault="00B74A48" w:rsidP="00B74A48">
      <w:pPr>
        <w:numPr>
          <w:ilvl w:val="0"/>
          <w:numId w:val="31"/>
        </w:numPr>
        <w:spacing w:before="0" w:after="0"/>
        <w:ind w:left="714" w:right="432" w:hanging="357"/>
        <w:contextualSpacing/>
        <w:rPr>
          <w:rFonts w:eastAsia="Calibri" w:cs="Calibri"/>
          <w:szCs w:val="22"/>
          <w:lang w:val="en-US" w:eastAsia="en-US"/>
        </w:rPr>
      </w:pPr>
      <w:r w:rsidRPr="00A21475">
        <w:rPr>
          <w:rFonts w:eastAsia="Calibri" w:cs="Calibri"/>
          <w:szCs w:val="22"/>
          <w:lang w:val="en-US" w:eastAsia="en-US"/>
        </w:rPr>
        <w:t>Ind</w:t>
      </w:r>
      <w:r w:rsidR="008D2928">
        <w:rPr>
          <w:rFonts w:eastAsia="Calibri" w:cs="Calibri"/>
          <w:szCs w:val="22"/>
          <w:lang w:val="en-US" w:eastAsia="en-US"/>
        </w:rPr>
        <w:t>igenous Allied Health Australia</w:t>
      </w:r>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Indigenous Den</w:t>
      </w:r>
      <w:r w:rsidR="008D2928">
        <w:rPr>
          <w:rFonts w:eastAsia="Calibri" w:cs="Calibri"/>
          <w:szCs w:val="22"/>
          <w:lang w:val="en-US" w:eastAsia="en-US"/>
        </w:rPr>
        <w:t>tists' Association of Australia</w:t>
      </w:r>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 xml:space="preserve">National Aboriginal Community </w:t>
      </w:r>
      <w:r w:rsidR="008D2928">
        <w:rPr>
          <w:rFonts w:eastAsia="Calibri" w:cs="Calibri"/>
          <w:szCs w:val="22"/>
          <w:lang w:val="en-US" w:eastAsia="en-US"/>
        </w:rPr>
        <w:t xml:space="preserve">Controlled Health </w:t>
      </w:r>
      <w:proofErr w:type="spellStart"/>
      <w:r w:rsidR="008D2928">
        <w:rPr>
          <w:rFonts w:eastAsia="Calibri" w:cs="Calibri"/>
          <w:szCs w:val="22"/>
          <w:lang w:val="en-US" w:eastAsia="en-US"/>
        </w:rPr>
        <w:t>Organisation</w:t>
      </w:r>
      <w:proofErr w:type="spellEnd"/>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National Aboriginal and Torres Strait Island</w:t>
      </w:r>
      <w:r w:rsidR="008D2928">
        <w:rPr>
          <w:rFonts w:eastAsia="Calibri" w:cs="Calibri"/>
          <w:szCs w:val="22"/>
          <w:lang w:val="en-US" w:eastAsia="en-US"/>
        </w:rPr>
        <w:t>er Health Workers' Association</w:t>
      </w:r>
    </w:p>
    <w:p w:rsidR="00B74A48" w:rsidRPr="00A21475" w:rsidRDefault="00B74A48" w:rsidP="00B74A48">
      <w:pPr>
        <w:numPr>
          <w:ilvl w:val="0"/>
          <w:numId w:val="31"/>
        </w:numPr>
        <w:spacing w:before="0" w:after="0"/>
        <w:rPr>
          <w:rFonts w:eastAsia="Calibri" w:cs="Calibri"/>
          <w:szCs w:val="22"/>
          <w:lang w:val="en-US" w:eastAsia="en-US"/>
        </w:rPr>
      </w:pPr>
      <w:r w:rsidRPr="00A21475">
        <w:rPr>
          <w:rFonts w:eastAsia="Calibri" w:cs="Calibri"/>
          <w:szCs w:val="22"/>
          <w:lang w:val="en-US" w:eastAsia="en-US"/>
        </w:rPr>
        <w:t>National Association of Aboriginal and Torres St</w:t>
      </w:r>
      <w:r w:rsidR="008D2928">
        <w:rPr>
          <w:rFonts w:eastAsia="Calibri" w:cs="Calibri"/>
          <w:szCs w:val="22"/>
          <w:lang w:val="en-US" w:eastAsia="en-US"/>
        </w:rPr>
        <w:t>rait Islander Physiotherapists</w:t>
      </w:r>
    </w:p>
    <w:p w:rsidR="00B74A48" w:rsidRPr="00A21475" w:rsidRDefault="00B74A48" w:rsidP="00B74A48">
      <w:pPr>
        <w:numPr>
          <w:ilvl w:val="0"/>
          <w:numId w:val="31"/>
        </w:numPr>
        <w:spacing w:before="0" w:after="0"/>
        <w:contextualSpacing/>
        <w:rPr>
          <w:rFonts w:eastAsia="Calibri" w:cs="Calibri"/>
          <w:szCs w:val="22"/>
          <w:lang w:val="en-US" w:eastAsia="en-US"/>
        </w:rPr>
      </w:pPr>
      <w:r w:rsidRPr="00A21475">
        <w:rPr>
          <w:rFonts w:eastAsia="Calibri" w:cs="Calibri"/>
          <w:szCs w:val="22"/>
          <w:lang w:val="en-US" w:eastAsia="en-US"/>
        </w:rPr>
        <w:t>National Congre</w:t>
      </w:r>
      <w:r w:rsidR="008D2928">
        <w:rPr>
          <w:rFonts w:eastAsia="Calibri" w:cs="Calibri"/>
          <w:szCs w:val="22"/>
          <w:lang w:val="en-US" w:eastAsia="en-US"/>
        </w:rPr>
        <w:t>ss of Australia’s First Peoples</w:t>
      </w:r>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 xml:space="preserve">National Coordinator </w:t>
      </w:r>
      <w:r w:rsidRPr="00A21475">
        <w:rPr>
          <w:rFonts w:cs="Calibri"/>
          <w:bCs/>
          <w:szCs w:val="22"/>
        </w:rPr>
        <w:t xml:space="preserve">— </w:t>
      </w:r>
      <w:r w:rsidRPr="00A21475">
        <w:rPr>
          <w:rFonts w:eastAsia="Calibri" w:cs="Calibri"/>
          <w:szCs w:val="22"/>
          <w:lang w:val="en-US" w:eastAsia="en-US"/>
        </w:rPr>
        <w:t xml:space="preserve">Tackling Indigenous Smoking (Dr Tom Calma AO </w:t>
      </w:r>
      <w:r w:rsidRPr="00A21475">
        <w:rPr>
          <w:rFonts w:cs="Calibri"/>
          <w:bCs/>
          <w:szCs w:val="22"/>
        </w:rPr>
        <w:t>—</w:t>
      </w:r>
      <w:r w:rsidRPr="00A21475">
        <w:rPr>
          <w:rFonts w:eastAsia="Calibri" w:cs="Calibri"/>
          <w:szCs w:val="22"/>
          <w:lang w:val="en-US" w:eastAsia="en-US"/>
        </w:rPr>
        <w:t xml:space="preserve"> Campaign founder and former Aboriginal and Torres Strait Islander Social Justice Commissioner)</w:t>
      </w:r>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 xml:space="preserve">National Indigenous Drug and Alcohol Committee </w:t>
      </w:r>
    </w:p>
    <w:p w:rsidR="00B74A48" w:rsidRPr="00A21475" w:rsidRDefault="008D2928" w:rsidP="00B74A48">
      <w:pPr>
        <w:numPr>
          <w:ilvl w:val="0"/>
          <w:numId w:val="31"/>
        </w:numPr>
        <w:spacing w:before="0" w:after="0"/>
        <w:ind w:left="714" w:hanging="357"/>
        <w:contextualSpacing/>
        <w:rPr>
          <w:rFonts w:eastAsia="Calibri" w:cs="Calibri"/>
          <w:szCs w:val="22"/>
          <w:lang w:val="en-US" w:eastAsia="en-US"/>
        </w:rPr>
      </w:pPr>
      <w:r>
        <w:rPr>
          <w:rFonts w:eastAsia="Calibri" w:cs="Calibri"/>
          <w:szCs w:val="22"/>
          <w:lang w:val="en-US" w:eastAsia="en-US"/>
        </w:rPr>
        <w:t>The Lowitja Institute</w:t>
      </w:r>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Torres S</w:t>
      </w:r>
      <w:r w:rsidR="008D2928">
        <w:rPr>
          <w:rFonts w:eastAsia="Calibri" w:cs="Calibri"/>
          <w:szCs w:val="22"/>
          <w:lang w:val="en-US" w:eastAsia="en-US"/>
        </w:rPr>
        <w:t>trait Island Regional Authority</w:t>
      </w:r>
      <w:bookmarkStart w:id="0" w:name="_GoBack"/>
      <w:bookmarkEnd w:id="0"/>
    </w:p>
    <w:p w:rsidR="00B74A48" w:rsidRPr="00A21475" w:rsidRDefault="00B74A48" w:rsidP="00B74A48">
      <w:pPr>
        <w:numPr>
          <w:ilvl w:val="0"/>
          <w:numId w:val="31"/>
        </w:numPr>
        <w:spacing w:before="0" w:after="0"/>
        <w:contextualSpacing/>
        <w:rPr>
          <w:rFonts w:eastAsia="Calibri" w:cs="Calibri"/>
          <w:szCs w:val="22"/>
          <w:lang w:val="en-US" w:eastAsia="en-US"/>
        </w:rPr>
      </w:pPr>
      <w:r w:rsidRPr="00A21475">
        <w:rPr>
          <w:rFonts w:eastAsia="Calibri" w:cs="Calibri"/>
          <w:szCs w:val="22"/>
          <w:lang w:val="en-US" w:eastAsia="en-US"/>
        </w:rPr>
        <w:t>Australian College of Nursing</w:t>
      </w:r>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 xml:space="preserve">Aboriginal Health and Medical Research Council </w:t>
      </w:r>
    </w:p>
    <w:p w:rsidR="00B74A48" w:rsidRPr="00A21475" w:rsidRDefault="00B74A48" w:rsidP="00B74A48">
      <w:pPr>
        <w:numPr>
          <w:ilvl w:val="0"/>
          <w:numId w:val="31"/>
        </w:numPr>
        <w:spacing w:before="0" w:after="0"/>
        <w:contextualSpacing/>
        <w:rPr>
          <w:rFonts w:eastAsia="Calibri" w:cs="Calibri"/>
          <w:szCs w:val="22"/>
          <w:lang w:val="en-US" w:eastAsia="en-US"/>
        </w:rPr>
      </w:pPr>
      <w:proofErr w:type="spellStart"/>
      <w:r w:rsidRPr="00A21475">
        <w:rPr>
          <w:rFonts w:eastAsia="Calibri" w:cs="Calibri"/>
          <w:szCs w:val="22"/>
          <w:lang w:val="en-US" w:eastAsia="en-US"/>
        </w:rPr>
        <w:t>ANTaR</w:t>
      </w:r>
      <w:proofErr w:type="spellEnd"/>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 xml:space="preserve">Australian Human Rights Commission (Secretariat) </w:t>
      </w:r>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Australian Medical Association</w:t>
      </w:r>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Australian Medicare Local Alliance</w:t>
      </w:r>
    </w:p>
    <w:p w:rsidR="00B74A48" w:rsidRPr="00A21475" w:rsidRDefault="00B74A48" w:rsidP="00B74A48">
      <w:pPr>
        <w:numPr>
          <w:ilvl w:val="0"/>
          <w:numId w:val="31"/>
        </w:numPr>
        <w:spacing w:before="0" w:after="0"/>
        <w:ind w:left="714" w:right="144" w:hanging="357"/>
        <w:contextualSpacing/>
        <w:rPr>
          <w:rFonts w:eastAsia="Calibri" w:cs="Calibri"/>
          <w:szCs w:val="22"/>
          <w:lang w:val="en-US" w:eastAsia="en-US"/>
        </w:rPr>
      </w:pPr>
      <w:r w:rsidRPr="00A21475">
        <w:rPr>
          <w:rFonts w:eastAsia="Calibri" w:cs="Calibri"/>
          <w:szCs w:val="22"/>
          <w:lang w:val="en-US" w:eastAsia="en-US"/>
        </w:rPr>
        <w:t>The Fred Hollows Foundation</w:t>
      </w:r>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Heart Foundation Australia</w:t>
      </w:r>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 xml:space="preserve">Menzies School of Health Research </w:t>
      </w:r>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Oxfam Australia</w:t>
      </w:r>
    </w:p>
    <w:p w:rsidR="00B74A48"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Palliative Care Australia</w:t>
      </w:r>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Royal Australasian College of Physicians</w:t>
      </w:r>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 xml:space="preserve">Royal Australian College of General Practitioners </w:t>
      </w:r>
    </w:p>
    <w:p w:rsidR="00B74A48" w:rsidRPr="00A21475" w:rsidRDefault="00B74A48" w:rsidP="00B74A48">
      <w:pPr>
        <w:numPr>
          <w:ilvl w:val="0"/>
          <w:numId w:val="31"/>
        </w:numPr>
        <w:spacing w:before="0" w:after="0"/>
        <w:ind w:left="714" w:hanging="357"/>
        <w:contextualSpacing/>
        <w:rPr>
          <w:rFonts w:eastAsia="Calibri" w:cs="Calibri"/>
          <w:szCs w:val="22"/>
          <w:lang w:val="en-US" w:eastAsia="en-US"/>
        </w:rPr>
      </w:pPr>
      <w:r w:rsidRPr="00A21475">
        <w:rPr>
          <w:rFonts w:eastAsia="Calibri" w:cs="Calibri"/>
          <w:szCs w:val="22"/>
          <w:lang w:val="en-US" w:eastAsia="en-US"/>
        </w:rPr>
        <w:t>Professor Ian Ring (expert adviser)</w:t>
      </w:r>
    </w:p>
    <w:p w:rsidR="008D2928" w:rsidRDefault="008D2928" w:rsidP="00B74A48">
      <w:pPr>
        <w:rPr>
          <w:b/>
        </w:rPr>
      </w:pPr>
    </w:p>
    <w:p w:rsidR="008D2928" w:rsidRDefault="008D2928" w:rsidP="00B74A48">
      <w:pPr>
        <w:rPr>
          <w:b/>
        </w:rPr>
      </w:pPr>
    </w:p>
    <w:p w:rsidR="00B74A48" w:rsidRPr="00434C70" w:rsidRDefault="00B74A48" w:rsidP="00B74A48">
      <w:pPr>
        <w:rPr>
          <w:b/>
        </w:rPr>
      </w:pPr>
      <w:r>
        <w:rPr>
          <w:b/>
        </w:rPr>
        <w:lastRenderedPageBreak/>
        <w:t>A</w:t>
      </w:r>
      <w:r w:rsidRPr="00434C70">
        <w:rPr>
          <w:b/>
        </w:rPr>
        <w:t>cknowledgements</w:t>
      </w:r>
      <w:r>
        <w:rPr>
          <w:b/>
        </w:rPr>
        <w:t xml:space="preserve"> and who we are </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0"/>
      </w:tblGrid>
      <w:tr w:rsidR="00B74A48" w:rsidRPr="00434C70" w:rsidTr="00B74A48">
        <w:tc>
          <w:tcPr>
            <w:tcW w:w="8710" w:type="dxa"/>
            <w:shd w:val="clear" w:color="auto" w:fill="auto"/>
          </w:tcPr>
          <w:p w:rsidR="00B74A48" w:rsidRPr="00434C70" w:rsidRDefault="00B74A48" w:rsidP="00B74A48">
            <w:pPr>
              <w:spacing w:before="0" w:after="0"/>
              <w:ind w:right="576"/>
              <w:contextualSpacing/>
              <w:rPr>
                <w:rFonts w:eastAsia="Calibri" w:cs="Calibri"/>
                <w:b/>
                <w:color w:val="000000"/>
                <w:spacing w:val="-4"/>
                <w:szCs w:val="22"/>
                <w:lang w:val="en-US" w:eastAsia="en-US"/>
              </w:rPr>
            </w:pPr>
            <w:r w:rsidRPr="00434C70">
              <w:rPr>
                <w:rFonts w:eastAsia="Calibri" w:cs="Calibri"/>
                <w:b/>
                <w:color w:val="000000"/>
                <w:spacing w:val="-4"/>
                <w:szCs w:val="22"/>
                <w:lang w:val="en-US" w:eastAsia="en-US"/>
              </w:rPr>
              <w:t xml:space="preserve">Acknowledgements </w:t>
            </w:r>
          </w:p>
          <w:p w:rsidR="00B74A48" w:rsidRPr="00434C70" w:rsidRDefault="00B74A48" w:rsidP="00B74A48">
            <w:pPr>
              <w:autoSpaceDE w:val="0"/>
              <w:autoSpaceDN w:val="0"/>
              <w:adjustRightInd w:val="0"/>
              <w:spacing w:before="0" w:after="0"/>
              <w:rPr>
                <w:rFonts w:cs="Calibri"/>
                <w:szCs w:val="22"/>
              </w:rPr>
            </w:pPr>
            <w:r w:rsidRPr="00434C70">
              <w:rPr>
                <w:rFonts w:cs="Calibri"/>
                <w:szCs w:val="22"/>
              </w:rPr>
              <w:t xml:space="preserve">This </w:t>
            </w:r>
            <w:r w:rsidR="00C60960">
              <w:rPr>
                <w:rFonts w:cs="Calibri"/>
                <w:szCs w:val="22"/>
              </w:rPr>
              <w:t>document</w:t>
            </w:r>
            <w:r w:rsidRPr="00434C70">
              <w:rPr>
                <w:rFonts w:cs="Calibri"/>
                <w:szCs w:val="22"/>
              </w:rPr>
              <w:t xml:space="preserve"> is a collaborative effort of the Close the Gap Campaign Steering Committee. </w:t>
            </w:r>
          </w:p>
          <w:p w:rsidR="009E7CA8" w:rsidRDefault="00B74A48" w:rsidP="00B74A48">
            <w:pPr>
              <w:autoSpaceDE w:val="0"/>
              <w:autoSpaceDN w:val="0"/>
              <w:adjustRightInd w:val="0"/>
              <w:spacing w:before="0" w:after="0"/>
              <w:rPr>
                <w:rFonts w:cs="Calibri"/>
                <w:szCs w:val="22"/>
              </w:rPr>
            </w:pPr>
            <w:r w:rsidRPr="00434C70">
              <w:rPr>
                <w:rFonts w:cs="Calibri"/>
                <w:b/>
                <w:bCs/>
                <w:szCs w:val="22"/>
              </w:rPr>
              <w:t>Author</w:t>
            </w:r>
            <w:r w:rsidR="004D249C">
              <w:rPr>
                <w:rFonts w:cs="Calibri"/>
                <w:b/>
                <w:bCs/>
                <w:szCs w:val="22"/>
              </w:rPr>
              <w:t>s and Editors</w:t>
            </w:r>
            <w:r w:rsidRPr="00434C70">
              <w:rPr>
                <w:rFonts w:cs="Calibri"/>
                <w:b/>
                <w:bCs/>
                <w:szCs w:val="22"/>
              </w:rPr>
              <w:t xml:space="preserve">: </w:t>
            </w:r>
            <w:r w:rsidR="00C60960">
              <w:rPr>
                <w:rFonts w:cs="Calibri"/>
                <w:szCs w:val="22"/>
              </w:rPr>
              <w:t>Andy Gargett, Senior Policy Officer, Australian Human Rights Commission</w:t>
            </w:r>
            <w:r w:rsidR="00E16BB8">
              <w:rPr>
                <w:rFonts w:cs="Calibri"/>
                <w:szCs w:val="22"/>
              </w:rPr>
              <w:t>;</w:t>
            </w:r>
            <w:r w:rsidR="009E7CA8">
              <w:rPr>
                <w:rFonts w:cs="Calibri"/>
                <w:szCs w:val="22"/>
              </w:rPr>
              <w:t xml:space="preserve"> </w:t>
            </w:r>
            <w:r w:rsidR="009E7CA8" w:rsidRPr="009E7CA8">
              <w:rPr>
                <w:rFonts w:cs="Calibri"/>
                <w:szCs w:val="22"/>
              </w:rPr>
              <w:t>Andrew Meehan, Indigenous Rights Advocacy Lead, Public Engagement, Oxfam Australia; Gary Highland, National Director</w:t>
            </w:r>
            <w:r w:rsidR="00E16BB8">
              <w:rPr>
                <w:rFonts w:cs="Calibri"/>
                <w:szCs w:val="22"/>
              </w:rPr>
              <w:t>,</w:t>
            </w:r>
            <w:r w:rsidR="009E7CA8" w:rsidRPr="009E7CA8">
              <w:rPr>
                <w:rFonts w:cs="Calibri"/>
                <w:szCs w:val="22"/>
              </w:rPr>
              <w:t xml:space="preserve"> </w:t>
            </w:r>
            <w:proofErr w:type="spellStart"/>
            <w:r w:rsidR="009E7CA8" w:rsidRPr="009E7CA8">
              <w:rPr>
                <w:rFonts w:cs="Calibri"/>
                <w:szCs w:val="22"/>
              </w:rPr>
              <w:t>ANTaR</w:t>
            </w:r>
            <w:proofErr w:type="spellEnd"/>
            <w:r w:rsidR="009E7CA8">
              <w:rPr>
                <w:rFonts w:cs="Calibri"/>
                <w:szCs w:val="22"/>
              </w:rPr>
              <w:t>.</w:t>
            </w:r>
          </w:p>
          <w:p w:rsidR="00B74A48" w:rsidRPr="00434C70" w:rsidRDefault="009E7CA8" w:rsidP="00B74A48">
            <w:pPr>
              <w:autoSpaceDE w:val="0"/>
              <w:autoSpaceDN w:val="0"/>
              <w:adjustRightInd w:val="0"/>
              <w:spacing w:before="0" w:after="0"/>
              <w:rPr>
                <w:rFonts w:cs="Calibri"/>
                <w:szCs w:val="22"/>
              </w:rPr>
            </w:pPr>
            <w:r w:rsidRPr="000903C3">
              <w:rPr>
                <w:rFonts w:cs="Calibri"/>
                <w:b/>
                <w:szCs w:val="22"/>
              </w:rPr>
              <w:t>Editor</w:t>
            </w:r>
            <w:r w:rsidR="004D249C">
              <w:rPr>
                <w:rFonts w:cs="Calibri"/>
                <w:b/>
                <w:szCs w:val="22"/>
              </w:rPr>
              <w:t>ial assistance</w:t>
            </w:r>
            <w:r>
              <w:rPr>
                <w:rFonts w:cs="Calibri"/>
                <w:szCs w:val="22"/>
              </w:rPr>
              <w:t xml:space="preserve">: Jane </w:t>
            </w:r>
            <w:proofErr w:type="spellStart"/>
            <w:r>
              <w:rPr>
                <w:rFonts w:cs="Calibri"/>
                <w:szCs w:val="22"/>
              </w:rPr>
              <w:t>Powles</w:t>
            </w:r>
            <w:proofErr w:type="spellEnd"/>
            <w:r>
              <w:rPr>
                <w:rFonts w:cs="Calibri"/>
                <w:szCs w:val="22"/>
              </w:rPr>
              <w:t xml:space="preserve">, </w:t>
            </w:r>
            <w:r w:rsidRPr="009E7CA8">
              <w:rPr>
                <w:rFonts w:cs="Calibri"/>
                <w:szCs w:val="22"/>
              </w:rPr>
              <w:t>National Campaigns Manager</w:t>
            </w:r>
            <w:r w:rsidR="00101EF3">
              <w:rPr>
                <w:rFonts w:cs="Calibri"/>
                <w:szCs w:val="22"/>
              </w:rPr>
              <w:t xml:space="preserve">, </w:t>
            </w:r>
            <w:proofErr w:type="spellStart"/>
            <w:r w:rsidR="00101EF3">
              <w:rPr>
                <w:rFonts w:cs="Calibri"/>
                <w:szCs w:val="22"/>
              </w:rPr>
              <w:t>ANTaR</w:t>
            </w:r>
            <w:proofErr w:type="spellEnd"/>
            <w:r w:rsidR="00101EF3">
              <w:rPr>
                <w:rFonts w:cs="Calibri"/>
                <w:szCs w:val="22"/>
              </w:rPr>
              <w:t xml:space="preserve">; Jack Regester, Project/Research Officer, Australian Human Rights Commission. </w:t>
            </w:r>
          </w:p>
          <w:p w:rsidR="00B74A48" w:rsidRPr="00434C70" w:rsidRDefault="000365F6" w:rsidP="00B74A48">
            <w:pPr>
              <w:autoSpaceDE w:val="0"/>
              <w:autoSpaceDN w:val="0"/>
              <w:adjustRightInd w:val="0"/>
              <w:spacing w:before="0" w:after="0"/>
              <w:rPr>
                <w:rFonts w:cs="Calibri"/>
                <w:szCs w:val="22"/>
              </w:rPr>
            </w:pPr>
            <w:r>
              <w:rPr>
                <w:rFonts w:cs="Calibri"/>
                <w:b/>
                <w:bCs/>
                <w:szCs w:val="22"/>
              </w:rPr>
              <w:t>Working Group providing oversight</w:t>
            </w:r>
            <w:r w:rsidR="00B74A48" w:rsidRPr="00434C70">
              <w:rPr>
                <w:rFonts w:cs="Calibri"/>
                <w:b/>
                <w:bCs/>
                <w:szCs w:val="22"/>
              </w:rPr>
              <w:t xml:space="preserve">: </w:t>
            </w:r>
            <w:r w:rsidRPr="000365F6">
              <w:rPr>
                <w:rFonts w:cs="Calibri"/>
                <w:bCs/>
                <w:szCs w:val="22"/>
              </w:rPr>
              <w:t>Lisa Briggs</w:t>
            </w:r>
            <w:r>
              <w:rPr>
                <w:rFonts w:cs="Calibri"/>
                <w:bCs/>
                <w:szCs w:val="22"/>
              </w:rPr>
              <w:t xml:space="preserve">, CEO, National Aboriginal Community Controlled Health Organisation; Pat Anderson, Chair, The Lowitja Institute; </w:t>
            </w:r>
            <w:r w:rsidR="00C60960">
              <w:rPr>
                <w:rFonts w:cs="Calibri"/>
                <w:szCs w:val="22"/>
              </w:rPr>
              <w:t xml:space="preserve">Andrew </w:t>
            </w:r>
            <w:r>
              <w:rPr>
                <w:rFonts w:cs="Calibri"/>
                <w:szCs w:val="22"/>
              </w:rPr>
              <w:t xml:space="preserve">Meehan, Indigenous Rights Advocacy Lead, Public Engagement, Oxfam Australia; Gary Highland, National Director; </w:t>
            </w:r>
            <w:proofErr w:type="spellStart"/>
            <w:r>
              <w:rPr>
                <w:rFonts w:cs="Calibri"/>
                <w:szCs w:val="22"/>
              </w:rPr>
              <w:t>ANTaR</w:t>
            </w:r>
            <w:proofErr w:type="spellEnd"/>
            <w:r>
              <w:rPr>
                <w:rFonts w:cs="Calibri"/>
                <w:szCs w:val="22"/>
              </w:rPr>
              <w:t>.</w:t>
            </w:r>
          </w:p>
          <w:p w:rsidR="00B74A48" w:rsidRDefault="00B74A48" w:rsidP="00B74A48">
            <w:pPr>
              <w:autoSpaceDE w:val="0"/>
              <w:autoSpaceDN w:val="0"/>
              <w:adjustRightInd w:val="0"/>
              <w:spacing w:before="0" w:after="0"/>
              <w:rPr>
                <w:rFonts w:cs="Calibri"/>
                <w:bCs/>
                <w:szCs w:val="22"/>
              </w:rPr>
            </w:pPr>
            <w:r w:rsidRPr="00434C70">
              <w:rPr>
                <w:rFonts w:cs="Calibri"/>
                <w:b/>
                <w:bCs/>
                <w:szCs w:val="22"/>
              </w:rPr>
              <w:t xml:space="preserve">Design and </w:t>
            </w:r>
            <w:r w:rsidR="00A416E0">
              <w:rPr>
                <w:rFonts w:cs="Calibri"/>
                <w:b/>
                <w:bCs/>
                <w:szCs w:val="22"/>
              </w:rPr>
              <w:t>layout</w:t>
            </w:r>
            <w:r w:rsidRPr="00434C70">
              <w:rPr>
                <w:rFonts w:cs="Calibri"/>
                <w:b/>
                <w:bCs/>
                <w:szCs w:val="22"/>
              </w:rPr>
              <w:t xml:space="preserve">: </w:t>
            </w:r>
            <w:r w:rsidR="00A416E0" w:rsidRPr="00A416E0">
              <w:rPr>
                <w:rFonts w:cs="Calibri"/>
                <w:bCs/>
                <w:szCs w:val="22"/>
              </w:rPr>
              <w:t>Lisa Thompson, JAG Designs.</w:t>
            </w:r>
          </w:p>
          <w:p w:rsidR="00A416E0" w:rsidRPr="00A416E0" w:rsidRDefault="00A416E0" w:rsidP="00B74A48">
            <w:pPr>
              <w:autoSpaceDE w:val="0"/>
              <w:autoSpaceDN w:val="0"/>
              <w:adjustRightInd w:val="0"/>
              <w:spacing w:before="0" w:after="0"/>
              <w:rPr>
                <w:rFonts w:cs="Calibri"/>
                <w:szCs w:val="22"/>
              </w:rPr>
            </w:pPr>
            <w:r w:rsidRPr="00A416E0">
              <w:rPr>
                <w:rFonts w:cs="Calibri"/>
                <w:b/>
                <w:bCs/>
                <w:szCs w:val="22"/>
              </w:rPr>
              <w:t>Printing:</w:t>
            </w:r>
            <w:r>
              <w:rPr>
                <w:rFonts w:cs="Calibri"/>
                <w:bCs/>
                <w:szCs w:val="22"/>
              </w:rPr>
              <w:t xml:space="preserve"> Paragon</w:t>
            </w:r>
            <w:r w:rsidR="000F2069">
              <w:rPr>
                <w:rFonts w:cs="Calibri"/>
                <w:bCs/>
                <w:szCs w:val="22"/>
              </w:rPr>
              <w:t xml:space="preserve"> </w:t>
            </w:r>
            <w:r w:rsidR="000F2069" w:rsidRPr="000F2069">
              <w:rPr>
                <w:rFonts w:cs="Calibri"/>
                <w:bCs/>
                <w:szCs w:val="22"/>
              </w:rPr>
              <w:t xml:space="preserve">Australasia Group  </w:t>
            </w:r>
            <w:r w:rsidR="000F2069">
              <w:rPr>
                <w:rFonts w:cs="Calibri"/>
                <w:bCs/>
                <w:szCs w:val="22"/>
              </w:rPr>
              <w:t xml:space="preserve"> </w:t>
            </w:r>
            <w:r>
              <w:rPr>
                <w:rFonts w:cs="Calibri"/>
                <w:bCs/>
                <w:szCs w:val="22"/>
              </w:rPr>
              <w:t>.</w:t>
            </w:r>
          </w:p>
          <w:p w:rsidR="00B74A48" w:rsidRPr="00434C70" w:rsidRDefault="00B74A48" w:rsidP="00B74A48">
            <w:pPr>
              <w:autoSpaceDE w:val="0"/>
              <w:autoSpaceDN w:val="0"/>
              <w:adjustRightInd w:val="0"/>
              <w:spacing w:before="0" w:after="0"/>
              <w:rPr>
                <w:rFonts w:cs="Calibri"/>
                <w:szCs w:val="22"/>
              </w:rPr>
            </w:pPr>
            <w:r w:rsidRPr="00434C70">
              <w:rPr>
                <w:rFonts w:cs="Calibri"/>
                <w:b/>
                <w:bCs/>
                <w:szCs w:val="22"/>
              </w:rPr>
              <w:t xml:space="preserve">Published by: </w:t>
            </w:r>
            <w:r w:rsidRPr="00434C70">
              <w:rPr>
                <w:rFonts w:cs="Calibri"/>
                <w:szCs w:val="22"/>
              </w:rPr>
              <w:t xml:space="preserve">The Close the Gap Campaign Steering </w:t>
            </w:r>
            <w:r w:rsidRPr="009E7CA8">
              <w:rPr>
                <w:rFonts w:cs="Calibri"/>
                <w:szCs w:val="22"/>
              </w:rPr>
              <w:t xml:space="preserve">Committee in </w:t>
            </w:r>
            <w:r w:rsidR="00A416E0" w:rsidRPr="009E7CA8">
              <w:rPr>
                <w:rFonts w:cs="Calibri"/>
                <w:szCs w:val="22"/>
              </w:rPr>
              <w:t>August</w:t>
            </w:r>
            <w:r w:rsidRPr="009E7CA8">
              <w:rPr>
                <w:rFonts w:cs="Calibri"/>
                <w:szCs w:val="22"/>
              </w:rPr>
              <w:t xml:space="preserve"> 2013</w:t>
            </w:r>
            <w:r w:rsidR="002B2115" w:rsidRPr="009E7CA8">
              <w:rPr>
                <w:rFonts w:cs="Calibri"/>
                <w:szCs w:val="22"/>
              </w:rPr>
              <w:t>.</w:t>
            </w:r>
          </w:p>
          <w:p w:rsidR="00B74A48" w:rsidRPr="00434C70" w:rsidRDefault="00B74A48" w:rsidP="00B74A48">
            <w:pPr>
              <w:autoSpaceDE w:val="0"/>
              <w:autoSpaceDN w:val="0"/>
              <w:adjustRightInd w:val="0"/>
              <w:spacing w:before="0" w:after="0"/>
              <w:rPr>
                <w:rFonts w:cs="Calibri"/>
                <w:szCs w:val="22"/>
              </w:rPr>
            </w:pPr>
            <w:r w:rsidRPr="00434C70">
              <w:rPr>
                <w:rFonts w:cs="Calibri"/>
                <w:szCs w:val="22"/>
              </w:rPr>
              <w:t xml:space="preserve">© Close the Gap Campaign Steering Committee for </w:t>
            </w:r>
            <w:r w:rsidR="000903C3" w:rsidRPr="000903C3">
              <w:rPr>
                <w:rFonts w:cs="Calibri"/>
                <w:szCs w:val="22"/>
              </w:rPr>
              <w:t xml:space="preserve">Aboriginal and Torres Strait Islander </w:t>
            </w:r>
            <w:r w:rsidR="002B2115">
              <w:rPr>
                <w:rFonts w:cs="Calibri"/>
                <w:szCs w:val="22"/>
              </w:rPr>
              <w:t>Health Equality, 2013.</w:t>
            </w:r>
          </w:p>
          <w:p w:rsidR="00B74A48" w:rsidRPr="00434C70" w:rsidRDefault="00B74A48" w:rsidP="00B74A48">
            <w:pPr>
              <w:autoSpaceDE w:val="0"/>
              <w:autoSpaceDN w:val="0"/>
              <w:adjustRightInd w:val="0"/>
              <w:spacing w:before="0" w:after="0"/>
              <w:rPr>
                <w:rFonts w:cs="Calibri"/>
                <w:szCs w:val="22"/>
              </w:rPr>
            </w:pPr>
            <w:r w:rsidRPr="00434C70">
              <w:rPr>
                <w:rFonts w:cs="Calibri"/>
                <w:szCs w:val="22"/>
              </w:rPr>
              <w:t>This work is licensed under the Creative Commons Attribution – Non</w:t>
            </w:r>
            <w:r w:rsidR="000903C3">
              <w:rPr>
                <w:rFonts w:cs="Calibri"/>
                <w:szCs w:val="22"/>
              </w:rPr>
              <w:t>-</w:t>
            </w:r>
            <w:r w:rsidRPr="00434C70">
              <w:rPr>
                <w:rFonts w:cs="Calibri"/>
                <w:szCs w:val="22"/>
              </w:rPr>
              <w:t xml:space="preserve">Commercial – </w:t>
            </w:r>
            <w:proofErr w:type="spellStart"/>
            <w:r w:rsidRPr="00434C70">
              <w:rPr>
                <w:rFonts w:cs="Calibri"/>
                <w:szCs w:val="22"/>
              </w:rPr>
              <w:t>ShareAlike</w:t>
            </w:r>
            <w:proofErr w:type="spellEnd"/>
            <w:r w:rsidRPr="00434C70">
              <w:rPr>
                <w:rFonts w:cs="Calibri"/>
                <w:szCs w:val="22"/>
              </w:rPr>
              <w:t xml:space="preserve"> 2.5 Australia License. To view a copy of this license, visit: http://creativecommons.org/licenses/by-nc-sa/2.5/au or send a letter to Creative Commons, 171 Second Street, Suite 300, </w:t>
            </w:r>
            <w:proofErr w:type="gramStart"/>
            <w:r w:rsidRPr="00434C70">
              <w:rPr>
                <w:rFonts w:cs="Calibri"/>
                <w:szCs w:val="22"/>
              </w:rPr>
              <w:t>San</w:t>
            </w:r>
            <w:proofErr w:type="gramEnd"/>
            <w:r w:rsidRPr="00434C70">
              <w:rPr>
                <w:rFonts w:cs="Calibri"/>
                <w:szCs w:val="22"/>
              </w:rPr>
              <w:t xml:space="preserve"> Fra</w:t>
            </w:r>
            <w:r w:rsidR="002B2115">
              <w:rPr>
                <w:rFonts w:cs="Calibri"/>
                <w:szCs w:val="22"/>
              </w:rPr>
              <w:t>ncisco, California, 94105, USA.</w:t>
            </w:r>
          </w:p>
          <w:p w:rsidR="00B74A48" w:rsidRPr="00434C70" w:rsidRDefault="00B74A48" w:rsidP="00B74A48">
            <w:pPr>
              <w:autoSpaceDE w:val="0"/>
              <w:autoSpaceDN w:val="0"/>
              <w:adjustRightInd w:val="0"/>
              <w:spacing w:before="0" w:after="0"/>
              <w:rPr>
                <w:rFonts w:cs="Calibri"/>
                <w:szCs w:val="22"/>
              </w:rPr>
            </w:pPr>
            <w:r w:rsidRPr="00434C70">
              <w:rPr>
                <w:rFonts w:cs="Calibri"/>
                <w:szCs w:val="22"/>
              </w:rPr>
              <w:t xml:space="preserve">Copies of this report and more information are available to download at: </w:t>
            </w:r>
            <w:hyperlink r:id="rId11" w:history="1">
              <w:r w:rsidRPr="00434C70">
                <w:rPr>
                  <w:rFonts w:cs="Calibri"/>
                  <w:color w:val="0000FF"/>
                  <w:szCs w:val="22"/>
                  <w:u w:val="single"/>
                </w:rPr>
                <w:t>www.humanrights.gov.au/social_justice/health/index.html</w:t>
              </w:r>
            </w:hyperlink>
            <w:r w:rsidR="002B2115">
              <w:rPr>
                <w:rFonts w:cs="Calibri"/>
                <w:szCs w:val="22"/>
              </w:rPr>
              <w:t xml:space="preserve"> </w:t>
            </w:r>
            <w:r w:rsidRPr="00434C70">
              <w:rPr>
                <w:rFonts w:cs="Calibri"/>
                <w:szCs w:val="22"/>
              </w:rPr>
              <w:t xml:space="preserve">and </w:t>
            </w:r>
            <w:hyperlink r:id="rId12" w:history="1">
              <w:r w:rsidRPr="00434C70">
                <w:rPr>
                  <w:rFonts w:cs="Calibri"/>
                  <w:color w:val="0000FF"/>
                  <w:szCs w:val="22"/>
                  <w:u w:val="single"/>
                </w:rPr>
                <w:t>http://www.oxfam.org.au/closethegap</w:t>
              </w:r>
            </w:hyperlink>
            <w:r w:rsidR="002B2115">
              <w:rPr>
                <w:rFonts w:cs="Calibri"/>
                <w:szCs w:val="22"/>
              </w:rPr>
              <w:t>.</w:t>
            </w:r>
          </w:p>
          <w:p w:rsidR="00B74A48" w:rsidRPr="00434C70" w:rsidRDefault="00B74A48" w:rsidP="00B74A48">
            <w:pPr>
              <w:tabs>
                <w:tab w:val="left" w:pos="2391"/>
              </w:tabs>
              <w:autoSpaceDE w:val="0"/>
              <w:autoSpaceDN w:val="0"/>
              <w:adjustRightInd w:val="0"/>
              <w:spacing w:before="0" w:after="0"/>
              <w:rPr>
                <w:rFonts w:cs="Calibri"/>
                <w:szCs w:val="22"/>
              </w:rPr>
            </w:pPr>
          </w:p>
          <w:p w:rsidR="00B74A48" w:rsidRPr="00434C70" w:rsidRDefault="00B74A48" w:rsidP="00B74A48">
            <w:pPr>
              <w:spacing w:before="0" w:after="0"/>
              <w:ind w:right="576"/>
              <w:contextualSpacing/>
              <w:rPr>
                <w:rFonts w:cs="Calibri"/>
                <w:i/>
                <w:iCs/>
                <w:szCs w:val="22"/>
              </w:rPr>
            </w:pPr>
            <w:r w:rsidRPr="00434C70">
              <w:rPr>
                <w:rFonts w:cs="Calibri"/>
                <w:i/>
                <w:iCs/>
                <w:szCs w:val="22"/>
              </w:rPr>
              <w:t>Aboriginal and Torres Strait Islander people should be aware that this document may contain images or names of people who have since passed away.</w:t>
            </w:r>
          </w:p>
        </w:tc>
      </w:tr>
    </w:tbl>
    <w:p w:rsidR="00B94B9A" w:rsidRDefault="00B94B9A" w:rsidP="00B74A48">
      <w:pPr>
        <w:rPr>
          <w:rFonts w:eastAsia="Calibri" w:cs="Calibri"/>
          <w:b/>
          <w:color w:val="000000"/>
          <w:spacing w:val="-4"/>
          <w:szCs w:val="22"/>
          <w:lang w:val="en-US" w:eastAsia="en-US"/>
        </w:rPr>
      </w:pPr>
    </w:p>
    <w:p w:rsidR="00B74A48" w:rsidRPr="00A21475" w:rsidRDefault="00B74A48" w:rsidP="00B74A48">
      <w:pPr>
        <w:rPr>
          <w:rFonts w:eastAsia="Calibri" w:cs="Calibri"/>
          <w:b/>
          <w:color w:val="000000"/>
          <w:spacing w:val="-4"/>
          <w:szCs w:val="22"/>
          <w:lang w:val="en-US" w:eastAsia="en-US"/>
        </w:rPr>
      </w:pPr>
      <w:r w:rsidRPr="00A21475">
        <w:rPr>
          <w:rFonts w:eastAsia="Calibri" w:cs="Calibri"/>
          <w:b/>
          <w:color w:val="000000"/>
          <w:spacing w:val="-4"/>
          <w:szCs w:val="22"/>
          <w:lang w:val="en-US" w:eastAsia="en-US"/>
        </w:rPr>
        <w:t>Clarificat</w:t>
      </w:r>
      <w:r w:rsidR="005B7CD8">
        <w:rPr>
          <w:rFonts w:eastAsia="Calibri" w:cs="Calibri"/>
          <w:b/>
          <w:color w:val="000000"/>
          <w:spacing w:val="-4"/>
          <w:szCs w:val="22"/>
          <w:lang w:val="en-US" w:eastAsia="en-US"/>
        </w:rPr>
        <w:t>ion of the terms “Close the Gap” and “Closing the Gap”</w:t>
      </w:r>
    </w:p>
    <w:p w:rsidR="00B74A48" w:rsidRPr="00A21475" w:rsidRDefault="005B7CD8" w:rsidP="00B74A48">
      <w:pPr>
        <w:ind w:right="360"/>
        <w:rPr>
          <w:rFonts w:eastAsia="Calibri" w:cs="Calibri"/>
          <w:color w:val="000000"/>
          <w:szCs w:val="22"/>
          <w:lang w:val="en-US" w:eastAsia="en-US"/>
        </w:rPr>
      </w:pPr>
      <w:r>
        <w:rPr>
          <w:rFonts w:eastAsia="Calibri" w:cs="Calibri"/>
          <w:color w:val="000000"/>
          <w:szCs w:val="22"/>
          <w:lang w:val="en-US" w:eastAsia="en-US"/>
        </w:rPr>
        <w:t>“Close the Gap”</w:t>
      </w:r>
      <w:r w:rsidR="00B74A48" w:rsidRPr="00A21475">
        <w:rPr>
          <w:rFonts w:eastAsia="Calibri" w:cs="Calibri"/>
          <w:color w:val="000000"/>
          <w:szCs w:val="22"/>
          <w:lang w:val="en-US" w:eastAsia="en-US"/>
        </w:rPr>
        <w:t xml:space="preserve"> was adopted as the name of the human rights based campaign for Aboriginal and Torres Strait Islander health equality led by the Campaign Steeri</w:t>
      </w:r>
      <w:r>
        <w:rPr>
          <w:rFonts w:eastAsia="Calibri" w:cs="Calibri"/>
          <w:color w:val="000000"/>
          <w:szCs w:val="22"/>
          <w:lang w:val="en-US" w:eastAsia="en-US"/>
        </w:rPr>
        <w:t>ng Committee in 2006. The term “</w:t>
      </w:r>
      <w:r w:rsidR="00B74A48" w:rsidRPr="00A21475">
        <w:rPr>
          <w:rFonts w:eastAsia="Calibri" w:cs="Calibri"/>
          <w:color w:val="000000"/>
          <w:szCs w:val="22"/>
          <w:lang w:val="en-US" w:eastAsia="en-US"/>
        </w:rPr>
        <w:t>clo</w:t>
      </w:r>
      <w:r>
        <w:rPr>
          <w:rFonts w:eastAsia="Calibri" w:cs="Calibri"/>
          <w:color w:val="000000"/>
          <w:szCs w:val="22"/>
          <w:lang w:val="en-US" w:eastAsia="en-US"/>
        </w:rPr>
        <w:t>sing the gap”</w:t>
      </w:r>
      <w:r w:rsidR="00B74A48" w:rsidRPr="00A21475">
        <w:rPr>
          <w:rFonts w:eastAsia="Calibri" w:cs="Calibri"/>
          <w:color w:val="000000"/>
          <w:szCs w:val="22"/>
          <w:lang w:val="en-US" w:eastAsia="en-US"/>
        </w:rPr>
        <w:t xml:space="preserve"> entered the policy lexicon as a result of Campaign's activities and has since been used to tag COAG and Australian Government Aboriginal and Torres Strait Islander policy-specific initiatives aimed at reducing disadvantage </w:t>
      </w:r>
      <w:r w:rsidR="00B74A48" w:rsidRPr="00A21475">
        <w:rPr>
          <w:rFonts w:cs="Calibri"/>
          <w:bCs/>
          <w:szCs w:val="22"/>
        </w:rPr>
        <w:t xml:space="preserve">— </w:t>
      </w:r>
      <w:r w:rsidR="00B74A48" w:rsidRPr="00A21475">
        <w:rPr>
          <w:rFonts w:eastAsia="Calibri" w:cs="Calibri"/>
          <w:color w:val="000000"/>
          <w:szCs w:val="22"/>
          <w:lang w:val="en-US" w:eastAsia="en-US"/>
        </w:rPr>
        <w:t xml:space="preserve">from the COAG Closing the Gap Targets to the </w:t>
      </w:r>
      <w:r w:rsidR="00B74A48" w:rsidRPr="00A21475">
        <w:rPr>
          <w:rFonts w:eastAsia="Calibri" w:cs="Calibri"/>
          <w:i/>
          <w:color w:val="000000"/>
          <w:szCs w:val="22"/>
          <w:lang w:val="en-US" w:eastAsia="en-US"/>
        </w:rPr>
        <w:t>National Partnership Agreement to Closing the Gap on Indigenous Health Outcomes</w:t>
      </w:r>
      <w:r w:rsidR="00B74A48" w:rsidRPr="00A21475">
        <w:rPr>
          <w:rFonts w:eastAsia="Calibri" w:cs="Calibri"/>
          <w:color w:val="000000"/>
          <w:szCs w:val="22"/>
          <w:lang w:val="en-US" w:eastAsia="en-US"/>
        </w:rPr>
        <w:t>.</w:t>
      </w:r>
    </w:p>
    <w:p w:rsidR="00B74A48" w:rsidRDefault="00B74A48" w:rsidP="00A416E0">
      <w:pPr>
        <w:ind w:right="216"/>
        <w:rPr>
          <w:rFonts w:eastAsia="Calibri" w:cs="Calibri"/>
          <w:color w:val="000000"/>
          <w:szCs w:val="22"/>
          <w:lang w:val="en-US" w:eastAsia="en-US"/>
        </w:rPr>
      </w:pPr>
      <w:r w:rsidRPr="00A21475">
        <w:rPr>
          <w:rFonts w:eastAsia="Calibri" w:cs="Calibri"/>
          <w:color w:val="000000"/>
          <w:szCs w:val="22"/>
          <w:lang w:val="en-US" w:eastAsia="en-US"/>
        </w:rPr>
        <w:t>As a general rule, any initiative with "clos</w:t>
      </w:r>
      <w:r w:rsidRPr="00A21475">
        <w:rPr>
          <w:rFonts w:eastAsia="Calibri" w:cs="Calibri"/>
          <w:color w:val="000000"/>
          <w:szCs w:val="22"/>
          <w:u w:val="single"/>
          <w:lang w:val="en-US" w:eastAsia="en-US"/>
        </w:rPr>
        <w:t>ing</w:t>
      </w:r>
      <w:r w:rsidRPr="00A21475">
        <w:rPr>
          <w:rFonts w:eastAsia="Calibri" w:cs="Calibri"/>
          <w:color w:val="000000"/>
          <w:szCs w:val="22"/>
          <w:lang w:val="en-US" w:eastAsia="en-US"/>
        </w:rPr>
        <w:t xml:space="preserve"> the gap" in the title is an Australian Government or COAG initiative. There is a very important difference in the meaning and intention between 'close the gap' and 'closing the gap' and it is important to note that closing the gap does not necessarily reflect the human rights-based approach of the Close the Gap Campaign, nor does the use of the term reflect an endorsement of them by the </w:t>
      </w:r>
      <w:r w:rsidR="000903C3" w:rsidRPr="000903C3">
        <w:rPr>
          <w:rFonts w:eastAsia="Calibri" w:cs="Calibri"/>
          <w:color w:val="000000"/>
          <w:szCs w:val="22"/>
          <w:lang w:val="en-US" w:eastAsia="en-US"/>
        </w:rPr>
        <w:t xml:space="preserve">Close the Gap </w:t>
      </w:r>
      <w:r w:rsidRPr="00A21475">
        <w:rPr>
          <w:rFonts w:eastAsia="Calibri" w:cs="Calibri"/>
          <w:color w:val="000000"/>
          <w:szCs w:val="22"/>
          <w:lang w:val="en-US" w:eastAsia="en-US"/>
        </w:rPr>
        <w:t>Campaign Steering Committee.</w:t>
      </w:r>
    </w:p>
    <w:sectPr w:rsidR="00B74A48" w:rsidSect="00CE7182">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F8" w:rsidRDefault="00D308F8" w:rsidP="00F14C6D">
      <w:r>
        <w:separator/>
      </w:r>
    </w:p>
  </w:endnote>
  <w:endnote w:type="continuationSeparator" w:id="0">
    <w:p w:rsidR="00D308F8" w:rsidRDefault="00D308F8" w:rsidP="00F14C6D">
      <w:r>
        <w:continuationSeparator/>
      </w:r>
    </w:p>
  </w:endnote>
  <w:endnote w:id="1">
    <w:p w:rsidR="008D2928" w:rsidRPr="008D2928" w:rsidRDefault="008D2928">
      <w:pPr>
        <w:pStyle w:val="EndnoteText"/>
      </w:pPr>
      <w:r w:rsidRPr="008D2928">
        <w:rPr>
          <w:rStyle w:val="EndnoteReference"/>
        </w:rPr>
        <w:endnoteRef/>
      </w:r>
      <w:r w:rsidRPr="008D2928">
        <w:t xml:space="preserve"> The Close the Gap Campaign is driven by a Steering Committee of health and human rights bodies and an independent Secretariat that is member funded. Importantly the Campaign is a community initiative. Australians from across the length and breadth of the country have got behind and support the Campaign’s goals to achieve health equality by 2030. </w:t>
      </w:r>
    </w:p>
  </w:endnote>
  <w:endnote w:id="2">
    <w:p w:rsidR="008D2928" w:rsidRPr="008D2928" w:rsidRDefault="008D2928" w:rsidP="003B04C8">
      <w:pPr>
        <w:pStyle w:val="EndnoteText"/>
        <w:rPr>
          <w:rFonts w:asciiTheme="minorHAnsi" w:hAnsiTheme="minorHAnsi" w:cstheme="minorHAnsi"/>
        </w:rPr>
      </w:pPr>
      <w:r w:rsidRPr="008D2928">
        <w:rPr>
          <w:rStyle w:val="EndnoteReference"/>
          <w:rFonts w:asciiTheme="minorHAnsi" w:hAnsiTheme="minorHAnsi" w:cstheme="minorHAnsi"/>
        </w:rPr>
        <w:endnoteRef/>
      </w:r>
      <w:r w:rsidRPr="008D2928">
        <w:rPr>
          <w:rFonts w:asciiTheme="minorHAnsi" w:hAnsiTheme="minorHAnsi" w:cstheme="minorHAnsi"/>
        </w:rPr>
        <w:t xml:space="preserve"> See </w:t>
      </w:r>
      <w:hyperlink r:id="rId1" w:anchor="shadow" w:history="1">
        <w:r w:rsidRPr="008D2928">
          <w:rPr>
            <w:rStyle w:val="Hyperlink"/>
            <w:rFonts w:asciiTheme="minorHAnsi" w:hAnsiTheme="minorHAnsi" w:cstheme="minorHAnsi"/>
          </w:rPr>
          <w:t>http://www.humanrights.gov.au//close-gap-indigenous-health-campaign#shadow</w:t>
        </w:r>
      </w:hyperlink>
      <w:r w:rsidRPr="008D2928">
        <w:rPr>
          <w:rFonts w:asciiTheme="minorHAnsi" w:hAnsiTheme="minorHAnsi" w:cstheme="minorHAnsi"/>
        </w:rPr>
        <w:t xml:space="preserve">. </w:t>
      </w:r>
    </w:p>
  </w:endnote>
  <w:endnote w:id="3">
    <w:p w:rsidR="008D2928" w:rsidRPr="008D2928" w:rsidRDefault="008D2928" w:rsidP="003B04C8">
      <w:pPr>
        <w:pStyle w:val="EndnoteText"/>
        <w:rPr>
          <w:rFonts w:asciiTheme="minorHAnsi" w:hAnsiTheme="minorHAnsi" w:cstheme="minorHAnsi"/>
        </w:rPr>
      </w:pPr>
      <w:r w:rsidRPr="008D2928">
        <w:rPr>
          <w:rStyle w:val="EndnoteReference"/>
          <w:rFonts w:asciiTheme="minorHAnsi" w:hAnsiTheme="minorHAnsi" w:cstheme="minorHAnsi"/>
        </w:rPr>
        <w:endnoteRef/>
      </w:r>
      <w:r w:rsidRPr="008D2928">
        <w:rPr>
          <w:rFonts w:asciiTheme="minorHAnsi" w:hAnsiTheme="minorHAnsi" w:cstheme="minorHAnsi"/>
        </w:rPr>
        <w:t xml:space="preserve"> Including on </w:t>
      </w:r>
      <w:r w:rsidRPr="008D2928">
        <w:rPr>
          <w:rFonts w:asciiTheme="minorHAnsi" w:hAnsiTheme="minorHAnsi" w:cstheme="minorHAnsi"/>
          <w:color w:val="000000"/>
        </w:rPr>
        <w:t>health, housing, employment and education as indicated by progress against the COAG Closing the Gap Targets. The first report was delivered in February 2009 and the second in March 2010. Prime Minister Julia Gillard delivered her first report in February 2011.</w:t>
      </w:r>
      <w:r>
        <w:rPr>
          <w:rFonts w:asciiTheme="minorHAnsi" w:hAnsiTheme="minorHAnsi" w:cstheme="minorHAnsi"/>
          <w:color w:val="000000"/>
        </w:rPr>
        <w:t xml:space="preserve"> See Page 8 for more detail.</w:t>
      </w:r>
    </w:p>
  </w:endnote>
  <w:endnote w:id="4">
    <w:p w:rsidR="008D2928" w:rsidRPr="008D2928" w:rsidRDefault="008D2928" w:rsidP="00B74A48">
      <w:pPr>
        <w:spacing w:before="0" w:after="0"/>
        <w:rPr>
          <w:rFonts w:asciiTheme="minorHAnsi" w:hAnsiTheme="minorHAnsi" w:cstheme="minorHAnsi"/>
          <w:sz w:val="20"/>
          <w:szCs w:val="20"/>
        </w:rPr>
      </w:pPr>
      <w:r w:rsidRPr="008D2928">
        <w:rPr>
          <w:rStyle w:val="EndnoteReference"/>
          <w:rFonts w:asciiTheme="minorHAnsi" w:hAnsiTheme="minorHAnsi" w:cstheme="minorHAnsi"/>
          <w:szCs w:val="20"/>
        </w:rPr>
        <w:endnoteRef/>
      </w:r>
      <w:r w:rsidRPr="008D2928">
        <w:rPr>
          <w:rFonts w:asciiTheme="minorHAnsi" w:hAnsiTheme="minorHAnsi" w:cstheme="minorHAnsi"/>
          <w:sz w:val="20"/>
          <w:szCs w:val="20"/>
        </w:rPr>
        <w:t xml:space="preserve"> Aboriginal and Torres Strait Islander Commissioner, </w:t>
      </w:r>
      <w:r w:rsidRPr="008D2928">
        <w:rPr>
          <w:rFonts w:asciiTheme="minorHAnsi" w:hAnsiTheme="minorHAnsi" w:cstheme="minorHAnsi"/>
          <w:i/>
          <w:sz w:val="20"/>
          <w:szCs w:val="20"/>
        </w:rPr>
        <w:t>Social Justice Report 2005</w:t>
      </w:r>
      <w:r w:rsidRPr="008D2928">
        <w:rPr>
          <w:rFonts w:asciiTheme="minorHAnsi" w:hAnsiTheme="minorHAnsi" w:cstheme="minorHAnsi"/>
          <w:sz w:val="20"/>
          <w:szCs w:val="20"/>
        </w:rPr>
        <w:t xml:space="preserve">, Human Rights and Equal Opportunity Commission, 2005, chapter 2. Available online at: </w:t>
      </w:r>
      <w:hyperlink r:id="rId2" w:history="1">
        <w:r w:rsidRPr="008D2928">
          <w:rPr>
            <w:rStyle w:val="Hyperlink"/>
            <w:rFonts w:asciiTheme="minorHAnsi" w:hAnsiTheme="minorHAnsi" w:cstheme="minorHAnsi"/>
            <w:sz w:val="20"/>
            <w:szCs w:val="20"/>
          </w:rPr>
          <w:t>http://www.humanrights.gov.au/social_justice/sj_report/sjreport05/index.html</w:t>
        </w:r>
      </w:hyperlink>
      <w:r w:rsidRPr="008D2928">
        <w:rPr>
          <w:rFonts w:asciiTheme="minorHAnsi" w:hAnsiTheme="minorHAnsi" w:cstheme="minorHAnsi"/>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F8" w:rsidRDefault="00D308F8" w:rsidP="00CE7182">
    <w:pPr>
      <w:pStyle w:val="Footer"/>
      <w:spacing w:before="0"/>
    </w:pPr>
    <w:r>
      <w:fldChar w:fldCharType="begin"/>
    </w:r>
    <w:r>
      <w:instrText xml:space="preserve"> PAGE   \* MERGEFORMAT </w:instrText>
    </w:r>
    <w:r>
      <w:fldChar w:fldCharType="separate"/>
    </w:r>
    <w:r w:rsidR="008D292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F8" w:rsidRDefault="00D308F8" w:rsidP="00F14C6D">
      <w:r>
        <w:separator/>
      </w:r>
    </w:p>
  </w:footnote>
  <w:footnote w:type="continuationSeparator" w:id="0">
    <w:p w:rsidR="00D308F8" w:rsidRDefault="00D308F8"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F8" w:rsidRDefault="00D308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7834" o:spid="_x0000_s2050" type="#_x0000_t136" style="position:absolute;left:0;text-align:left;margin-left:0;margin-top:0;width:372pt;height:98.25pt;rotation:315;z-index:-251655168;mso-position-horizontal:center;mso-position-horizontal-relative:margin;mso-position-vertical:center;mso-position-vertical-relative:margin" o:allowincell="f" fillcolor="silver" stroked="f">
          <v:fill opacity=".5"/>
          <v:textpath style="font-family:&quot;Calibri&quot;;font-size:80pt" string="Embargo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F8" w:rsidRPr="00D308F8" w:rsidRDefault="00D308F8">
    <w:pPr>
      <w:pStyle w:val="Header"/>
      <w:rPr>
        <w:szCs w:val="22"/>
      </w:rPr>
    </w:pPr>
    <w:r w:rsidRPr="00D308F8">
      <w:rPr>
        <w:szCs w:val="22"/>
      </w:rPr>
      <w:t xml:space="preserve">Close the Gap Campaign </w:t>
    </w:r>
  </w:p>
  <w:p w:rsidR="00D308F8" w:rsidRPr="00D308F8" w:rsidRDefault="00D308F8">
    <w:pPr>
      <w:pStyle w:val="Header"/>
      <w:rPr>
        <w:b/>
        <w:i/>
        <w:szCs w:val="22"/>
      </w:rPr>
    </w:pPr>
    <w:r w:rsidRPr="00D308F8">
      <w:rPr>
        <w:b/>
        <w:i/>
        <w:szCs w:val="22"/>
      </w:rPr>
      <w:t>Building on the Close the Gap platform</w:t>
    </w:r>
  </w:p>
  <w:p w:rsidR="00D308F8" w:rsidRPr="00D308F8" w:rsidRDefault="00D308F8">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F8" w:rsidRDefault="00D308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7833" o:spid="_x0000_s2049" type="#_x0000_t136" style="position:absolute;left:0;text-align:left;margin-left:0;margin-top:0;width:372pt;height:98.25pt;rotation:315;z-index:-251657216;mso-position-horizontal:center;mso-position-horizontal-relative:margin;mso-position-vertical:center;mso-position-vertical-relative:margin" o:allowincell="f" fillcolor="silver" stroked="f">
          <v:fill opacity=".5"/>
          <v:textpath style="font-family:&quot;Calibri&quot;;font-size:80pt" string="Embargo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7E415A"/>
    <w:multiLevelType w:val="hybridMultilevel"/>
    <w:tmpl w:val="2CFE5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6E11C08"/>
    <w:multiLevelType w:val="hybridMultilevel"/>
    <w:tmpl w:val="470AC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Wingdings"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Wingdings" w:hint="default"/>
      </w:rPr>
    </w:lvl>
    <w:lvl w:ilvl="8" w:tplc="0C090005">
      <w:start w:val="1"/>
      <w:numFmt w:val="bullet"/>
      <w:lvlText w:val=""/>
      <w:lvlJc w:val="left"/>
      <w:pPr>
        <w:ind w:left="6480" w:hanging="360"/>
      </w:pPr>
      <w:rPr>
        <w:rFonts w:ascii="Wingdings" w:hAnsi="Wingdings" w:hint="default"/>
      </w:rPr>
    </w:lvl>
  </w:abstractNum>
  <w:abstractNum w:abstractNumId="13">
    <w:nsid w:val="083C19A0"/>
    <w:multiLevelType w:val="hybridMultilevel"/>
    <w:tmpl w:val="9FF2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FD374C"/>
    <w:multiLevelType w:val="hybridMultilevel"/>
    <w:tmpl w:val="14A8B58E"/>
    <w:lvl w:ilvl="0" w:tplc="012D0000">
      <w:start w:val="1"/>
      <w:numFmt w:val="bullet"/>
      <w:lvlText w:val="•"/>
      <w:lvlJc w:val="left"/>
      <w:pPr>
        <w:ind w:left="576"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10D5BB0"/>
    <w:multiLevelType w:val="hybridMultilevel"/>
    <w:tmpl w:val="64487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46B110F"/>
    <w:multiLevelType w:val="hybridMultilevel"/>
    <w:tmpl w:val="4D80A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24F5828"/>
    <w:multiLevelType w:val="hybridMultilevel"/>
    <w:tmpl w:val="DE16906C"/>
    <w:lvl w:ilvl="0" w:tplc="0C090001">
      <w:start w:val="1"/>
      <w:numFmt w:val="bullet"/>
      <w:lvlText w:val=""/>
      <w:lvlJc w:val="left"/>
      <w:pPr>
        <w:ind w:left="720" w:hanging="360"/>
      </w:pPr>
      <w:rPr>
        <w:rFonts w:ascii="Symbol" w:hAnsi="Symbol" w:hint="default"/>
      </w:rPr>
    </w:lvl>
    <w:lvl w:ilvl="1" w:tplc="7C20F054">
      <w:start w:val="1"/>
      <w:numFmt w:val="bullet"/>
      <w:lvlText w:val=""/>
      <w:lvlJc w:val="left"/>
      <w:pPr>
        <w:tabs>
          <w:tab w:val="num" w:pos="1440"/>
        </w:tabs>
        <w:ind w:left="1440" w:hanging="360"/>
      </w:pPr>
      <w:rPr>
        <w:rFonts w:ascii="Symbol" w:eastAsia="Times New Roman"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4A401F"/>
    <w:multiLevelType w:val="hybridMultilevel"/>
    <w:tmpl w:val="36327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E984C54"/>
    <w:multiLevelType w:val="hybridMultilevel"/>
    <w:tmpl w:val="0672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3A917D64"/>
    <w:multiLevelType w:val="hybridMultilevel"/>
    <w:tmpl w:val="5DA88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E460DD"/>
    <w:multiLevelType w:val="hybridMultilevel"/>
    <w:tmpl w:val="B2E2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2033A7C"/>
    <w:multiLevelType w:val="hybridMultilevel"/>
    <w:tmpl w:val="CB1CAEAA"/>
    <w:lvl w:ilvl="0" w:tplc="012D0000">
      <w:start w:val="1"/>
      <w:numFmt w:val="bullet"/>
      <w:lvlText w:val="•"/>
      <w:lvlJc w:val="left"/>
      <w:pPr>
        <w:ind w:left="72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9297EA2"/>
    <w:multiLevelType w:val="multilevel"/>
    <w:tmpl w:val="A016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E833D86"/>
    <w:multiLevelType w:val="hybridMultilevel"/>
    <w:tmpl w:val="59DE3686"/>
    <w:lvl w:ilvl="0" w:tplc="012D0000">
      <w:start w:val="1"/>
      <w:numFmt w:val="bullet"/>
      <w:lvlText w:val="•"/>
      <w:lvlJc w:val="left"/>
      <w:pPr>
        <w:ind w:left="576" w:hanging="360"/>
      </w:p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36">
    <w:nsid w:val="4F6B7BD7"/>
    <w:multiLevelType w:val="hybridMultilevel"/>
    <w:tmpl w:val="7EC25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nsid w:val="50021AF6"/>
    <w:multiLevelType w:val="hybridMultilevel"/>
    <w:tmpl w:val="DF206C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4C556A5"/>
    <w:multiLevelType w:val="hybridMultilevel"/>
    <w:tmpl w:val="5BAC5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79F257D"/>
    <w:multiLevelType w:val="hybridMultilevel"/>
    <w:tmpl w:val="ACF23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A646703"/>
    <w:multiLevelType w:val="hybridMultilevel"/>
    <w:tmpl w:val="57CA5DBE"/>
    <w:lvl w:ilvl="0" w:tplc="012D0000">
      <w:start w:val="1"/>
      <w:numFmt w:val="bullet"/>
      <w:lvlText w:val="•"/>
      <w:lvlJc w:val="left"/>
      <w:pPr>
        <w:ind w:left="576"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FAD457E"/>
    <w:multiLevelType w:val="hybridMultilevel"/>
    <w:tmpl w:val="76A05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4">
    <w:nsid w:val="71E648A0"/>
    <w:multiLevelType w:val="hybridMultilevel"/>
    <w:tmpl w:val="B838D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27"/>
  </w:num>
  <w:num w:numId="13">
    <w:abstractNumId w:val="19"/>
  </w:num>
  <w:num w:numId="14">
    <w:abstractNumId w:val="33"/>
  </w:num>
  <w:num w:numId="15">
    <w:abstractNumId w:val="22"/>
  </w:num>
  <w:num w:numId="16">
    <w:abstractNumId w:val="10"/>
  </w:num>
  <w:num w:numId="17">
    <w:abstractNumId w:val="4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1"/>
  </w:num>
  <w:num w:numId="21">
    <w:abstractNumId w:val="28"/>
  </w:num>
  <w:num w:numId="22">
    <w:abstractNumId w:val="1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43"/>
  </w:num>
  <w:num w:numId="28">
    <w:abstractNumId w:val="12"/>
  </w:num>
  <w:num w:numId="29">
    <w:abstractNumId w:val="35"/>
  </w:num>
  <w:num w:numId="30">
    <w:abstractNumId w:val="26"/>
  </w:num>
  <w:num w:numId="31">
    <w:abstractNumId w:val="21"/>
  </w:num>
  <w:num w:numId="32">
    <w:abstractNumId w:val="30"/>
  </w:num>
  <w:num w:numId="33">
    <w:abstractNumId w:val="20"/>
  </w:num>
  <w:num w:numId="34">
    <w:abstractNumId w:val="38"/>
  </w:num>
  <w:num w:numId="35">
    <w:abstractNumId w:val="29"/>
  </w:num>
  <w:num w:numId="36">
    <w:abstractNumId w:val="42"/>
  </w:num>
  <w:num w:numId="37">
    <w:abstractNumId w:val="17"/>
  </w:num>
  <w:num w:numId="38">
    <w:abstractNumId w:val="44"/>
  </w:num>
  <w:num w:numId="39">
    <w:abstractNumId w:val="11"/>
  </w:num>
  <w:num w:numId="40">
    <w:abstractNumId w:val="14"/>
  </w:num>
  <w:num w:numId="41">
    <w:abstractNumId w:val="41"/>
  </w:num>
  <w:num w:numId="42">
    <w:abstractNumId w:val="32"/>
  </w:num>
  <w:num w:numId="43">
    <w:abstractNumId w:val="40"/>
  </w:num>
  <w:num w:numId="44">
    <w:abstractNumId w:val="23"/>
  </w:num>
  <w:num w:numId="45">
    <w:abstractNumId w:val="16"/>
  </w:num>
  <w:num w:numId="46">
    <w:abstractNumId w:val="36"/>
  </w:num>
  <w:num w:numId="47">
    <w:abstractNumId w:val="39"/>
  </w:num>
  <w:num w:numId="4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AA"/>
    <w:rsid w:val="000018E2"/>
    <w:rsid w:val="0000506D"/>
    <w:rsid w:val="000061C1"/>
    <w:rsid w:val="000063A2"/>
    <w:rsid w:val="0001254B"/>
    <w:rsid w:val="00013272"/>
    <w:rsid w:val="00013923"/>
    <w:rsid w:val="00021134"/>
    <w:rsid w:val="0002532F"/>
    <w:rsid w:val="00030648"/>
    <w:rsid w:val="000349A8"/>
    <w:rsid w:val="000365F6"/>
    <w:rsid w:val="00042009"/>
    <w:rsid w:val="00044502"/>
    <w:rsid w:val="00044DBF"/>
    <w:rsid w:val="00051DA7"/>
    <w:rsid w:val="000540A0"/>
    <w:rsid w:val="000579B1"/>
    <w:rsid w:val="00060C43"/>
    <w:rsid w:val="000619F8"/>
    <w:rsid w:val="00064E31"/>
    <w:rsid w:val="0007241A"/>
    <w:rsid w:val="00074750"/>
    <w:rsid w:val="000749BE"/>
    <w:rsid w:val="00074A80"/>
    <w:rsid w:val="00074CD6"/>
    <w:rsid w:val="00076491"/>
    <w:rsid w:val="00076A18"/>
    <w:rsid w:val="00082B29"/>
    <w:rsid w:val="00082FF6"/>
    <w:rsid w:val="00084AAB"/>
    <w:rsid w:val="000903C3"/>
    <w:rsid w:val="000946D9"/>
    <w:rsid w:val="000A55F7"/>
    <w:rsid w:val="000A6086"/>
    <w:rsid w:val="000B070F"/>
    <w:rsid w:val="000B0A5D"/>
    <w:rsid w:val="000B0ACB"/>
    <w:rsid w:val="000B7B67"/>
    <w:rsid w:val="000C0377"/>
    <w:rsid w:val="000C4467"/>
    <w:rsid w:val="000C5B5D"/>
    <w:rsid w:val="000C6674"/>
    <w:rsid w:val="000E6174"/>
    <w:rsid w:val="000F2069"/>
    <w:rsid w:val="000F4AB2"/>
    <w:rsid w:val="000F5AB7"/>
    <w:rsid w:val="001011C8"/>
    <w:rsid w:val="00101EF3"/>
    <w:rsid w:val="00101F40"/>
    <w:rsid w:val="00132462"/>
    <w:rsid w:val="00140077"/>
    <w:rsid w:val="00140D05"/>
    <w:rsid w:val="00151177"/>
    <w:rsid w:val="001523D8"/>
    <w:rsid w:val="001566D4"/>
    <w:rsid w:val="00161DF7"/>
    <w:rsid w:val="00162A8D"/>
    <w:rsid w:val="00163097"/>
    <w:rsid w:val="00171311"/>
    <w:rsid w:val="00173ACA"/>
    <w:rsid w:val="00184098"/>
    <w:rsid w:val="001867A2"/>
    <w:rsid w:val="00192C05"/>
    <w:rsid w:val="00196509"/>
    <w:rsid w:val="001A03E7"/>
    <w:rsid w:val="001A3348"/>
    <w:rsid w:val="001A530F"/>
    <w:rsid w:val="001A5A55"/>
    <w:rsid w:val="001A5D46"/>
    <w:rsid w:val="001A766A"/>
    <w:rsid w:val="001B0353"/>
    <w:rsid w:val="001B0924"/>
    <w:rsid w:val="001B0D30"/>
    <w:rsid w:val="001B1820"/>
    <w:rsid w:val="001C139C"/>
    <w:rsid w:val="001C451B"/>
    <w:rsid w:val="001C6F57"/>
    <w:rsid w:val="001E1886"/>
    <w:rsid w:val="001E35D0"/>
    <w:rsid w:val="001E5895"/>
    <w:rsid w:val="001F2BBB"/>
    <w:rsid w:val="001F3EA4"/>
    <w:rsid w:val="001F4276"/>
    <w:rsid w:val="001F4A41"/>
    <w:rsid w:val="0020389A"/>
    <w:rsid w:val="0020759E"/>
    <w:rsid w:val="00207C09"/>
    <w:rsid w:val="002149EC"/>
    <w:rsid w:val="002174A0"/>
    <w:rsid w:val="00217619"/>
    <w:rsid w:val="002249BA"/>
    <w:rsid w:val="00226918"/>
    <w:rsid w:val="00231ED1"/>
    <w:rsid w:val="0023303F"/>
    <w:rsid w:val="00234671"/>
    <w:rsid w:val="00242A4C"/>
    <w:rsid w:val="0024300C"/>
    <w:rsid w:val="0024557E"/>
    <w:rsid w:val="0024648C"/>
    <w:rsid w:val="00247E86"/>
    <w:rsid w:val="0025051D"/>
    <w:rsid w:val="00254128"/>
    <w:rsid w:val="00265779"/>
    <w:rsid w:val="002702D9"/>
    <w:rsid w:val="00272EEC"/>
    <w:rsid w:val="002748BE"/>
    <w:rsid w:val="00276734"/>
    <w:rsid w:val="002779F9"/>
    <w:rsid w:val="002814E4"/>
    <w:rsid w:val="002828B5"/>
    <w:rsid w:val="0028406D"/>
    <w:rsid w:val="002968D3"/>
    <w:rsid w:val="002A4273"/>
    <w:rsid w:val="002B2115"/>
    <w:rsid w:val="002E046F"/>
    <w:rsid w:val="002F130A"/>
    <w:rsid w:val="002F23DD"/>
    <w:rsid w:val="002F35FB"/>
    <w:rsid w:val="003040CA"/>
    <w:rsid w:val="00310325"/>
    <w:rsid w:val="00310ED4"/>
    <w:rsid w:val="0031492A"/>
    <w:rsid w:val="00316504"/>
    <w:rsid w:val="00316C1A"/>
    <w:rsid w:val="00321AF0"/>
    <w:rsid w:val="0032589D"/>
    <w:rsid w:val="003378D1"/>
    <w:rsid w:val="00342AAA"/>
    <w:rsid w:val="00350FC5"/>
    <w:rsid w:val="00357E69"/>
    <w:rsid w:val="00360E7E"/>
    <w:rsid w:val="00361217"/>
    <w:rsid w:val="00364956"/>
    <w:rsid w:val="00377C8F"/>
    <w:rsid w:val="00380161"/>
    <w:rsid w:val="003931C7"/>
    <w:rsid w:val="003955AE"/>
    <w:rsid w:val="00395B25"/>
    <w:rsid w:val="003A2CFB"/>
    <w:rsid w:val="003A4100"/>
    <w:rsid w:val="003A533F"/>
    <w:rsid w:val="003A5630"/>
    <w:rsid w:val="003B04C8"/>
    <w:rsid w:val="003B18A7"/>
    <w:rsid w:val="003B336E"/>
    <w:rsid w:val="003B74BF"/>
    <w:rsid w:val="003D4C58"/>
    <w:rsid w:val="003E3E09"/>
    <w:rsid w:val="003E4486"/>
    <w:rsid w:val="003E612D"/>
    <w:rsid w:val="003E73DB"/>
    <w:rsid w:val="003F0CEE"/>
    <w:rsid w:val="003F634E"/>
    <w:rsid w:val="003F79BB"/>
    <w:rsid w:val="00401BD3"/>
    <w:rsid w:val="004162C3"/>
    <w:rsid w:val="004215B3"/>
    <w:rsid w:val="004224CA"/>
    <w:rsid w:val="004228C1"/>
    <w:rsid w:val="00422B16"/>
    <w:rsid w:val="00424DF5"/>
    <w:rsid w:val="00434C70"/>
    <w:rsid w:val="004372CF"/>
    <w:rsid w:val="00441E53"/>
    <w:rsid w:val="00444303"/>
    <w:rsid w:val="004561BE"/>
    <w:rsid w:val="0046084D"/>
    <w:rsid w:val="00462D4C"/>
    <w:rsid w:val="004642DD"/>
    <w:rsid w:val="00466ECA"/>
    <w:rsid w:val="00473DB9"/>
    <w:rsid w:val="00474063"/>
    <w:rsid w:val="00474667"/>
    <w:rsid w:val="00476190"/>
    <w:rsid w:val="00476702"/>
    <w:rsid w:val="00476EEA"/>
    <w:rsid w:val="00486A5E"/>
    <w:rsid w:val="00490D84"/>
    <w:rsid w:val="00494D4B"/>
    <w:rsid w:val="00494F6E"/>
    <w:rsid w:val="004A722D"/>
    <w:rsid w:val="004B0214"/>
    <w:rsid w:val="004B436D"/>
    <w:rsid w:val="004B43D6"/>
    <w:rsid w:val="004B4FD6"/>
    <w:rsid w:val="004C6A0A"/>
    <w:rsid w:val="004C7425"/>
    <w:rsid w:val="004D1C9B"/>
    <w:rsid w:val="004D1D57"/>
    <w:rsid w:val="004D249C"/>
    <w:rsid w:val="004D682A"/>
    <w:rsid w:val="004E4E91"/>
    <w:rsid w:val="004F53EF"/>
    <w:rsid w:val="00503E04"/>
    <w:rsid w:val="00504B28"/>
    <w:rsid w:val="0050697B"/>
    <w:rsid w:val="00512054"/>
    <w:rsid w:val="00513540"/>
    <w:rsid w:val="00522CED"/>
    <w:rsid w:val="005253DA"/>
    <w:rsid w:val="00544B20"/>
    <w:rsid w:val="005526DB"/>
    <w:rsid w:val="00554C04"/>
    <w:rsid w:val="0056457C"/>
    <w:rsid w:val="005826B3"/>
    <w:rsid w:val="00583FFB"/>
    <w:rsid w:val="005872A2"/>
    <w:rsid w:val="0059398A"/>
    <w:rsid w:val="005A43CB"/>
    <w:rsid w:val="005B1C5F"/>
    <w:rsid w:val="005B7515"/>
    <w:rsid w:val="005B7CD8"/>
    <w:rsid w:val="005C1654"/>
    <w:rsid w:val="005C1C05"/>
    <w:rsid w:val="005D04F4"/>
    <w:rsid w:val="005D159D"/>
    <w:rsid w:val="005D1A1E"/>
    <w:rsid w:val="005D1C71"/>
    <w:rsid w:val="005D1F34"/>
    <w:rsid w:val="005D2718"/>
    <w:rsid w:val="005D691F"/>
    <w:rsid w:val="005E104D"/>
    <w:rsid w:val="005F5F45"/>
    <w:rsid w:val="0060027B"/>
    <w:rsid w:val="0060052F"/>
    <w:rsid w:val="00601FA0"/>
    <w:rsid w:val="00602262"/>
    <w:rsid w:val="00604ECA"/>
    <w:rsid w:val="006124BA"/>
    <w:rsid w:val="00615260"/>
    <w:rsid w:val="00621E77"/>
    <w:rsid w:val="00623F27"/>
    <w:rsid w:val="00644897"/>
    <w:rsid w:val="00645D34"/>
    <w:rsid w:val="00663F6A"/>
    <w:rsid w:val="0067154A"/>
    <w:rsid w:val="006740C3"/>
    <w:rsid w:val="00683631"/>
    <w:rsid w:val="00690313"/>
    <w:rsid w:val="00696390"/>
    <w:rsid w:val="00697308"/>
    <w:rsid w:val="006A2B03"/>
    <w:rsid w:val="006A5137"/>
    <w:rsid w:val="006A67AE"/>
    <w:rsid w:val="006A6BB3"/>
    <w:rsid w:val="006B3680"/>
    <w:rsid w:val="006C4740"/>
    <w:rsid w:val="006C7136"/>
    <w:rsid w:val="006D471F"/>
    <w:rsid w:val="006D4A03"/>
    <w:rsid w:val="006D5EE5"/>
    <w:rsid w:val="006E06ED"/>
    <w:rsid w:val="006E06F5"/>
    <w:rsid w:val="006E703C"/>
    <w:rsid w:val="006F02F3"/>
    <w:rsid w:val="006F03B7"/>
    <w:rsid w:val="006F1731"/>
    <w:rsid w:val="006F516A"/>
    <w:rsid w:val="007017E1"/>
    <w:rsid w:val="007039FC"/>
    <w:rsid w:val="00706FAB"/>
    <w:rsid w:val="0070735D"/>
    <w:rsid w:val="00707754"/>
    <w:rsid w:val="00707793"/>
    <w:rsid w:val="007137E7"/>
    <w:rsid w:val="007144BA"/>
    <w:rsid w:val="007169BB"/>
    <w:rsid w:val="00716F91"/>
    <w:rsid w:val="007231FF"/>
    <w:rsid w:val="00725D5E"/>
    <w:rsid w:val="00726386"/>
    <w:rsid w:val="00737933"/>
    <w:rsid w:val="0073793F"/>
    <w:rsid w:val="007408CA"/>
    <w:rsid w:val="007548CA"/>
    <w:rsid w:val="00763A36"/>
    <w:rsid w:val="00770DCB"/>
    <w:rsid w:val="00775485"/>
    <w:rsid w:val="00781326"/>
    <w:rsid w:val="00781E6D"/>
    <w:rsid w:val="00782842"/>
    <w:rsid w:val="00783864"/>
    <w:rsid w:val="007841E1"/>
    <w:rsid w:val="00784401"/>
    <w:rsid w:val="00790871"/>
    <w:rsid w:val="00793D4F"/>
    <w:rsid w:val="007A2A99"/>
    <w:rsid w:val="007A7E6F"/>
    <w:rsid w:val="007B04C6"/>
    <w:rsid w:val="007D40BD"/>
    <w:rsid w:val="007E1866"/>
    <w:rsid w:val="007E5126"/>
    <w:rsid w:val="007E6434"/>
    <w:rsid w:val="007F3A39"/>
    <w:rsid w:val="00806039"/>
    <w:rsid w:val="00810ABF"/>
    <w:rsid w:val="008125EE"/>
    <w:rsid w:val="00812E02"/>
    <w:rsid w:val="008208B9"/>
    <w:rsid w:val="00826087"/>
    <w:rsid w:val="008314C0"/>
    <w:rsid w:val="00831E9E"/>
    <w:rsid w:val="0083209A"/>
    <w:rsid w:val="00841110"/>
    <w:rsid w:val="00852E7B"/>
    <w:rsid w:val="0085313E"/>
    <w:rsid w:val="0085533A"/>
    <w:rsid w:val="0085610A"/>
    <w:rsid w:val="00861846"/>
    <w:rsid w:val="008724DE"/>
    <w:rsid w:val="0087424A"/>
    <w:rsid w:val="00882157"/>
    <w:rsid w:val="008950EF"/>
    <w:rsid w:val="008A0125"/>
    <w:rsid w:val="008A2AF7"/>
    <w:rsid w:val="008A3D57"/>
    <w:rsid w:val="008A426E"/>
    <w:rsid w:val="008B2EFD"/>
    <w:rsid w:val="008B55DC"/>
    <w:rsid w:val="008C449A"/>
    <w:rsid w:val="008C4C70"/>
    <w:rsid w:val="008C5BF1"/>
    <w:rsid w:val="008D0938"/>
    <w:rsid w:val="008D1491"/>
    <w:rsid w:val="008D1B94"/>
    <w:rsid w:val="008D2928"/>
    <w:rsid w:val="008E3D60"/>
    <w:rsid w:val="008F011E"/>
    <w:rsid w:val="0090165F"/>
    <w:rsid w:val="00901CED"/>
    <w:rsid w:val="00903108"/>
    <w:rsid w:val="00921CB7"/>
    <w:rsid w:val="00922B89"/>
    <w:rsid w:val="00923C4F"/>
    <w:rsid w:val="009404A2"/>
    <w:rsid w:val="0094210A"/>
    <w:rsid w:val="0094396D"/>
    <w:rsid w:val="00945917"/>
    <w:rsid w:val="00945B10"/>
    <w:rsid w:val="009472C4"/>
    <w:rsid w:val="00950E88"/>
    <w:rsid w:val="00950EF0"/>
    <w:rsid w:val="00952417"/>
    <w:rsid w:val="00952679"/>
    <w:rsid w:val="009629C7"/>
    <w:rsid w:val="00966C2F"/>
    <w:rsid w:val="00967AAD"/>
    <w:rsid w:val="009802F3"/>
    <w:rsid w:val="00983F21"/>
    <w:rsid w:val="00996139"/>
    <w:rsid w:val="009970F8"/>
    <w:rsid w:val="009A1270"/>
    <w:rsid w:val="009A3A34"/>
    <w:rsid w:val="009A5753"/>
    <w:rsid w:val="009B0009"/>
    <w:rsid w:val="009B3BB7"/>
    <w:rsid w:val="009B4795"/>
    <w:rsid w:val="009B4F61"/>
    <w:rsid w:val="009B7C01"/>
    <w:rsid w:val="009C4754"/>
    <w:rsid w:val="009C5FB8"/>
    <w:rsid w:val="009D341E"/>
    <w:rsid w:val="009E7CA8"/>
    <w:rsid w:val="009E7FC4"/>
    <w:rsid w:val="009F15F5"/>
    <w:rsid w:val="009F349F"/>
    <w:rsid w:val="009F51D9"/>
    <w:rsid w:val="009F5FB4"/>
    <w:rsid w:val="009F7AAC"/>
    <w:rsid w:val="00A02F56"/>
    <w:rsid w:val="00A0406E"/>
    <w:rsid w:val="00A04372"/>
    <w:rsid w:val="00A05810"/>
    <w:rsid w:val="00A112AB"/>
    <w:rsid w:val="00A21475"/>
    <w:rsid w:val="00A41355"/>
    <w:rsid w:val="00A416E0"/>
    <w:rsid w:val="00A42643"/>
    <w:rsid w:val="00A43B92"/>
    <w:rsid w:val="00A44720"/>
    <w:rsid w:val="00A6179E"/>
    <w:rsid w:val="00A65B0D"/>
    <w:rsid w:val="00A66F67"/>
    <w:rsid w:val="00A67CC3"/>
    <w:rsid w:val="00A84E58"/>
    <w:rsid w:val="00A92CB9"/>
    <w:rsid w:val="00A951A0"/>
    <w:rsid w:val="00A9755A"/>
    <w:rsid w:val="00AA29C7"/>
    <w:rsid w:val="00AA571A"/>
    <w:rsid w:val="00AB3770"/>
    <w:rsid w:val="00AB5F26"/>
    <w:rsid w:val="00AB76F9"/>
    <w:rsid w:val="00AC24C1"/>
    <w:rsid w:val="00AC27AB"/>
    <w:rsid w:val="00AC6A34"/>
    <w:rsid w:val="00AD2F12"/>
    <w:rsid w:val="00AE2C6B"/>
    <w:rsid w:val="00AE76EB"/>
    <w:rsid w:val="00AF18DB"/>
    <w:rsid w:val="00AF2459"/>
    <w:rsid w:val="00B00F9B"/>
    <w:rsid w:val="00B22697"/>
    <w:rsid w:val="00B25CDC"/>
    <w:rsid w:val="00B277E0"/>
    <w:rsid w:val="00B44483"/>
    <w:rsid w:val="00B52E2D"/>
    <w:rsid w:val="00B53B2E"/>
    <w:rsid w:val="00B63F41"/>
    <w:rsid w:val="00B65D09"/>
    <w:rsid w:val="00B6638F"/>
    <w:rsid w:val="00B74A48"/>
    <w:rsid w:val="00B76653"/>
    <w:rsid w:val="00B84FD9"/>
    <w:rsid w:val="00B877AA"/>
    <w:rsid w:val="00B93DD5"/>
    <w:rsid w:val="00B94B9A"/>
    <w:rsid w:val="00B94ED2"/>
    <w:rsid w:val="00BA262D"/>
    <w:rsid w:val="00BA4487"/>
    <w:rsid w:val="00BA6E74"/>
    <w:rsid w:val="00BB6D96"/>
    <w:rsid w:val="00BB79E3"/>
    <w:rsid w:val="00BC3FBC"/>
    <w:rsid w:val="00BC77A2"/>
    <w:rsid w:val="00BC79EB"/>
    <w:rsid w:val="00BE0EBF"/>
    <w:rsid w:val="00BE23EF"/>
    <w:rsid w:val="00BE502D"/>
    <w:rsid w:val="00BE6A1D"/>
    <w:rsid w:val="00BF5794"/>
    <w:rsid w:val="00BF6A48"/>
    <w:rsid w:val="00C00A7B"/>
    <w:rsid w:val="00C05336"/>
    <w:rsid w:val="00C076F2"/>
    <w:rsid w:val="00C12708"/>
    <w:rsid w:val="00C2261D"/>
    <w:rsid w:val="00C247EB"/>
    <w:rsid w:val="00C2545D"/>
    <w:rsid w:val="00C25BDA"/>
    <w:rsid w:val="00C267B2"/>
    <w:rsid w:val="00C3371A"/>
    <w:rsid w:val="00C4132C"/>
    <w:rsid w:val="00C52825"/>
    <w:rsid w:val="00C52C62"/>
    <w:rsid w:val="00C53971"/>
    <w:rsid w:val="00C54FB1"/>
    <w:rsid w:val="00C574A0"/>
    <w:rsid w:val="00C60960"/>
    <w:rsid w:val="00C643E2"/>
    <w:rsid w:val="00C6620F"/>
    <w:rsid w:val="00C7213B"/>
    <w:rsid w:val="00C80F9F"/>
    <w:rsid w:val="00C90D58"/>
    <w:rsid w:val="00C91AFA"/>
    <w:rsid w:val="00C953F5"/>
    <w:rsid w:val="00CA0D78"/>
    <w:rsid w:val="00CA0EF1"/>
    <w:rsid w:val="00CA2442"/>
    <w:rsid w:val="00CA3DD2"/>
    <w:rsid w:val="00CB27A8"/>
    <w:rsid w:val="00CC66F8"/>
    <w:rsid w:val="00CD43EE"/>
    <w:rsid w:val="00CE3054"/>
    <w:rsid w:val="00CE7182"/>
    <w:rsid w:val="00CF69CA"/>
    <w:rsid w:val="00D00729"/>
    <w:rsid w:val="00D03919"/>
    <w:rsid w:val="00D20AC2"/>
    <w:rsid w:val="00D217BC"/>
    <w:rsid w:val="00D25DAA"/>
    <w:rsid w:val="00D308F8"/>
    <w:rsid w:val="00D36389"/>
    <w:rsid w:val="00D36D90"/>
    <w:rsid w:val="00D37127"/>
    <w:rsid w:val="00D41169"/>
    <w:rsid w:val="00D43908"/>
    <w:rsid w:val="00D543EC"/>
    <w:rsid w:val="00D55016"/>
    <w:rsid w:val="00D567C0"/>
    <w:rsid w:val="00D60A6A"/>
    <w:rsid w:val="00D60C01"/>
    <w:rsid w:val="00D61A42"/>
    <w:rsid w:val="00D63142"/>
    <w:rsid w:val="00D6532A"/>
    <w:rsid w:val="00D654A0"/>
    <w:rsid w:val="00D65C76"/>
    <w:rsid w:val="00D94D8D"/>
    <w:rsid w:val="00D96510"/>
    <w:rsid w:val="00DA0536"/>
    <w:rsid w:val="00DA2F73"/>
    <w:rsid w:val="00DA42E8"/>
    <w:rsid w:val="00DC193F"/>
    <w:rsid w:val="00DC3C4F"/>
    <w:rsid w:val="00DC462F"/>
    <w:rsid w:val="00DC727B"/>
    <w:rsid w:val="00DD0599"/>
    <w:rsid w:val="00DD1D36"/>
    <w:rsid w:val="00DE1F23"/>
    <w:rsid w:val="00DE4B53"/>
    <w:rsid w:val="00DE7B3B"/>
    <w:rsid w:val="00DF3F3C"/>
    <w:rsid w:val="00DF6324"/>
    <w:rsid w:val="00E025CE"/>
    <w:rsid w:val="00E12E26"/>
    <w:rsid w:val="00E14987"/>
    <w:rsid w:val="00E16BB8"/>
    <w:rsid w:val="00E17F74"/>
    <w:rsid w:val="00E24FA3"/>
    <w:rsid w:val="00E27E32"/>
    <w:rsid w:val="00E328CD"/>
    <w:rsid w:val="00E4524E"/>
    <w:rsid w:val="00E45954"/>
    <w:rsid w:val="00E50C60"/>
    <w:rsid w:val="00E57E38"/>
    <w:rsid w:val="00E67398"/>
    <w:rsid w:val="00E7168B"/>
    <w:rsid w:val="00E75D90"/>
    <w:rsid w:val="00E76C31"/>
    <w:rsid w:val="00E835AF"/>
    <w:rsid w:val="00E95D32"/>
    <w:rsid w:val="00E97EF8"/>
    <w:rsid w:val="00EA4D35"/>
    <w:rsid w:val="00EA60BE"/>
    <w:rsid w:val="00EB4356"/>
    <w:rsid w:val="00EC1482"/>
    <w:rsid w:val="00ED047F"/>
    <w:rsid w:val="00ED06FA"/>
    <w:rsid w:val="00ED1306"/>
    <w:rsid w:val="00ED3936"/>
    <w:rsid w:val="00ED63DB"/>
    <w:rsid w:val="00EE16BC"/>
    <w:rsid w:val="00EE44D7"/>
    <w:rsid w:val="00F012FF"/>
    <w:rsid w:val="00F03A78"/>
    <w:rsid w:val="00F05817"/>
    <w:rsid w:val="00F077D1"/>
    <w:rsid w:val="00F103B6"/>
    <w:rsid w:val="00F11039"/>
    <w:rsid w:val="00F14C6D"/>
    <w:rsid w:val="00F3100E"/>
    <w:rsid w:val="00F376BF"/>
    <w:rsid w:val="00F4328B"/>
    <w:rsid w:val="00F62B3C"/>
    <w:rsid w:val="00F65D9C"/>
    <w:rsid w:val="00F71A6E"/>
    <w:rsid w:val="00F76126"/>
    <w:rsid w:val="00F77AAC"/>
    <w:rsid w:val="00F803F2"/>
    <w:rsid w:val="00F87005"/>
    <w:rsid w:val="00F90577"/>
    <w:rsid w:val="00F9078E"/>
    <w:rsid w:val="00F95982"/>
    <w:rsid w:val="00FA1DAB"/>
    <w:rsid w:val="00FB010D"/>
    <w:rsid w:val="00FC032D"/>
    <w:rsid w:val="00FC582E"/>
    <w:rsid w:val="00FC6070"/>
    <w:rsid w:val="00FD754C"/>
    <w:rsid w:val="00FE4BD9"/>
    <w:rsid w:val="00FE4F56"/>
    <w:rsid w:val="00FE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E7B3B"/>
    <w:pPr>
      <w:spacing w:before="120" w:after="120"/>
    </w:pPr>
    <w:rPr>
      <w:rFonts w:ascii="Calibri" w:hAnsi="Calibri"/>
      <w:sz w:val="22"/>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ind w:left="1440" w:right="1440"/>
    </w:pPr>
  </w:style>
  <w:style w:type="paragraph" w:styleId="BodyText">
    <w:name w:val="Body Text"/>
    <w:basedOn w:val="Normal"/>
    <w:semiHidden/>
    <w:locked/>
    <w:rsid w:val="00E45954"/>
  </w:style>
  <w:style w:type="paragraph" w:styleId="BodyText2">
    <w:name w:val="Body Text 2"/>
    <w:basedOn w:val="Normal"/>
    <w:semiHidden/>
    <w:locked/>
    <w:rsid w:val="00E45954"/>
    <w:pPr>
      <w:spacing w:line="480" w:lineRule="auto"/>
    </w:pPr>
  </w:style>
  <w:style w:type="paragraph" w:styleId="BodyText3">
    <w:name w:val="Body Text 3"/>
    <w:basedOn w:val="Normal"/>
    <w:semiHidden/>
    <w:locked/>
    <w:rsid w:val="00E45954"/>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line="480" w:lineRule="auto"/>
      <w:ind w:left="283"/>
    </w:pPr>
  </w:style>
  <w:style w:type="paragraph" w:styleId="BodyTextIndent3">
    <w:name w:val="Body Text Indent 3"/>
    <w:basedOn w:val="Normal"/>
    <w:semiHidden/>
    <w:locked/>
    <w:rsid w:val="00E45954"/>
    <w:pPr>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ind w:left="283"/>
    </w:pPr>
  </w:style>
  <w:style w:type="paragraph" w:styleId="ListContinue2">
    <w:name w:val="List Continue 2"/>
    <w:basedOn w:val="Normal"/>
    <w:semiHidden/>
    <w:locked/>
    <w:rsid w:val="00E45954"/>
    <w:pPr>
      <w:ind w:left="566"/>
    </w:pPr>
  </w:style>
  <w:style w:type="paragraph" w:styleId="ListContinue3">
    <w:name w:val="List Continue 3"/>
    <w:basedOn w:val="Normal"/>
    <w:semiHidden/>
    <w:locked/>
    <w:rsid w:val="00E45954"/>
    <w:pPr>
      <w:ind w:left="849"/>
    </w:pPr>
  </w:style>
  <w:style w:type="paragraph" w:styleId="ListContinue5">
    <w:name w:val="List Continue 5"/>
    <w:basedOn w:val="Normal"/>
    <w:semiHidden/>
    <w:locked/>
    <w:rsid w:val="00E45954"/>
    <w:pPr>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styleId="CommentReference">
    <w:name w:val="annotation reference"/>
    <w:basedOn w:val="DefaultParagraphFont"/>
    <w:locked/>
    <w:rsid w:val="00A21475"/>
    <w:rPr>
      <w:sz w:val="16"/>
      <w:szCs w:val="16"/>
    </w:rPr>
  </w:style>
  <w:style w:type="paragraph" w:styleId="CommentText">
    <w:name w:val="annotation text"/>
    <w:basedOn w:val="Normal"/>
    <w:link w:val="CommentTextChar"/>
    <w:locked/>
    <w:rsid w:val="00A21475"/>
    <w:rPr>
      <w:sz w:val="20"/>
      <w:szCs w:val="20"/>
    </w:rPr>
  </w:style>
  <w:style w:type="character" w:customStyle="1" w:styleId="CommentTextChar">
    <w:name w:val="Comment Text Char"/>
    <w:basedOn w:val="DefaultParagraphFont"/>
    <w:link w:val="CommentText"/>
    <w:rsid w:val="00A21475"/>
    <w:rPr>
      <w:rFonts w:ascii="Calibri" w:hAnsi="Calibri"/>
    </w:rPr>
  </w:style>
  <w:style w:type="paragraph" w:styleId="CommentSubject">
    <w:name w:val="annotation subject"/>
    <w:basedOn w:val="CommentText"/>
    <w:next w:val="CommentText"/>
    <w:link w:val="CommentSubjectChar"/>
    <w:locked/>
    <w:rsid w:val="00A21475"/>
    <w:rPr>
      <w:b/>
      <w:bCs/>
    </w:rPr>
  </w:style>
  <w:style w:type="character" w:customStyle="1" w:styleId="CommentSubjectChar">
    <w:name w:val="Comment Subject Char"/>
    <w:basedOn w:val="CommentTextChar"/>
    <w:link w:val="CommentSubject"/>
    <w:rsid w:val="00A21475"/>
    <w:rPr>
      <w:rFonts w:ascii="Calibri" w:hAnsi="Calibri"/>
      <w:b/>
      <w:bCs/>
    </w:rPr>
  </w:style>
  <w:style w:type="paragraph" w:styleId="BalloonText">
    <w:name w:val="Balloon Text"/>
    <w:basedOn w:val="Normal"/>
    <w:link w:val="BalloonTextChar"/>
    <w:locked/>
    <w:rsid w:val="00A21475"/>
    <w:pPr>
      <w:spacing w:before="0" w:after="0"/>
    </w:pPr>
    <w:rPr>
      <w:rFonts w:ascii="Tahoma" w:hAnsi="Tahoma" w:cs="Tahoma"/>
      <w:sz w:val="16"/>
      <w:szCs w:val="16"/>
    </w:rPr>
  </w:style>
  <w:style w:type="character" w:customStyle="1" w:styleId="BalloonTextChar">
    <w:name w:val="Balloon Text Char"/>
    <w:basedOn w:val="DefaultParagraphFont"/>
    <w:link w:val="BalloonText"/>
    <w:rsid w:val="00A21475"/>
    <w:rPr>
      <w:rFonts w:ascii="Tahoma" w:hAnsi="Tahoma" w:cs="Tahoma"/>
      <w:sz w:val="16"/>
      <w:szCs w:val="16"/>
    </w:rPr>
  </w:style>
  <w:style w:type="paragraph" w:styleId="ListParagraph">
    <w:name w:val="List Paragraph"/>
    <w:basedOn w:val="Normal"/>
    <w:uiPriority w:val="34"/>
    <w:qFormat/>
    <w:rsid w:val="00697308"/>
    <w:pPr>
      <w:spacing w:before="0" w:after="0"/>
      <w:ind w:left="720"/>
      <w:contextualSpacing/>
    </w:pPr>
    <w:rPr>
      <w:rFonts w:eastAsia="Calibri"/>
      <w:szCs w:val="22"/>
      <w:lang w:val="en-US" w:eastAsia="en-US"/>
    </w:rPr>
  </w:style>
  <w:style w:type="paragraph" w:styleId="Revision">
    <w:name w:val="Revision"/>
    <w:hidden/>
    <w:uiPriority w:val="99"/>
    <w:semiHidden/>
    <w:rsid w:val="009B7C01"/>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E7B3B"/>
    <w:pPr>
      <w:spacing w:before="120" w:after="120"/>
    </w:pPr>
    <w:rPr>
      <w:rFonts w:ascii="Calibri" w:hAnsi="Calibri"/>
      <w:sz w:val="22"/>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ind w:left="1440" w:right="1440"/>
    </w:pPr>
  </w:style>
  <w:style w:type="paragraph" w:styleId="BodyText">
    <w:name w:val="Body Text"/>
    <w:basedOn w:val="Normal"/>
    <w:semiHidden/>
    <w:locked/>
    <w:rsid w:val="00E45954"/>
  </w:style>
  <w:style w:type="paragraph" w:styleId="BodyText2">
    <w:name w:val="Body Text 2"/>
    <w:basedOn w:val="Normal"/>
    <w:semiHidden/>
    <w:locked/>
    <w:rsid w:val="00E45954"/>
    <w:pPr>
      <w:spacing w:line="480" w:lineRule="auto"/>
    </w:pPr>
  </w:style>
  <w:style w:type="paragraph" w:styleId="BodyText3">
    <w:name w:val="Body Text 3"/>
    <w:basedOn w:val="Normal"/>
    <w:semiHidden/>
    <w:locked/>
    <w:rsid w:val="00E45954"/>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line="480" w:lineRule="auto"/>
      <w:ind w:left="283"/>
    </w:pPr>
  </w:style>
  <w:style w:type="paragraph" w:styleId="BodyTextIndent3">
    <w:name w:val="Body Text Indent 3"/>
    <w:basedOn w:val="Normal"/>
    <w:semiHidden/>
    <w:locked/>
    <w:rsid w:val="00E45954"/>
    <w:pPr>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ind w:left="283"/>
    </w:pPr>
  </w:style>
  <w:style w:type="paragraph" w:styleId="ListContinue2">
    <w:name w:val="List Continue 2"/>
    <w:basedOn w:val="Normal"/>
    <w:semiHidden/>
    <w:locked/>
    <w:rsid w:val="00E45954"/>
    <w:pPr>
      <w:ind w:left="566"/>
    </w:pPr>
  </w:style>
  <w:style w:type="paragraph" w:styleId="ListContinue3">
    <w:name w:val="List Continue 3"/>
    <w:basedOn w:val="Normal"/>
    <w:semiHidden/>
    <w:locked/>
    <w:rsid w:val="00E45954"/>
    <w:pPr>
      <w:ind w:left="849"/>
    </w:pPr>
  </w:style>
  <w:style w:type="paragraph" w:styleId="ListContinue5">
    <w:name w:val="List Continue 5"/>
    <w:basedOn w:val="Normal"/>
    <w:semiHidden/>
    <w:locked/>
    <w:rsid w:val="00E45954"/>
    <w:pPr>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styleId="CommentReference">
    <w:name w:val="annotation reference"/>
    <w:basedOn w:val="DefaultParagraphFont"/>
    <w:locked/>
    <w:rsid w:val="00A21475"/>
    <w:rPr>
      <w:sz w:val="16"/>
      <w:szCs w:val="16"/>
    </w:rPr>
  </w:style>
  <w:style w:type="paragraph" w:styleId="CommentText">
    <w:name w:val="annotation text"/>
    <w:basedOn w:val="Normal"/>
    <w:link w:val="CommentTextChar"/>
    <w:locked/>
    <w:rsid w:val="00A21475"/>
    <w:rPr>
      <w:sz w:val="20"/>
      <w:szCs w:val="20"/>
    </w:rPr>
  </w:style>
  <w:style w:type="character" w:customStyle="1" w:styleId="CommentTextChar">
    <w:name w:val="Comment Text Char"/>
    <w:basedOn w:val="DefaultParagraphFont"/>
    <w:link w:val="CommentText"/>
    <w:rsid w:val="00A21475"/>
    <w:rPr>
      <w:rFonts w:ascii="Calibri" w:hAnsi="Calibri"/>
    </w:rPr>
  </w:style>
  <w:style w:type="paragraph" w:styleId="CommentSubject">
    <w:name w:val="annotation subject"/>
    <w:basedOn w:val="CommentText"/>
    <w:next w:val="CommentText"/>
    <w:link w:val="CommentSubjectChar"/>
    <w:locked/>
    <w:rsid w:val="00A21475"/>
    <w:rPr>
      <w:b/>
      <w:bCs/>
    </w:rPr>
  </w:style>
  <w:style w:type="character" w:customStyle="1" w:styleId="CommentSubjectChar">
    <w:name w:val="Comment Subject Char"/>
    <w:basedOn w:val="CommentTextChar"/>
    <w:link w:val="CommentSubject"/>
    <w:rsid w:val="00A21475"/>
    <w:rPr>
      <w:rFonts w:ascii="Calibri" w:hAnsi="Calibri"/>
      <w:b/>
      <w:bCs/>
    </w:rPr>
  </w:style>
  <w:style w:type="paragraph" w:styleId="BalloonText">
    <w:name w:val="Balloon Text"/>
    <w:basedOn w:val="Normal"/>
    <w:link w:val="BalloonTextChar"/>
    <w:locked/>
    <w:rsid w:val="00A21475"/>
    <w:pPr>
      <w:spacing w:before="0" w:after="0"/>
    </w:pPr>
    <w:rPr>
      <w:rFonts w:ascii="Tahoma" w:hAnsi="Tahoma" w:cs="Tahoma"/>
      <w:sz w:val="16"/>
      <w:szCs w:val="16"/>
    </w:rPr>
  </w:style>
  <w:style w:type="character" w:customStyle="1" w:styleId="BalloonTextChar">
    <w:name w:val="Balloon Text Char"/>
    <w:basedOn w:val="DefaultParagraphFont"/>
    <w:link w:val="BalloonText"/>
    <w:rsid w:val="00A21475"/>
    <w:rPr>
      <w:rFonts w:ascii="Tahoma" w:hAnsi="Tahoma" w:cs="Tahoma"/>
      <w:sz w:val="16"/>
      <w:szCs w:val="16"/>
    </w:rPr>
  </w:style>
  <w:style w:type="paragraph" w:styleId="ListParagraph">
    <w:name w:val="List Paragraph"/>
    <w:basedOn w:val="Normal"/>
    <w:uiPriority w:val="34"/>
    <w:qFormat/>
    <w:rsid w:val="00697308"/>
    <w:pPr>
      <w:spacing w:before="0" w:after="0"/>
      <w:ind w:left="720"/>
      <w:contextualSpacing/>
    </w:pPr>
    <w:rPr>
      <w:rFonts w:eastAsia="Calibri"/>
      <w:szCs w:val="22"/>
      <w:lang w:val="en-US" w:eastAsia="en-US"/>
    </w:rPr>
  </w:style>
  <w:style w:type="paragraph" w:styleId="Revision">
    <w:name w:val="Revision"/>
    <w:hidden/>
    <w:uiPriority w:val="99"/>
    <w:semiHidden/>
    <w:rsid w:val="009B7C01"/>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810">
      <w:bodyDiv w:val="1"/>
      <w:marLeft w:val="0"/>
      <w:marRight w:val="0"/>
      <w:marTop w:val="0"/>
      <w:marBottom w:val="0"/>
      <w:divBdr>
        <w:top w:val="none" w:sz="0" w:space="0" w:color="auto"/>
        <w:left w:val="none" w:sz="0" w:space="0" w:color="auto"/>
        <w:bottom w:val="none" w:sz="0" w:space="0" w:color="auto"/>
        <w:right w:val="none" w:sz="0" w:space="0" w:color="auto"/>
      </w:divBdr>
      <w:divsChild>
        <w:div w:id="1261990216">
          <w:marLeft w:val="0"/>
          <w:marRight w:val="0"/>
          <w:marTop w:val="0"/>
          <w:marBottom w:val="0"/>
          <w:divBdr>
            <w:top w:val="none" w:sz="0" w:space="0" w:color="auto"/>
            <w:left w:val="none" w:sz="0" w:space="0" w:color="auto"/>
            <w:bottom w:val="none" w:sz="0" w:space="0" w:color="auto"/>
            <w:right w:val="none" w:sz="0" w:space="0" w:color="auto"/>
          </w:divBdr>
          <w:divsChild>
            <w:div w:id="1459059572">
              <w:marLeft w:val="0"/>
              <w:marRight w:val="0"/>
              <w:marTop w:val="0"/>
              <w:marBottom w:val="0"/>
              <w:divBdr>
                <w:top w:val="none" w:sz="0" w:space="0" w:color="auto"/>
                <w:left w:val="none" w:sz="0" w:space="0" w:color="auto"/>
                <w:bottom w:val="none" w:sz="0" w:space="0" w:color="auto"/>
                <w:right w:val="none" w:sz="0" w:space="0" w:color="auto"/>
              </w:divBdr>
              <w:divsChild>
                <w:div w:id="1864782419">
                  <w:marLeft w:val="0"/>
                  <w:marRight w:val="0"/>
                  <w:marTop w:val="0"/>
                  <w:marBottom w:val="0"/>
                  <w:divBdr>
                    <w:top w:val="none" w:sz="0" w:space="0" w:color="auto"/>
                    <w:left w:val="none" w:sz="0" w:space="0" w:color="auto"/>
                    <w:bottom w:val="none" w:sz="0" w:space="0" w:color="auto"/>
                    <w:right w:val="none" w:sz="0" w:space="0" w:color="auto"/>
                  </w:divBdr>
                  <w:divsChild>
                    <w:div w:id="2122263284">
                      <w:marLeft w:val="0"/>
                      <w:marRight w:val="0"/>
                      <w:marTop w:val="0"/>
                      <w:marBottom w:val="0"/>
                      <w:divBdr>
                        <w:top w:val="none" w:sz="0" w:space="0" w:color="auto"/>
                        <w:left w:val="none" w:sz="0" w:space="0" w:color="auto"/>
                        <w:bottom w:val="none" w:sz="0" w:space="0" w:color="auto"/>
                        <w:right w:val="none" w:sz="0" w:space="0" w:color="auto"/>
                      </w:divBdr>
                      <w:divsChild>
                        <w:div w:id="1793210058">
                          <w:marLeft w:val="0"/>
                          <w:marRight w:val="0"/>
                          <w:marTop w:val="0"/>
                          <w:marBottom w:val="0"/>
                          <w:divBdr>
                            <w:top w:val="none" w:sz="0" w:space="0" w:color="auto"/>
                            <w:left w:val="none" w:sz="0" w:space="0" w:color="auto"/>
                            <w:bottom w:val="none" w:sz="0" w:space="0" w:color="auto"/>
                            <w:right w:val="none" w:sz="0" w:space="0" w:color="auto"/>
                          </w:divBdr>
                          <w:divsChild>
                            <w:div w:id="237327372">
                              <w:marLeft w:val="0"/>
                              <w:marRight w:val="0"/>
                              <w:marTop w:val="0"/>
                              <w:marBottom w:val="0"/>
                              <w:divBdr>
                                <w:top w:val="none" w:sz="0" w:space="0" w:color="auto"/>
                                <w:left w:val="none" w:sz="0" w:space="0" w:color="auto"/>
                                <w:bottom w:val="none" w:sz="0" w:space="0" w:color="auto"/>
                                <w:right w:val="none" w:sz="0" w:space="0" w:color="auto"/>
                              </w:divBdr>
                              <w:divsChild>
                                <w:div w:id="20828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16346381">
      <w:bodyDiv w:val="1"/>
      <w:marLeft w:val="0"/>
      <w:marRight w:val="0"/>
      <w:marTop w:val="0"/>
      <w:marBottom w:val="0"/>
      <w:divBdr>
        <w:top w:val="none" w:sz="0" w:space="0" w:color="auto"/>
        <w:left w:val="none" w:sz="0" w:space="0" w:color="auto"/>
        <w:bottom w:val="none" w:sz="0" w:space="0" w:color="auto"/>
        <w:right w:val="none" w:sz="0" w:space="0" w:color="auto"/>
      </w:divBdr>
      <w:divsChild>
        <w:div w:id="1566836308">
          <w:marLeft w:val="0"/>
          <w:marRight w:val="0"/>
          <w:marTop w:val="0"/>
          <w:marBottom w:val="0"/>
          <w:divBdr>
            <w:top w:val="none" w:sz="0" w:space="0" w:color="auto"/>
            <w:left w:val="none" w:sz="0" w:space="0" w:color="auto"/>
            <w:bottom w:val="none" w:sz="0" w:space="0" w:color="auto"/>
            <w:right w:val="none" w:sz="0" w:space="0" w:color="auto"/>
          </w:divBdr>
          <w:divsChild>
            <w:div w:id="290748280">
              <w:marLeft w:val="0"/>
              <w:marRight w:val="0"/>
              <w:marTop w:val="0"/>
              <w:marBottom w:val="0"/>
              <w:divBdr>
                <w:top w:val="none" w:sz="0" w:space="0" w:color="auto"/>
                <w:left w:val="none" w:sz="0" w:space="0" w:color="auto"/>
                <w:bottom w:val="none" w:sz="0" w:space="0" w:color="auto"/>
                <w:right w:val="none" w:sz="0" w:space="0" w:color="auto"/>
              </w:divBdr>
              <w:divsChild>
                <w:div w:id="1826894195">
                  <w:marLeft w:val="0"/>
                  <w:marRight w:val="0"/>
                  <w:marTop w:val="0"/>
                  <w:marBottom w:val="0"/>
                  <w:divBdr>
                    <w:top w:val="none" w:sz="0" w:space="0" w:color="auto"/>
                    <w:left w:val="none" w:sz="0" w:space="0" w:color="auto"/>
                    <w:bottom w:val="none" w:sz="0" w:space="0" w:color="auto"/>
                    <w:right w:val="none" w:sz="0" w:space="0" w:color="auto"/>
                  </w:divBdr>
                  <w:divsChild>
                    <w:div w:id="877275969">
                      <w:marLeft w:val="0"/>
                      <w:marRight w:val="0"/>
                      <w:marTop w:val="0"/>
                      <w:marBottom w:val="0"/>
                      <w:divBdr>
                        <w:top w:val="none" w:sz="0" w:space="0" w:color="auto"/>
                        <w:left w:val="none" w:sz="0" w:space="0" w:color="auto"/>
                        <w:bottom w:val="none" w:sz="0" w:space="0" w:color="auto"/>
                        <w:right w:val="none" w:sz="0" w:space="0" w:color="auto"/>
                      </w:divBdr>
                      <w:divsChild>
                        <w:div w:id="1926305044">
                          <w:marLeft w:val="0"/>
                          <w:marRight w:val="0"/>
                          <w:marTop w:val="0"/>
                          <w:marBottom w:val="0"/>
                          <w:divBdr>
                            <w:top w:val="none" w:sz="0" w:space="0" w:color="auto"/>
                            <w:left w:val="none" w:sz="0" w:space="0" w:color="auto"/>
                            <w:bottom w:val="none" w:sz="0" w:space="0" w:color="auto"/>
                            <w:right w:val="none" w:sz="0" w:space="0" w:color="auto"/>
                          </w:divBdr>
                          <w:divsChild>
                            <w:div w:id="1211725338">
                              <w:marLeft w:val="0"/>
                              <w:marRight w:val="0"/>
                              <w:marTop w:val="0"/>
                              <w:marBottom w:val="0"/>
                              <w:divBdr>
                                <w:top w:val="none" w:sz="0" w:space="0" w:color="auto"/>
                                <w:left w:val="none" w:sz="0" w:space="0" w:color="auto"/>
                                <w:bottom w:val="none" w:sz="0" w:space="0" w:color="auto"/>
                                <w:right w:val="none" w:sz="0" w:space="0" w:color="auto"/>
                              </w:divBdr>
                              <w:divsChild>
                                <w:div w:id="1217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456790">
      <w:bodyDiv w:val="1"/>
      <w:marLeft w:val="0"/>
      <w:marRight w:val="0"/>
      <w:marTop w:val="0"/>
      <w:marBottom w:val="0"/>
      <w:divBdr>
        <w:top w:val="none" w:sz="0" w:space="0" w:color="auto"/>
        <w:left w:val="none" w:sz="0" w:space="0" w:color="auto"/>
        <w:bottom w:val="none" w:sz="0" w:space="0" w:color="auto"/>
        <w:right w:val="none" w:sz="0" w:space="0" w:color="auto"/>
      </w:divBdr>
      <w:divsChild>
        <w:div w:id="1946228590">
          <w:marLeft w:val="0"/>
          <w:marRight w:val="0"/>
          <w:marTop w:val="100"/>
          <w:marBottom w:val="100"/>
          <w:divBdr>
            <w:top w:val="none" w:sz="0" w:space="0" w:color="auto"/>
            <w:left w:val="none" w:sz="0" w:space="0" w:color="auto"/>
            <w:bottom w:val="none" w:sz="0" w:space="0" w:color="auto"/>
            <w:right w:val="none" w:sz="0" w:space="0" w:color="auto"/>
          </w:divBdr>
          <w:divsChild>
            <w:div w:id="1237283107">
              <w:marLeft w:val="0"/>
              <w:marRight w:val="0"/>
              <w:marTop w:val="0"/>
              <w:marBottom w:val="0"/>
              <w:divBdr>
                <w:top w:val="none" w:sz="0" w:space="0" w:color="auto"/>
                <w:left w:val="none" w:sz="0" w:space="0" w:color="auto"/>
                <w:bottom w:val="none" w:sz="0" w:space="0" w:color="auto"/>
                <w:right w:val="none" w:sz="0" w:space="0" w:color="auto"/>
              </w:divBdr>
              <w:divsChild>
                <w:div w:id="1123110145">
                  <w:marLeft w:val="675"/>
                  <w:marRight w:val="0"/>
                  <w:marTop w:val="0"/>
                  <w:marBottom w:val="0"/>
                  <w:divBdr>
                    <w:top w:val="none" w:sz="0" w:space="0" w:color="auto"/>
                    <w:left w:val="none" w:sz="0" w:space="0" w:color="auto"/>
                    <w:bottom w:val="none" w:sz="0" w:space="0" w:color="auto"/>
                    <w:right w:val="none" w:sz="0" w:space="0" w:color="auto"/>
                  </w:divBdr>
                  <w:divsChild>
                    <w:div w:id="2051226686">
                      <w:marLeft w:val="0"/>
                      <w:marRight w:val="0"/>
                      <w:marTop w:val="0"/>
                      <w:marBottom w:val="0"/>
                      <w:divBdr>
                        <w:top w:val="none" w:sz="0" w:space="0" w:color="auto"/>
                        <w:left w:val="none" w:sz="0" w:space="0" w:color="auto"/>
                        <w:bottom w:val="none" w:sz="0" w:space="0" w:color="auto"/>
                        <w:right w:val="none" w:sz="0" w:space="0" w:color="auto"/>
                      </w:divBdr>
                      <w:divsChild>
                        <w:div w:id="5653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50182267">
      <w:bodyDiv w:val="1"/>
      <w:marLeft w:val="0"/>
      <w:marRight w:val="0"/>
      <w:marTop w:val="0"/>
      <w:marBottom w:val="0"/>
      <w:divBdr>
        <w:top w:val="none" w:sz="0" w:space="0" w:color="auto"/>
        <w:left w:val="none" w:sz="0" w:space="0" w:color="auto"/>
        <w:bottom w:val="none" w:sz="0" w:space="0" w:color="auto"/>
        <w:right w:val="none" w:sz="0" w:space="0" w:color="auto"/>
      </w:divBdr>
      <w:divsChild>
        <w:div w:id="888884636">
          <w:marLeft w:val="0"/>
          <w:marRight w:val="0"/>
          <w:marTop w:val="0"/>
          <w:marBottom w:val="0"/>
          <w:divBdr>
            <w:top w:val="none" w:sz="0" w:space="0" w:color="auto"/>
            <w:left w:val="none" w:sz="0" w:space="0" w:color="auto"/>
            <w:bottom w:val="none" w:sz="0" w:space="0" w:color="auto"/>
            <w:right w:val="none" w:sz="0" w:space="0" w:color="auto"/>
          </w:divBdr>
          <w:divsChild>
            <w:div w:id="948659685">
              <w:marLeft w:val="0"/>
              <w:marRight w:val="0"/>
              <w:marTop w:val="0"/>
              <w:marBottom w:val="0"/>
              <w:divBdr>
                <w:top w:val="none" w:sz="0" w:space="0" w:color="auto"/>
                <w:left w:val="none" w:sz="0" w:space="0" w:color="auto"/>
                <w:bottom w:val="none" w:sz="0" w:space="0" w:color="auto"/>
                <w:right w:val="none" w:sz="0" w:space="0" w:color="auto"/>
              </w:divBdr>
              <w:divsChild>
                <w:div w:id="990014032">
                  <w:marLeft w:val="0"/>
                  <w:marRight w:val="0"/>
                  <w:marTop w:val="0"/>
                  <w:marBottom w:val="0"/>
                  <w:divBdr>
                    <w:top w:val="none" w:sz="0" w:space="0" w:color="auto"/>
                    <w:left w:val="none" w:sz="0" w:space="0" w:color="auto"/>
                    <w:bottom w:val="none" w:sz="0" w:space="0" w:color="auto"/>
                    <w:right w:val="none" w:sz="0" w:space="0" w:color="auto"/>
                  </w:divBdr>
                  <w:divsChild>
                    <w:div w:id="707876695">
                      <w:marLeft w:val="0"/>
                      <w:marRight w:val="0"/>
                      <w:marTop w:val="0"/>
                      <w:marBottom w:val="0"/>
                      <w:divBdr>
                        <w:top w:val="none" w:sz="0" w:space="0" w:color="auto"/>
                        <w:left w:val="none" w:sz="0" w:space="0" w:color="auto"/>
                        <w:bottom w:val="none" w:sz="0" w:space="0" w:color="auto"/>
                        <w:right w:val="none" w:sz="0" w:space="0" w:color="auto"/>
                      </w:divBdr>
                      <w:divsChild>
                        <w:div w:id="667945348">
                          <w:marLeft w:val="0"/>
                          <w:marRight w:val="0"/>
                          <w:marTop w:val="0"/>
                          <w:marBottom w:val="0"/>
                          <w:divBdr>
                            <w:top w:val="none" w:sz="0" w:space="0" w:color="auto"/>
                            <w:left w:val="none" w:sz="0" w:space="0" w:color="auto"/>
                            <w:bottom w:val="none" w:sz="0" w:space="0" w:color="auto"/>
                            <w:right w:val="none" w:sz="0" w:space="0" w:color="auto"/>
                          </w:divBdr>
                          <w:divsChild>
                            <w:div w:id="514419801">
                              <w:marLeft w:val="0"/>
                              <w:marRight w:val="0"/>
                              <w:marTop w:val="0"/>
                              <w:marBottom w:val="0"/>
                              <w:divBdr>
                                <w:top w:val="none" w:sz="0" w:space="0" w:color="auto"/>
                                <w:left w:val="none" w:sz="0" w:space="0" w:color="auto"/>
                                <w:bottom w:val="none" w:sz="0" w:space="0" w:color="auto"/>
                                <w:right w:val="none" w:sz="0" w:space="0" w:color="auto"/>
                              </w:divBdr>
                              <w:divsChild>
                                <w:div w:id="20088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xfam.org.au/closethega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rights.gov.au/social_justice/health/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oxfam.org.au/my/act/sign-the-close-the-gap-pledg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www.humanrights.gov.au/social_justice/sj_report/sjreport05/index.html" TargetMode="External"/><Relationship Id="rId1" Type="http://schemas.openxmlformats.org/officeDocument/2006/relationships/hyperlink" Target="http://www.humanrights.gov.au//close-gap-indigenous-health-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B576-8FE8-4077-92B7-FFD95776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Andrew Gargett</dc:creator>
  <cp:lastModifiedBy>Andrew Gargett</cp:lastModifiedBy>
  <cp:revision>2</cp:revision>
  <cp:lastPrinted>2013-08-19T00:54:00Z</cp:lastPrinted>
  <dcterms:created xsi:type="dcterms:W3CDTF">2013-08-26T04:23:00Z</dcterms:created>
  <dcterms:modified xsi:type="dcterms:W3CDTF">2013-08-26T04:23:00Z</dcterms:modified>
</cp:coreProperties>
</file>