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25" w:rsidRDefault="00477936">
      <w:pPr>
        <w:textAlignment w:val="baseline"/>
        <w:rPr>
          <w:rFonts w:eastAsia="Times New Roman"/>
          <w:color w:val="000000"/>
          <w:sz w:val="24"/>
        </w:rPr>
      </w:pPr>
      <w:r>
        <w:rPr>
          <w:noProof/>
          <w:lang w:val="en-AU" w:eastAsia="en-AU"/>
        </w:rPr>
        <w:drawing>
          <wp:anchor distT="0" distB="0" distL="0" distR="0" simplePos="0" relativeHeight="251652096" behindDoc="1" locked="0" layoutInCell="1" allowOverlap="1">
            <wp:simplePos x="0" y="0"/>
            <wp:positionH relativeFrom="page">
              <wp:posOffset>252730</wp:posOffset>
            </wp:positionH>
            <wp:positionV relativeFrom="page">
              <wp:posOffset>259080</wp:posOffset>
            </wp:positionV>
            <wp:extent cx="1259205" cy="1069975"/>
            <wp:effectExtent l="0" t="0" r="0" b="0"/>
            <wp:wrapThrough wrapText="bothSides">
              <wp:wrapPolygon edited="0">
                <wp:start x="0" y="0"/>
                <wp:lineTo x="0" y="21602"/>
                <wp:lineTo x="11560" y="21602"/>
                <wp:lineTo x="11560" y="11512"/>
                <wp:lineTo x="14121" y="11512"/>
                <wp:lineTo x="14121" y="4679"/>
                <wp:lineTo x="21606" y="4679"/>
                <wp:lineTo x="21606"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259205" cy="10699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56" type="#_x0000_t202" style="position:absolute;margin-left:73.85pt;margin-top:65.3pt;width:188pt;height:42.5pt;z-index:-251663360;mso-wrap-distance-left:0;mso-wrap-distance-right:0;mso-position-horizontal-relative:page;mso-position-vertical-relative:page" filled="f" stroked="f">
            <v:textbox inset="0,0,0,0">
              <w:txbxContent>
                <w:p w:rsidR="002C7725" w:rsidRDefault="00477936">
                  <w:pPr>
                    <w:spacing w:before="24" w:line="346" w:lineRule="exact"/>
                    <w:textAlignment w:val="baseline"/>
                    <w:rPr>
                      <w:rFonts w:ascii="Tahoma" w:eastAsia="Tahoma" w:hAnsi="Tahoma"/>
                      <w:color w:val="000000"/>
                      <w:spacing w:val="47"/>
                      <w:w w:val="80"/>
                      <w:sz w:val="32"/>
                    </w:rPr>
                  </w:pPr>
                  <w:r>
                    <w:rPr>
                      <w:rFonts w:ascii="Tahoma" w:eastAsia="Tahoma" w:hAnsi="Tahoma"/>
                      <w:color w:val="000000"/>
                      <w:spacing w:val="47"/>
                      <w:w w:val="80"/>
                      <w:sz w:val="32"/>
                    </w:rPr>
                    <w:t>CAIRNS COMMUNITY</w:t>
                  </w:r>
                </w:p>
                <w:p w:rsidR="002C7725" w:rsidRDefault="00477936">
                  <w:pPr>
                    <w:spacing w:line="540" w:lineRule="exact"/>
                    <w:textAlignment w:val="baseline"/>
                    <w:rPr>
                      <w:rFonts w:ascii="Verdana" w:eastAsia="Verdana" w:hAnsi="Verdana"/>
                      <w:b/>
                      <w:color w:val="000000"/>
                      <w:spacing w:val="35"/>
                      <w:w w:val="70"/>
                      <w:sz w:val="43"/>
                    </w:rPr>
                  </w:pPr>
                  <w:r>
                    <w:rPr>
                      <w:rFonts w:ascii="Verdana" w:eastAsia="Verdana" w:hAnsi="Verdana"/>
                      <w:b/>
                      <w:color w:val="000000"/>
                      <w:spacing w:val="35"/>
                      <w:w w:val="70"/>
                      <w:sz w:val="43"/>
                    </w:rPr>
                    <w:t xml:space="preserve">LEGAL CENTRE </w:t>
                  </w:r>
                  <w:r>
                    <w:rPr>
                      <w:rFonts w:ascii="Tahoma" w:eastAsia="Tahoma" w:hAnsi="Tahoma"/>
                      <w:color w:val="000000"/>
                      <w:spacing w:val="35"/>
                      <w:w w:val="80"/>
                      <w:sz w:val="32"/>
                    </w:rPr>
                    <w:t>INC</w:t>
                  </w:r>
                </w:p>
              </w:txbxContent>
            </v:textbox>
            <w10:wrap type="square" anchorx="page" anchory="page"/>
          </v:shape>
        </w:pict>
      </w:r>
      <w:r>
        <w:pict>
          <v:shape id="_x0000_s1055" type="#_x0000_t202" style="position:absolute;margin-left:429.85pt;margin-top:20pt;width:117pt;height:102.45pt;z-index:-251662336;mso-wrap-distance-left:0;mso-wrap-distance-right:0;mso-position-horizontal-relative:page;mso-position-vertical-relative:page" filled="f" stroked="f">
            <v:textbox inset="0,0,0,0">
              <w:txbxContent>
                <w:p w:rsidR="002C7725" w:rsidRDefault="00477936">
                  <w:pPr>
                    <w:spacing w:before="82" w:line="218" w:lineRule="exact"/>
                    <w:jc w:val="right"/>
                    <w:textAlignment w:val="baseline"/>
                    <w:rPr>
                      <w:rFonts w:ascii="Arial" w:eastAsia="Arial" w:hAnsi="Arial"/>
                      <w:color w:val="000000"/>
                      <w:spacing w:val="6"/>
                      <w:sz w:val="16"/>
                    </w:rPr>
                  </w:pPr>
                  <w:r>
                    <w:rPr>
                      <w:rFonts w:ascii="Arial" w:eastAsia="Arial" w:hAnsi="Arial"/>
                      <w:color w:val="000000"/>
                      <w:spacing w:val="6"/>
                      <w:sz w:val="16"/>
                    </w:rPr>
                    <w:t xml:space="preserve">1st Floor Main Street Arcade 85 Lake Street Cairns </w:t>
                  </w:r>
                  <w:proofErr w:type="spellStart"/>
                  <w:r>
                    <w:rPr>
                      <w:rFonts w:ascii="Arial" w:eastAsia="Arial" w:hAnsi="Arial"/>
                      <w:color w:val="000000"/>
                      <w:spacing w:val="6"/>
                      <w:sz w:val="16"/>
                    </w:rPr>
                    <w:t>Qld</w:t>
                  </w:r>
                  <w:proofErr w:type="spellEnd"/>
                  <w:r>
                    <w:rPr>
                      <w:rFonts w:ascii="Arial" w:eastAsia="Arial" w:hAnsi="Arial"/>
                      <w:color w:val="000000"/>
                      <w:spacing w:val="6"/>
                      <w:sz w:val="16"/>
                    </w:rPr>
                    <w:t xml:space="preserve"> 4870 PO Box 7129 Cairns </w:t>
                  </w:r>
                  <w:proofErr w:type="spellStart"/>
                  <w:r>
                    <w:rPr>
                      <w:rFonts w:ascii="Arial" w:eastAsia="Arial" w:hAnsi="Arial"/>
                      <w:color w:val="000000"/>
                      <w:spacing w:val="6"/>
                      <w:sz w:val="16"/>
                    </w:rPr>
                    <w:t>Qld</w:t>
                  </w:r>
                  <w:proofErr w:type="spellEnd"/>
                  <w:r>
                    <w:rPr>
                      <w:rFonts w:ascii="Arial" w:eastAsia="Arial" w:hAnsi="Arial"/>
                      <w:color w:val="000000"/>
                      <w:spacing w:val="6"/>
                      <w:sz w:val="16"/>
                    </w:rPr>
                    <w:t xml:space="preserve"> 4870 T </w:t>
                  </w:r>
                  <w:r>
                    <w:rPr>
                      <w:rFonts w:ascii="Arial" w:eastAsia="Arial" w:hAnsi="Arial"/>
                      <w:b/>
                      <w:color w:val="000000"/>
                      <w:spacing w:val="6"/>
                      <w:sz w:val="16"/>
                    </w:rPr>
                    <w:t xml:space="preserve">07 4031 7688 </w:t>
                  </w:r>
                  <w:r>
                    <w:rPr>
                      <w:rFonts w:ascii="Arial" w:eastAsia="Arial" w:hAnsi="Arial"/>
                      <w:color w:val="000000"/>
                      <w:spacing w:val="6"/>
                      <w:sz w:val="16"/>
                    </w:rPr>
                    <w:t xml:space="preserve">or </w:t>
                  </w:r>
                  <w:r>
                    <w:rPr>
                      <w:rFonts w:ascii="Arial" w:eastAsia="Arial" w:hAnsi="Arial"/>
                      <w:b/>
                      <w:color w:val="000000"/>
                      <w:spacing w:val="6"/>
                      <w:sz w:val="16"/>
                    </w:rPr>
                    <w:t xml:space="preserve">1800 062 608 </w:t>
                  </w:r>
                  <w:r>
                    <w:rPr>
                      <w:rFonts w:ascii="Arial" w:eastAsia="Arial" w:hAnsi="Arial"/>
                      <w:color w:val="000000"/>
                      <w:spacing w:val="6"/>
                      <w:sz w:val="16"/>
                    </w:rPr>
                    <w:t xml:space="preserve">F07 4041 2134 </w:t>
                  </w:r>
                  <w:hyperlink r:id="rId7">
                    <w:r>
                      <w:rPr>
                        <w:rFonts w:ascii="Arial" w:eastAsia="Arial" w:hAnsi="Arial"/>
                        <w:color w:val="0000FF"/>
                        <w:spacing w:val="6"/>
                        <w:sz w:val="16"/>
                        <w:u w:val="single"/>
                      </w:rPr>
                      <w:t>enquiry@ccic.org.au</w:t>
                    </w:r>
                  </w:hyperlink>
                  <w:r>
                    <w:rPr>
                      <w:rFonts w:ascii="Arial" w:eastAsia="Arial" w:hAnsi="Arial"/>
                      <w:color w:val="000000"/>
                      <w:spacing w:val="6"/>
                      <w:sz w:val="16"/>
                    </w:rPr>
                    <w:t xml:space="preserve"> </w:t>
                  </w:r>
                  <w:hyperlink r:id="rId8">
                    <w:r>
                      <w:rPr>
                        <w:rFonts w:ascii="Arial" w:eastAsia="Arial" w:hAnsi="Arial"/>
                        <w:color w:val="0000FF"/>
                        <w:spacing w:val="6"/>
                        <w:sz w:val="16"/>
                        <w:u w:val="single"/>
                      </w:rPr>
                      <w:t>www.ccic.org.au</w:t>
                    </w:r>
                  </w:hyperlink>
                </w:p>
                <w:p w:rsidR="002C7725" w:rsidRDefault="00477936">
                  <w:pPr>
                    <w:spacing w:before="38" w:after="283" w:line="119" w:lineRule="exact"/>
                    <w:jc w:val="right"/>
                    <w:textAlignment w:val="baseline"/>
                    <w:rPr>
                      <w:rFonts w:ascii="Arial" w:eastAsia="Arial" w:hAnsi="Arial"/>
                      <w:color w:val="000000"/>
                      <w:spacing w:val="3"/>
                      <w:sz w:val="10"/>
                    </w:rPr>
                  </w:pPr>
                  <w:r>
                    <w:rPr>
                      <w:rFonts w:ascii="Arial" w:eastAsia="Arial" w:hAnsi="Arial"/>
                      <w:color w:val="000000"/>
                      <w:spacing w:val="3"/>
                      <w:sz w:val="10"/>
                    </w:rPr>
                    <w:t>ABN 87 237 848 993</w:t>
                  </w:r>
                </w:p>
              </w:txbxContent>
            </v:textbox>
            <w10:wrap type="square" anchorx="page" anchory="page"/>
          </v:shape>
        </w:pict>
      </w:r>
      <w:r>
        <w:pict>
          <v:shape id="_x0000_s1054" type="#_x0000_t202" style="position:absolute;margin-left:79.45pt;margin-top:122.45pt;width:452pt;height:125.15pt;z-index:-251661312;mso-wrap-distance-left:0;mso-wrap-distance-right:0;mso-position-horizontal-relative:page;mso-position-vertical-relative:page" filled="f" stroked="f">
            <v:textbox inset="0,0,0,0">
              <w:txbxContent>
                <w:p w:rsidR="002C7725" w:rsidRDefault="00477936">
                  <w:pPr>
                    <w:spacing w:line="226" w:lineRule="exact"/>
                    <w:textAlignment w:val="baseline"/>
                    <w:rPr>
                      <w:rFonts w:ascii="Arial" w:eastAsia="Arial" w:hAnsi="Arial"/>
                      <w:color w:val="000000"/>
                      <w:sz w:val="20"/>
                    </w:rPr>
                  </w:pPr>
                  <w:r>
                    <w:rPr>
                      <w:rFonts w:ascii="Arial" w:eastAsia="Arial" w:hAnsi="Arial"/>
                      <w:color w:val="000000"/>
                      <w:sz w:val="20"/>
                    </w:rPr>
                    <w:t>Our Ref:LR2013:SVT</w:t>
                  </w:r>
                </w:p>
                <w:p w:rsidR="002C7725" w:rsidRDefault="00477936">
                  <w:pPr>
                    <w:spacing w:before="458" w:line="229" w:lineRule="exact"/>
                    <w:textAlignment w:val="baseline"/>
                    <w:rPr>
                      <w:rFonts w:ascii="Arial" w:eastAsia="Arial" w:hAnsi="Arial"/>
                      <w:color w:val="000000"/>
                      <w:sz w:val="20"/>
                    </w:rPr>
                  </w:pPr>
                  <w:r>
                    <w:rPr>
                      <w:rFonts w:ascii="Arial" w:eastAsia="Arial" w:hAnsi="Arial"/>
                      <w:color w:val="000000"/>
                      <w:sz w:val="20"/>
                    </w:rPr>
                    <w:t>30 October 2013</w:t>
                  </w:r>
                </w:p>
                <w:p w:rsidR="002C7725" w:rsidRDefault="00477936">
                  <w:pPr>
                    <w:spacing w:before="233" w:line="230" w:lineRule="exact"/>
                    <w:ind w:right="5688"/>
                    <w:textAlignment w:val="baseline"/>
                    <w:rPr>
                      <w:rFonts w:ascii="Arial" w:eastAsia="Arial" w:hAnsi="Arial"/>
                      <w:color w:val="000000"/>
                      <w:spacing w:val="40"/>
                      <w:sz w:val="20"/>
                    </w:rPr>
                  </w:pPr>
                  <w:r>
                    <w:rPr>
                      <w:rFonts w:ascii="Arial" w:eastAsia="Arial" w:hAnsi="Arial"/>
                      <w:color w:val="000000"/>
                      <w:spacing w:val="40"/>
                      <w:sz w:val="20"/>
                    </w:rPr>
                    <w:t>Legal Section Australian Human Rights Commission GPO Box 5218 SYDNEY NSW 2001</w:t>
                  </w:r>
                </w:p>
                <w:p w:rsidR="002C7725" w:rsidRDefault="00477936">
                  <w:pPr>
                    <w:spacing w:before="229" w:line="195" w:lineRule="exact"/>
                    <w:textAlignment w:val="baseline"/>
                    <w:rPr>
                      <w:rFonts w:ascii="Arial" w:eastAsia="Arial" w:hAnsi="Arial"/>
                      <w:b/>
                      <w:color w:val="000000"/>
                      <w:spacing w:val="-2"/>
                      <w:sz w:val="20"/>
                    </w:rPr>
                  </w:pPr>
                  <w:r>
                    <w:rPr>
                      <w:rFonts w:ascii="Arial" w:eastAsia="Arial" w:hAnsi="Arial"/>
                      <w:b/>
                      <w:color w:val="000000"/>
                      <w:spacing w:val="-2"/>
                      <w:sz w:val="20"/>
                    </w:rPr>
                    <w:t xml:space="preserve">Email: </w:t>
                  </w:r>
                  <w:r>
                    <w:rPr>
                      <w:rFonts w:ascii="Arial" w:eastAsia="Arial" w:hAnsi="Arial"/>
                      <w:b/>
                      <w:color w:val="000000"/>
                      <w:spacing w:val="-2"/>
                      <w:sz w:val="20"/>
                      <w:u w:val="single"/>
                    </w:rPr>
                    <w:t>leciala_humanrights.gov.au</w:t>
                  </w:r>
                </w:p>
              </w:txbxContent>
            </v:textbox>
            <w10:wrap type="square" anchorx="page" anchory="page"/>
          </v:shape>
        </w:pict>
      </w:r>
      <w:r>
        <w:pict>
          <v:shape id="_x0000_s1053" type="#_x0000_t202" style="position:absolute;margin-left:79.45pt;margin-top:247.6pt;width:452pt;height:503.9pt;z-index:-251660288;mso-wrap-distance-left:0;mso-wrap-distance-right:0;mso-position-horizontal-relative:page;mso-position-vertical-relative:page" filled="f" stroked="f">
            <v:textbox inset="0,0,0,0">
              <w:txbxContent>
                <w:p w:rsidR="002C7725" w:rsidRDefault="00477936">
                  <w:pPr>
                    <w:spacing w:before="1185" w:line="274" w:lineRule="exact"/>
                    <w:ind w:left="2592"/>
                    <w:textAlignment w:val="baseline"/>
                    <w:rPr>
                      <w:rFonts w:ascii="Arial" w:eastAsia="Arial" w:hAnsi="Arial"/>
                      <w:b/>
                      <w:color w:val="000000"/>
                      <w:sz w:val="24"/>
                    </w:rPr>
                  </w:pPr>
                  <w:r>
                    <w:rPr>
                      <w:rFonts w:ascii="Arial" w:eastAsia="Arial" w:hAnsi="Arial"/>
                      <w:b/>
                      <w:color w:val="000000"/>
                      <w:sz w:val="24"/>
                    </w:rPr>
                    <w:t>Submission on Exemption Application</w:t>
                  </w:r>
                </w:p>
                <w:p w:rsidR="002C7725" w:rsidRDefault="00477936">
                  <w:pPr>
                    <w:spacing w:before="123" w:line="276" w:lineRule="exact"/>
                    <w:jc w:val="right"/>
                    <w:textAlignment w:val="baseline"/>
                    <w:rPr>
                      <w:rFonts w:ascii="Arial" w:eastAsia="Arial" w:hAnsi="Arial"/>
                      <w:b/>
                      <w:color w:val="000000"/>
                      <w:sz w:val="24"/>
                    </w:rPr>
                  </w:pPr>
                  <w:r>
                    <w:rPr>
                      <w:rFonts w:ascii="Arial" w:eastAsia="Arial" w:hAnsi="Arial"/>
                      <w:b/>
                      <w:color w:val="000000"/>
                      <w:sz w:val="24"/>
                    </w:rPr>
                    <w:t>by Department of Families, Housing, Communities and Indigenous Affairs</w:t>
                  </w:r>
                </w:p>
                <w:p w:rsidR="002C7725" w:rsidRDefault="00477936">
                  <w:pPr>
                    <w:spacing w:line="273" w:lineRule="exact"/>
                    <w:ind w:left="4248"/>
                    <w:textAlignment w:val="baseline"/>
                    <w:rPr>
                      <w:rFonts w:ascii="Arial" w:eastAsia="Arial" w:hAnsi="Arial"/>
                      <w:b/>
                      <w:color w:val="000000"/>
                      <w:spacing w:val="-2"/>
                      <w:sz w:val="24"/>
                    </w:rPr>
                  </w:pPr>
                  <w:r>
                    <w:rPr>
                      <w:rFonts w:ascii="Arial" w:eastAsia="Arial" w:hAnsi="Arial"/>
                      <w:b/>
                      <w:color w:val="000000"/>
                      <w:spacing w:val="-2"/>
                      <w:sz w:val="24"/>
                    </w:rPr>
                    <w:t>(</w:t>
                  </w:r>
                  <w:proofErr w:type="spellStart"/>
                  <w:r>
                    <w:rPr>
                      <w:rFonts w:ascii="Arial" w:eastAsia="Arial" w:hAnsi="Arial"/>
                      <w:b/>
                      <w:color w:val="000000"/>
                      <w:spacing w:val="-2"/>
                      <w:sz w:val="24"/>
                    </w:rPr>
                    <w:t>FaHCSIA</w:t>
                  </w:r>
                  <w:proofErr w:type="spellEnd"/>
                  <w:r>
                    <w:rPr>
                      <w:rFonts w:ascii="Arial" w:eastAsia="Arial" w:hAnsi="Arial"/>
                      <w:b/>
                      <w:color w:val="000000"/>
                      <w:spacing w:val="-2"/>
                      <w:sz w:val="24"/>
                    </w:rPr>
                    <w:t>)</w:t>
                  </w:r>
                </w:p>
                <w:p w:rsidR="002C7725" w:rsidRDefault="00477936">
                  <w:pPr>
                    <w:tabs>
                      <w:tab w:val="left" w:pos="2808"/>
                    </w:tabs>
                    <w:spacing w:before="125" w:after="7536" w:line="275" w:lineRule="exact"/>
                    <w:ind w:left="2448"/>
                    <w:textAlignment w:val="baseline"/>
                    <w:rPr>
                      <w:rFonts w:ascii="Arial" w:eastAsia="Arial" w:hAnsi="Arial"/>
                      <w:b/>
                      <w:color w:val="000000"/>
                      <w:sz w:val="24"/>
                    </w:rPr>
                  </w:pPr>
                  <w:r>
                    <w:rPr>
                      <w:rFonts w:ascii="Arial" w:eastAsia="Arial" w:hAnsi="Arial"/>
                      <w:b/>
                      <w:color w:val="000000"/>
                      <w:sz w:val="24"/>
                    </w:rPr>
                    <w:t>-</w:t>
                  </w:r>
                  <w:r>
                    <w:rPr>
                      <w:rFonts w:ascii="Arial" w:eastAsia="Arial" w:hAnsi="Arial"/>
                      <w:b/>
                      <w:color w:val="000000"/>
                      <w:sz w:val="24"/>
                    </w:rPr>
                    <w:tab/>
                    <w:t>now Department of Social Services (DSS)</w:t>
                  </w:r>
                </w:p>
              </w:txbxContent>
            </v:textbox>
            <w10:wrap type="square" anchorx="page" anchory="page"/>
          </v:shape>
        </w:pict>
      </w:r>
      <w:r>
        <w:pict>
          <v:shape id="_x0000_s1052" type="#_x0000_t202" style="position:absolute;margin-left:19.9pt;margin-top:750.25pt;width:47.55pt;height:48.45pt;z-index:-251659264;mso-wrap-distance-left:0;mso-wrap-distance-right:0;mso-position-horizontal-relative:page;mso-position-vertical-relative:page" filled="f" stroked="f">
            <v:textbox inset="0,0,0,0">
              <w:txbxContent>
                <w:p w:rsidR="002C7725" w:rsidRDefault="00477936">
                  <w:pPr>
                    <w:textAlignment w:val="baseline"/>
                  </w:pPr>
                  <w:r>
                    <w:rPr>
                      <w:noProof/>
                      <w:lang w:val="en-AU" w:eastAsia="en-AU"/>
                    </w:rPr>
                    <w:drawing>
                      <wp:inline distT="0" distB="0" distL="0" distR="0">
                        <wp:extent cx="603885" cy="6153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603885" cy="615315"/>
                                </a:xfrm>
                                <a:prstGeom prst="rect">
                                  <a:avLst/>
                                </a:prstGeom>
                              </pic:spPr>
                            </pic:pic>
                          </a:graphicData>
                        </a:graphic>
                      </wp:inline>
                    </w:drawing>
                  </w:r>
                </w:p>
              </w:txbxContent>
            </v:textbox>
            <w10:wrap type="square" anchorx="page" anchory="page"/>
          </v:shape>
        </w:pict>
      </w:r>
      <w:r>
        <w:pict>
          <v:shape id="_x0000_s1051" type="#_x0000_t202" style="position:absolute;margin-left:88.8pt;margin-top:752.8pt;width:450pt;height:49.2pt;z-index:-251658240;mso-wrap-distance-left:0;mso-wrap-distance-right:0;mso-position-horizontal-relative:page;mso-position-vertical-relative:page" filled="f" stroked="f">
            <v:textbox inset="0,0,0,0">
              <w:txbxContent>
                <w:p w:rsidR="002C7725" w:rsidRDefault="00477936">
                  <w:pPr>
                    <w:tabs>
                      <w:tab w:val="left" w:pos="1800"/>
                      <w:tab w:val="left" w:pos="4176"/>
                      <w:tab w:val="left" w:pos="6120"/>
                      <w:tab w:val="left" w:pos="7848"/>
                    </w:tabs>
                    <w:spacing w:before="236" w:line="188" w:lineRule="exact"/>
                    <w:textAlignment w:val="baseline"/>
                    <w:rPr>
                      <w:rFonts w:ascii="Arial" w:eastAsia="Arial" w:hAnsi="Arial"/>
                      <w:b/>
                      <w:color w:val="000000"/>
                      <w:spacing w:val="2"/>
                      <w:sz w:val="16"/>
                    </w:rPr>
                  </w:pPr>
                  <w:r>
                    <w:rPr>
                      <w:rFonts w:ascii="Arial" w:eastAsia="Arial" w:hAnsi="Arial"/>
                      <w:b/>
                      <w:color w:val="000000"/>
                      <w:spacing w:val="2"/>
                      <w:sz w:val="16"/>
                    </w:rPr>
                    <w:t>General</w:t>
                  </w:r>
                  <w:r>
                    <w:rPr>
                      <w:rFonts w:ascii="Arial" w:eastAsia="Arial" w:hAnsi="Arial"/>
                      <w:b/>
                      <w:color w:val="000000"/>
                      <w:spacing w:val="2"/>
                      <w:sz w:val="16"/>
                    </w:rPr>
                    <w:tab/>
                    <w:t>Disability Discrimination</w:t>
                  </w:r>
                  <w:r>
                    <w:rPr>
                      <w:rFonts w:ascii="Arial" w:eastAsia="Arial" w:hAnsi="Arial"/>
                      <w:b/>
                      <w:color w:val="000000"/>
                      <w:spacing w:val="2"/>
                      <w:sz w:val="16"/>
                    </w:rPr>
                    <w:tab/>
                    <w:t>Seniors Legal</w:t>
                  </w:r>
                  <w:r>
                    <w:rPr>
                      <w:rFonts w:ascii="Arial" w:eastAsia="Arial" w:hAnsi="Arial"/>
                      <w:b/>
                      <w:color w:val="000000"/>
                      <w:spacing w:val="2"/>
                      <w:sz w:val="16"/>
                    </w:rPr>
                    <w:tab/>
                    <w:t>Family</w:t>
                  </w:r>
                  <w:r>
                    <w:rPr>
                      <w:rFonts w:ascii="Arial" w:eastAsia="Arial" w:hAnsi="Arial"/>
                      <w:b/>
                      <w:color w:val="000000"/>
                      <w:spacing w:val="2"/>
                      <w:sz w:val="16"/>
                    </w:rPr>
                    <w:tab/>
                    <w:t>Consumer</w:t>
                  </w:r>
                </w:p>
                <w:p w:rsidR="002C7725" w:rsidRDefault="00477936">
                  <w:pPr>
                    <w:tabs>
                      <w:tab w:val="left" w:pos="1800"/>
                      <w:tab w:val="left" w:pos="4176"/>
                      <w:tab w:val="left" w:pos="6120"/>
                      <w:tab w:val="left" w:pos="7848"/>
                    </w:tabs>
                    <w:spacing w:line="181" w:lineRule="exact"/>
                    <w:textAlignment w:val="baseline"/>
                    <w:rPr>
                      <w:rFonts w:ascii="Arial" w:eastAsia="Arial" w:hAnsi="Arial"/>
                      <w:b/>
                      <w:color w:val="000000"/>
                      <w:sz w:val="16"/>
                    </w:rPr>
                  </w:pPr>
                  <w:r>
                    <w:rPr>
                      <w:rFonts w:ascii="Arial" w:eastAsia="Arial" w:hAnsi="Arial"/>
                      <w:b/>
                      <w:color w:val="000000"/>
                      <w:sz w:val="16"/>
                    </w:rPr>
                    <w:t>Legal Service</w:t>
                  </w:r>
                  <w:r>
                    <w:rPr>
                      <w:rFonts w:ascii="Arial" w:eastAsia="Arial" w:hAnsi="Arial"/>
                      <w:b/>
                      <w:color w:val="000000"/>
                      <w:sz w:val="16"/>
                    </w:rPr>
                    <w:tab/>
                  </w:r>
                  <w:r>
                    <w:rPr>
                      <w:rFonts w:ascii="Arial" w:eastAsia="Arial" w:hAnsi="Arial"/>
                      <w:b/>
                      <w:color w:val="000000"/>
                      <w:sz w:val="16"/>
                    </w:rPr>
                    <w:t>Legal Service</w:t>
                  </w:r>
                  <w:r>
                    <w:rPr>
                      <w:rFonts w:ascii="Arial" w:eastAsia="Arial" w:hAnsi="Arial"/>
                      <w:b/>
                      <w:color w:val="000000"/>
                      <w:sz w:val="16"/>
                    </w:rPr>
                    <w:tab/>
                    <w:t>&amp; Support Service</w:t>
                  </w:r>
                  <w:r>
                    <w:rPr>
                      <w:rFonts w:ascii="Arial" w:eastAsia="Arial" w:hAnsi="Arial"/>
                      <w:b/>
                      <w:color w:val="000000"/>
                      <w:sz w:val="16"/>
                    </w:rPr>
                    <w:tab/>
                    <w:t>Law Service</w:t>
                  </w:r>
                  <w:r>
                    <w:rPr>
                      <w:rFonts w:ascii="Arial" w:eastAsia="Arial" w:hAnsi="Arial"/>
                      <w:b/>
                      <w:color w:val="000000"/>
                      <w:sz w:val="16"/>
                    </w:rPr>
                    <w:tab/>
                    <w:t>Law Service</w:t>
                  </w:r>
                </w:p>
                <w:p w:rsidR="002C7725" w:rsidRDefault="00477936">
                  <w:pPr>
                    <w:tabs>
                      <w:tab w:val="left" w:pos="1800"/>
                      <w:tab w:val="left" w:pos="4176"/>
                      <w:tab w:val="left" w:pos="6120"/>
                      <w:tab w:val="left" w:pos="7848"/>
                    </w:tabs>
                    <w:spacing w:before="1" w:line="183" w:lineRule="exact"/>
                    <w:textAlignment w:val="baseline"/>
                    <w:rPr>
                      <w:rFonts w:ascii="Arial" w:eastAsia="Arial" w:hAnsi="Arial"/>
                      <w:color w:val="000000"/>
                      <w:sz w:val="16"/>
                    </w:rPr>
                  </w:pPr>
                  <w:r>
                    <w:rPr>
                      <w:rFonts w:ascii="Arial" w:eastAsia="Arial" w:hAnsi="Arial"/>
                      <w:color w:val="000000"/>
                      <w:sz w:val="16"/>
                    </w:rPr>
                    <w:t>07 4031 7688</w:t>
                  </w:r>
                  <w:r>
                    <w:rPr>
                      <w:rFonts w:ascii="Arial" w:eastAsia="Arial" w:hAnsi="Arial"/>
                      <w:color w:val="000000"/>
                      <w:sz w:val="16"/>
                    </w:rPr>
                    <w:tab/>
                    <w:t>07 4031 7358</w:t>
                  </w:r>
                  <w:r>
                    <w:rPr>
                      <w:rFonts w:ascii="Arial" w:eastAsia="Arial" w:hAnsi="Arial"/>
                      <w:color w:val="000000"/>
                      <w:sz w:val="16"/>
                    </w:rPr>
                    <w:tab/>
                    <w:t>07 4031 7179</w:t>
                  </w:r>
                  <w:r>
                    <w:rPr>
                      <w:rFonts w:ascii="Arial" w:eastAsia="Arial" w:hAnsi="Arial"/>
                      <w:color w:val="000000"/>
                      <w:sz w:val="16"/>
                    </w:rPr>
                    <w:tab/>
                    <w:t>07 4031 7688</w:t>
                  </w:r>
                  <w:r>
                    <w:rPr>
                      <w:rFonts w:ascii="Arial" w:eastAsia="Arial" w:hAnsi="Arial"/>
                      <w:color w:val="000000"/>
                      <w:sz w:val="16"/>
                    </w:rPr>
                    <w:tab/>
                    <w:t>07 4031 7688</w:t>
                  </w:r>
                </w:p>
                <w:p w:rsidR="002C7725" w:rsidRDefault="00477936">
                  <w:pPr>
                    <w:tabs>
                      <w:tab w:val="left" w:pos="1800"/>
                      <w:tab w:val="left" w:pos="4176"/>
                      <w:tab w:val="left" w:pos="6120"/>
                      <w:tab w:val="left" w:pos="7848"/>
                    </w:tabs>
                    <w:spacing w:line="182" w:lineRule="exact"/>
                    <w:textAlignment w:val="baseline"/>
                    <w:rPr>
                      <w:rFonts w:ascii="Arial" w:eastAsia="Arial" w:hAnsi="Arial"/>
                      <w:color w:val="000000"/>
                      <w:sz w:val="16"/>
                    </w:rPr>
                  </w:pPr>
                  <w:r>
                    <w:rPr>
                      <w:rFonts w:ascii="Arial" w:eastAsia="Arial" w:hAnsi="Arial"/>
                      <w:color w:val="000000"/>
                      <w:sz w:val="16"/>
                    </w:rPr>
                    <w:t>1800 062 608</w:t>
                  </w:r>
                  <w:r>
                    <w:rPr>
                      <w:rFonts w:ascii="Arial" w:eastAsia="Arial" w:hAnsi="Arial"/>
                      <w:color w:val="000000"/>
                      <w:sz w:val="16"/>
                    </w:rPr>
                    <w:tab/>
                    <w:t>1800 650 197</w:t>
                  </w:r>
                  <w:r>
                    <w:rPr>
                      <w:rFonts w:ascii="Arial" w:eastAsia="Arial" w:hAnsi="Arial"/>
                      <w:color w:val="000000"/>
                      <w:sz w:val="16"/>
                    </w:rPr>
                    <w:tab/>
                    <w:t>1800 650 931</w:t>
                  </w:r>
                  <w:r>
                    <w:rPr>
                      <w:rFonts w:ascii="Arial" w:eastAsia="Arial" w:hAnsi="Arial"/>
                      <w:color w:val="000000"/>
                      <w:sz w:val="16"/>
                    </w:rPr>
                    <w:tab/>
                    <w:t>1800 062 608</w:t>
                  </w:r>
                  <w:r>
                    <w:rPr>
                      <w:rFonts w:ascii="Arial" w:eastAsia="Arial" w:hAnsi="Arial"/>
                      <w:color w:val="000000"/>
                      <w:sz w:val="16"/>
                    </w:rPr>
                    <w:tab/>
                    <w:t>1800 062 608</w:t>
                  </w:r>
                </w:p>
              </w:txbxContent>
            </v:textbox>
            <w10:wrap type="square" anchorx="page" anchory="page"/>
          </v:shape>
        </w:pict>
      </w:r>
      <w:r>
        <w:pict>
          <v:line id="_x0000_s1050" style="position:absolute;z-index:251641856;mso-position-horizontal-relative:page;mso-position-vertical-relative:page" from="112.1pt,248.4pt" to="241.5pt,248.4pt" strokeweight="1.45pt">
            <w10:wrap anchorx="page" anchory="page"/>
          </v:line>
        </w:pict>
      </w:r>
      <w:r>
        <w:pict>
          <v:line id="_x0000_s1049" style="position:absolute;z-index:251642880;mso-position-horizontal-relative:page;mso-position-vertical-relative:page" from="71.05pt,752.15pt" to="560.95pt,752.15pt" strokeweight="1.2pt">
            <w10:wrap anchorx="page" anchory="page"/>
          </v:line>
        </w:pict>
      </w:r>
      <w:r>
        <w:pict>
          <v:line id="_x0000_s1048" style="position:absolute;z-index:251643904;mso-position-horizontal-relative:page;mso-position-vertical-relative:page" from="28.8pt,762pt" to="562.6pt,762pt" strokeweight="1.7pt">
            <w10:wrap anchorx="page" anchory="page"/>
          </v:line>
        </w:pict>
      </w:r>
    </w:p>
    <w:p w:rsidR="002C7725" w:rsidRDefault="002C7725">
      <w:pPr>
        <w:sectPr w:rsidR="002C7725">
          <w:pgSz w:w="11914" w:h="16848"/>
          <w:pgMar w:top="112" w:right="977" w:bottom="412" w:left="398" w:header="720" w:footer="720" w:gutter="0"/>
          <w:cols w:space="720"/>
        </w:sectPr>
      </w:pPr>
    </w:p>
    <w:p w:rsidR="002C7725" w:rsidRDefault="00477936">
      <w:pPr>
        <w:textAlignment w:val="baseline"/>
        <w:rPr>
          <w:rFonts w:eastAsia="Times New Roman"/>
          <w:color w:val="000000"/>
          <w:sz w:val="24"/>
        </w:rPr>
      </w:pPr>
      <w:r>
        <w:lastRenderedPageBreak/>
        <w:pict>
          <v:shape id="_x0000_s1047" type="#_x0000_t202" style="position:absolute;margin-left:79.7pt;margin-top:49pt;width:482pt;height:712.1pt;z-index:-251657216;mso-wrap-distance-left:0;mso-wrap-distance-right:0;mso-position-horizontal-relative:page;mso-position-vertical-relative:page" filled="f" stroked="f">
            <v:textbox inset="0,0,0,0">
              <w:txbxContent>
                <w:p w:rsidR="002C7725" w:rsidRDefault="00477936">
                  <w:pPr>
                    <w:spacing w:before="1" w:line="273" w:lineRule="exact"/>
                    <w:textAlignment w:val="baseline"/>
                    <w:rPr>
                      <w:rFonts w:ascii="Arial" w:eastAsia="Arial" w:hAnsi="Arial"/>
                      <w:b/>
                      <w:color w:val="000000"/>
                      <w:spacing w:val="2"/>
                      <w:sz w:val="24"/>
                    </w:rPr>
                  </w:pPr>
                  <w:r>
                    <w:rPr>
                      <w:rFonts w:ascii="Arial" w:eastAsia="Arial" w:hAnsi="Arial"/>
                      <w:b/>
                      <w:color w:val="000000"/>
                      <w:spacing w:val="2"/>
                      <w:sz w:val="24"/>
                    </w:rPr>
                    <w:t>Introduction</w:t>
                  </w:r>
                </w:p>
                <w:p w:rsidR="002C7725" w:rsidRDefault="00477936">
                  <w:pPr>
                    <w:spacing w:before="247" w:line="273" w:lineRule="exact"/>
                    <w:textAlignment w:val="baseline"/>
                    <w:rPr>
                      <w:rFonts w:ascii="Arial" w:eastAsia="Arial" w:hAnsi="Arial"/>
                      <w:b/>
                      <w:color w:val="000000"/>
                      <w:spacing w:val="-10"/>
                      <w:sz w:val="24"/>
                    </w:rPr>
                  </w:pPr>
                  <w:r>
                    <w:rPr>
                      <w:rFonts w:ascii="Arial" w:eastAsia="Arial" w:hAnsi="Arial"/>
                      <w:b/>
                      <w:color w:val="000000"/>
                      <w:spacing w:val="-10"/>
                      <w:sz w:val="24"/>
                    </w:rPr>
                    <w:t xml:space="preserve">Background to the Cairns Community Legal Centre </w:t>
                  </w:r>
                  <w:proofErr w:type="spellStart"/>
                  <w:r>
                    <w:rPr>
                      <w:rFonts w:ascii="Arial" w:eastAsia="Arial" w:hAnsi="Arial"/>
                      <w:b/>
                      <w:color w:val="000000"/>
                      <w:spacing w:val="-10"/>
                      <w:sz w:val="24"/>
                    </w:rPr>
                    <w:t>Inc</w:t>
                  </w:r>
                  <w:proofErr w:type="spellEnd"/>
                  <w:r>
                    <w:rPr>
                      <w:rFonts w:ascii="Arial" w:eastAsia="Arial" w:hAnsi="Arial"/>
                      <w:b/>
                      <w:color w:val="000000"/>
                      <w:spacing w:val="-10"/>
                      <w:sz w:val="24"/>
                    </w:rPr>
                    <w:t xml:space="preserve"> (CCLC)</w:t>
                  </w:r>
                </w:p>
                <w:p w:rsidR="002C7725" w:rsidRDefault="00477936">
                  <w:pPr>
                    <w:spacing w:before="256" w:line="228" w:lineRule="exact"/>
                    <w:ind w:right="288"/>
                    <w:textAlignment w:val="baseline"/>
                    <w:rPr>
                      <w:rFonts w:ascii="Arial" w:eastAsia="Arial" w:hAnsi="Arial"/>
                      <w:color w:val="000000"/>
                      <w:sz w:val="20"/>
                    </w:rPr>
                  </w:pPr>
                  <w:r>
                    <w:rPr>
                      <w:rFonts w:ascii="Arial" w:eastAsia="Arial" w:hAnsi="Arial"/>
                      <w:color w:val="000000"/>
                      <w:sz w:val="20"/>
                    </w:rPr>
                    <w:t xml:space="preserve">The CCLC is a non-profit, community based </w:t>
                  </w:r>
                  <w:proofErr w:type="spellStart"/>
                  <w:r>
                    <w:rPr>
                      <w:rFonts w:ascii="Arial" w:eastAsia="Arial" w:hAnsi="Arial"/>
                      <w:color w:val="000000"/>
                      <w:sz w:val="20"/>
                    </w:rPr>
                    <w:t>organisation</w:t>
                  </w:r>
                  <w:proofErr w:type="spellEnd"/>
                  <w:r>
                    <w:rPr>
                      <w:rFonts w:ascii="Arial" w:eastAsia="Arial" w:hAnsi="Arial"/>
                      <w:color w:val="000000"/>
                      <w:sz w:val="20"/>
                    </w:rPr>
                    <w:t xml:space="preserve"> run by volunteers and paid workers with Commonwealth and State Government funding to assist socially and financially disadvantaged persons in </w:t>
                  </w:r>
                  <w:r>
                    <w:rPr>
                      <w:rFonts w:ascii="Arial" w:eastAsia="Arial" w:hAnsi="Arial"/>
                      <w:color w:val="000000"/>
                      <w:sz w:val="20"/>
                    </w:rPr>
                    <w:t xml:space="preserve">Far North </w:t>
                  </w:r>
                  <w:proofErr w:type="spellStart"/>
                  <w:r>
                    <w:rPr>
                      <w:rFonts w:ascii="Arial" w:eastAsia="Arial" w:hAnsi="Arial"/>
                      <w:color w:val="000000"/>
                      <w:sz w:val="20"/>
                    </w:rPr>
                    <w:t>Qld</w:t>
                  </w:r>
                  <w:proofErr w:type="spellEnd"/>
                  <w:r>
                    <w:rPr>
                      <w:rFonts w:ascii="Arial" w:eastAsia="Arial" w:hAnsi="Arial"/>
                      <w:color w:val="000000"/>
                      <w:sz w:val="20"/>
                    </w:rPr>
                    <w:t xml:space="preserve"> with various legal problems and issues they face. It offers free legal services in the areas of criminal law, traffic matters, family law, civil law (including motor vehicle accidents and debt recovery matters), consumer complaints, employmen</w:t>
                  </w:r>
                  <w:r>
                    <w:rPr>
                      <w:rFonts w:ascii="Arial" w:eastAsia="Arial" w:hAnsi="Arial"/>
                      <w:color w:val="000000"/>
                      <w:sz w:val="20"/>
                    </w:rPr>
                    <w:t xml:space="preserve">t law, discrimination work (other than disability discrimination), </w:t>
                  </w:r>
                  <w:proofErr w:type="spellStart"/>
                  <w:r>
                    <w:rPr>
                      <w:rFonts w:ascii="Arial" w:eastAsia="Arial" w:hAnsi="Arial"/>
                      <w:color w:val="000000"/>
                      <w:sz w:val="20"/>
                    </w:rPr>
                    <w:t>neighbourhood</w:t>
                  </w:r>
                  <w:proofErr w:type="spellEnd"/>
                  <w:r>
                    <w:rPr>
                      <w:rFonts w:ascii="Arial" w:eastAsia="Arial" w:hAnsi="Arial"/>
                      <w:color w:val="000000"/>
                      <w:sz w:val="20"/>
                    </w:rPr>
                    <w:t xml:space="preserve"> disputes, bankruptcy matters and other miscellaneous matters.</w:t>
                  </w:r>
                </w:p>
                <w:p w:rsidR="002C7725" w:rsidRDefault="00477936">
                  <w:pPr>
                    <w:spacing w:before="229" w:line="230" w:lineRule="exact"/>
                    <w:textAlignment w:val="baseline"/>
                    <w:rPr>
                      <w:rFonts w:ascii="Arial" w:eastAsia="Arial" w:hAnsi="Arial"/>
                      <w:color w:val="000000"/>
                      <w:sz w:val="20"/>
                    </w:rPr>
                  </w:pPr>
                  <w:r>
                    <w:rPr>
                      <w:rFonts w:ascii="Arial" w:eastAsia="Arial" w:hAnsi="Arial"/>
                      <w:color w:val="000000"/>
                      <w:sz w:val="20"/>
                    </w:rPr>
                    <w:t>The CCLC offers other free legal services in addition to the cores service above.</w:t>
                  </w:r>
                </w:p>
                <w:p w:rsidR="002C7725" w:rsidRDefault="00477936">
                  <w:pPr>
                    <w:spacing w:before="229" w:line="230" w:lineRule="exact"/>
                    <w:ind w:right="360"/>
                    <w:textAlignment w:val="baseline"/>
                    <w:rPr>
                      <w:rFonts w:ascii="Arial" w:eastAsia="Arial" w:hAnsi="Arial"/>
                      <w:color w:val="000000"/>
                      <w:sz w:val="20"/>
                    </w:rPr>
                  </w:pPr>
                  <w:r>
                    <w:rPr>
                      <w:rFonts w:ascii="Arial" w:eastAsia="Arial" w:hAnsi="Arial"/>
                      <w:color w:val="000000"/>
                      <w:sz w:val="20"/>
                    </w:rPr>
                    <w:t>The Disability Discrimination L</w:t>
                  </w:r>
                  <w:r>
                    <w:rPr>
                      <w:rFonts w:ascii="Arial" w:eastAsia="Arial" w:hAnsi="Arial"/>
                      <w:color w:val="000000"/>
                      <w:sz w:val="20"/>
                    </w:rPr>
                    <w:t>egal Service (DDLS) provides legal advice and case work which relates to disability discrimination complaints under the Federal Disability Discrimination Act 1992 (DDA) and the Queensland Anti-Discrimination Act 1991 (Queensland Act).</w:t>
                  </w:r>
                </w:p>
                <w:p w:rsidR="002C7725" w:rsidRDefault="00477936">
                  <w:pPr>
                    <w:spacing w:before="233" w:line="228" w:lineRule="exact"/>
                    <w:ind w:right="288"/>
                    <w:textAlignment w:val="baseline"/>
                    <w:rPr>
                      <w:rFonts w:ascii="Arial" w:eastAsia="Arial" w:hAnsi="Arial"/>
                      <w:color w:val="000000"/>
                      <w:sz w:val="20"/>
                    </w:rPr>
                  </w:pPr>
                  <w:r>
                    <w:rPr>
                      <w:rFonts w:ascii="Arial" w:eastAsia="Arial" w:hAnsi="Arial"/>
                      <w:color w:val="000000"/>
                      <w:sz w:val="20"/>
                    </w:rPr>
                    <w:t>The Seniors Legal and</w:t>
                  </w:r>
                  <w:r>
                    <w:rPr>
                      <w:rFonts w:ascii="Arial" w:eastAsia="Arial" w:hAnsi="Arial"/>
                      <w:color w:val="000000"/>
                      <w:sz w:val="20"/>
                    </w:rPr>
                    <w:t xml:space="preserve"> Support Service </w:t>
                  </w:r>
                  <w:proofErr w:type="gramStart"/>
                  <w:r>
                    <w:rPr>
                      <w:rFonts w:ascii="Arial" w:eastAsia="Arial" w:hAnsi="Arial"/>
                      <w:color w:val="000000"/>
                      <w:sz w:val="20"/>
                    </w:rPr>
                    <w:t>offers</w:t>
                  </w:r>
                  <w:proofErr w:type="gramEnd"/>
                  <w:r>
                    <w:rPr>
                      <w:rFonts w:ascii="Arial" w:eastAsia="Arial" w:hAnsi="Arial"/>
                      <w:color w:val="000000"/>
                      <w:sz w:val="20"/>
                    </w:rPr>
                    <w:t xml:space="preserve"> legal and support services for the benefit of seniors affected by elder abuse or financial exploitation.</w:t>
                  </w:r>
                </w:p>
                <w:p w:rsidR="002C7725" w:rsidRDefault="00477936">
                  <w:pPr>
                    <w:spacing w:before="231" w:line="230" w:lineRule="exact"/>
                    <w:textAlignment w:val="baseline"/>
                    <w:rPr>
                      <w:rFonts w:ascii="Arial" w:eastAsia="Arial" w:hAnsi="Arial"/>
                      <w:color w:val="000000"/>
                      <w:sz w:val="20"/>
                    </w:rPr>
                  </w:pPr>
                  <w:r>
                    <w:rPr>
                      <w:rFonts w:ascii="Arial" w:eastAsia="Arial" w:hAnsi="Arial"/>
                      <w:color w:val="000000"/>
                      <w:sz w:val="20"/>
                    </w:rPr>
                    <w:t>Family Law Service offers legal services in relation to family law matters which involve children's issues.</w:t>
                  </w:r>
                </w:p>
                <w:p w:rsidR="002C7725" w:rsidRDefault="00477936">
                  <w:pPr>
                    <w:spacing w:before="229" w:line="229" w:lineRule="exact"/>
                    <w:ind w:right="288"/>
                    <w:textAlignment w:val="baseline"/>
                    <w:rPr>
                      <w:rFonts w:ascii="Arial" w:eastAsia="Arial" w:hAnsi="Arial"/>
                      <w:color w:val="000000"/>
                      <w:sz w:val="20"/>
                    </w:rPr>
                  </w:pPr>
                  <w:r>
                    <w:rPr>
                      <w:rFonts w:ascii="Arial" w:eastAsia="Arial" w:hAnsi="Arial"/>
                      <w:color w:val="000000"/>
                      <w:sz w:val="20"/>
                    </w:rPr>
                    <w:t>Consumer Law Servic</w:t>
                  </w:r>
                  <w:r>
                    <w:rPr>
                      <w:rFonts w:ascii="Arial" w:eastAsia="Arial" w:hAnsi="Arial"/>
                      <w:color w:val="000000"/>
                      <w:sz w:val="20"/>
                    </w:rPr>
                    <w:t>e offers legal services for consumers in relation to a range of consumer law matters including credit and debt matters, disputes about consumer products and services, bankruptcy matters and other consumer law matters.</w:t>
                  </w:r>
                </w:p>
                <w:p w:rsidR="002C7725" w:rsidRDefault="00477936">
                  <w:pPr>
                    <w:spacing w:before="237" w:line="225" w:lineRule="exact"/>
                    <w:textAlignment w:val="baseline"/>
                    <w:rPr>
                      <w:rFonts w:ascii="Arial" w:eastAsia="Arial" w:hAnsi="Arial"/>
                      <w:color w:val="000000"/>
                      <w:sz w:val="20"/>
                    </w:rPr>
                  </w:pPr>
                  <w:r>
                    <w:rPr>
                      <w:rFonts w:ascii="Arial" w:eastAsia="Arial" w:hAnsi="Arial"/>
                      <w:color w:val="000000"/>
                      <w:sz w:val="20"/>
                    </w:rPr>
                    <w:t>Community education and awareness-rais</w:t>
                  </w:r>
                  <w:r>
                    <w:rPr>
                      <w:rFonts w:ascii="Arial" w:eastAsia="Arial" w:hAnsi="Arial"/>
                      <w:color w:val="000000"/>
                      <w:sz w:val="20"/>
                    </w:rPr>
                    <w:t>ing activities as well as law reform work are important aspect of all the services.</w:t>
                  </w:r>
                </w:p>
                <w:p w:rsidR="002C7725" w:rsidRDefault="00477936">
                  <w:pPr>
                    <w:spacing w:before="457" w:line="273" w:lineRule="exact"/>
                    <w:textAlignment w:val="baseline"/>
                    <w:rPr>
                      <w:rFonts w:ascii="Arial" w:eastAsia="Arial" w:hAnsi="Arial"/>
                      <w:b/>
                      <w:color w:val="000000"/>
                      <w:spacing w:val="-5"/>
                      <w:sz w:val="24"/>
                    </w:rPr>
                  </w:pPr>
                  <w:r>
                    <w:rPr>
                      <w:rFonts w:ascii="Arial" w:eastAsia="Arial" w:hAnsi="Arial"/>
                      <w:b/>
                      <w:color w:val="000000"/>
                      <w:spacing w:val="-5"/>
                      <w:sz w:val="24"/>
                    </w:rPr>
                    <w:t>Our interest in the consultation</w:t>
                  </w:r>
                </w:p>
                <w:p w:rsidR="002C7725" w:rsidRDefault="00477936">
                  <w:pPr>
                    <w:spacing w:before="256" w:line="227" w:lineRule="exact"/>
                    <w:ind w:right="144"/>
                    <w:textAlignment w:val="baseline"/>
                    <w:rPr>
                      <w:rFonts w:ascii="Arial" w:eastAsia="Arial" w:hAnsi="Arial"/>
                      <w:color w:val="000000"/>
                      <w:sz w:val="20"/>
                    </w:rPr>
                  </w:pPr>
                  <w:r>
                    <w:rPr>
                      <w:rFonts w:ascii="Arial" w:eastAsia="Arial" w:hAnsi="Arial"/>
                      <w:color w:val="000000"/>
                      <w:sz w:val="20"/>
                    </w:rPr>
                    <w:t>Our client base is amongst the most vulnerable in society and we make submissions to protect and expand the protections of their human righ</w:t>
                  </w:r>
                  <w:r>
                    <w:rPr>
                      <w:rFonts w:ascii="Arial" w:eastAsia="Arial" w:hAnsi="Arial"/>
                      <w:color w:val="000000"/>
                      <w:sz w:val="20"/>
                    </w:rPr>
                    <w:t>ts.</w:t>
                  </w:r>
                </w:p>
                <w:p w:rsidR="002C7725" w:rsidRDefault="00477936">
                  <w:pPr>
                    <w:spacing w:before="232" w:line="230" w:lineRule="exact"/>
                    <w:ind w:right="288"/>
                    <w:textAlignment w:val="baseline"/>
                    <w:rPr>
                      <w:rFonts w:ascii="Arial" w:eastAsia="Arial" w:hAnsi="Arial"/>
                      <w:color w:val="000000"/>
                      <w:spacing w:val="-1"/>
                      <w:sz w:val="20"/>
                    </w:rPr>
                  </w:pPr>
                  <w:r>
                    <w:rPr>
                      <w:rFonts w:ascii="Arial" w:eastAsia="Arial" w:hAnsi="Arial"/>
                      <w:color w:val="000000"/>
                      <w:spacing w:val="-1"/>
                      <w:sz w:val="20"/>
                    </w:rPr>
                    <w:t>Our DDLS undertakes law reform projects to address systemic issues concerning disability discrimination. The Application for Temporary Exemption (the Application) by DSS meets our criteria for that work.</w:t>
                  </w:r>
                </w:p>
                <w:p w:rsidR="002C7725" w:rsidRDefault="00477936">
                  <w:pPr>
                    <w:spacing w:before="2" w:line="792" w:lineRule="exact"/>
                    <w:ind w:right="8064"/>
                    <w:textAlignment w:val="baseline"/>
                    <w:rPr>
                      <w:rFonts w:ascii="Arial" w:eastAsia="Arial" w:hAnsi="Arial"/>
                      <w:b/>
                      <w:color w:val="000000"/>
                      <w:sz w:val="24"/>
                    </w:rPr>
                  </w:pPr>
                  <w:r>
                    <w:rPr>
                      <w:rFonts w:ascii="Arial" w:eastAsia="Arial" w:hAnsi="Arial"/>
                      <w:b/>
                      <w:color w:val="000000"/>
                      <w:sz w:val="24"/>
                    </w:rPr>
                    <w:t>Observations Funding</w:t>
                  </w:r>
                </w:p>
                <w:p w:rsidR="002C7725" w:rsidRDefault="00477936">
                  <w:pPr>
                    <w:spacing w:before="253" w:line="230" w:lineRule="exact"/>
                    <w:textAlignment w:val="baseline"/>
                    <w:rPr>
                      <w:rFonts w:ascii="Arial" w:eastAsia="Arial" w:hAnsi="Arial"/>
                      <w:color w:val="000000"/>
                      <w:sz w:val="20"/>
                    </w:rPr>
                  </w:pPr>
                  <w:r>
                    <w:rPr>
                      <w:rFonts w:ascii="Arial" w:eastAsia="Arial" w:hAnsi="Arial"/>
                      <w:color w:val="000000"/>
                      <w:sz w:val="20"/>
                    </w:rPr>
                    <w:t>According to the Federal Government website, Australian Disability Enterprises (ADEs) (previously known as Business Services) are funded by the Australian Government Department of Social Services (DSS) (renamed from the Department of Families, Housing, Com</w:t>
                  </w:r>
                  <w:r>
                    <w:rPr>
                      <w:rFonts w:ascii="Arial" w:eastAsia="Arial" w:hAnsi="Arial"/>
                      <w:color w:val="000000"/>
                      <w:sz w:val="20"/>
                    </w:rPr>
                    <w:t xml:space="preserve">munities and Indigenous Affairs). The funding </w:t>
                  </w:r>
                  <w:proofErr w:type="spellStart"/>
                  <w:r>
                    <w:rPr>
                      <w:rFonts w:ascii="Arial" w:eastAsia="Arial" w:hAnsi="Arial"/>
                      <w:color w:val="000000"/>
                      <w:sz w:val="20"/>
                    </w:rPr>
                    <w:t>recognises</w:t>
                  </w:r>
                  <w:proofErr w:type="spellEnd"/>
                  <w:r>
                    <w:rPr>
                      <w:rFonts w:ascii="Arial" w:eastAsia="Arial" w:hAnsi="Arial"/>
                      <w:color w:val="000000"/>
                      <w:sz w:val="20"/>
                    </w:rPr>
                    <w:t xml:space="preserve"> the additional operating costs such as employing staff to support their employees with disability. It is not used to </w:t>
                  </w:r>
                  <w:proofErr w:type="spellStart"/>
                  <w:r>
                    <w:rPr>
                      <w:rFonts w:ascii="Arial" w:eastAsia="Arial" w:hAnsi="Arial"/>
                      <w:color w:val="000000"/>
                      <w:sz w:val="20"/>
                    </w:rPr>
                    <w:t>subsidise</w:t>
                  </w:r>
                  <w:proofErr w:type="spellEnd"/>
                  <w:r>
                    <w:rPr>
                      <w:rFonts w:ascii="Arial" w:eastAsia="Arial" w:hAnsi="Arial"/>
                      <w:color w:val="000000"/>
                      <w:sz w:val="20"/>
                    </w:rPr>
                    <w:t xml:space="preserve"> the wages and salaries of employees with a disability.</w:t>
                  </w:r>
                </w:p>
                <w:p w:rsidR="002C7725" w:rsidRDefault="00477936">
                  <w:pPr>
                    <w:spacing w:before="227" w:after="1419" w:line="231" w:lineRule="exact"/>
                    <w:textAlignment w:val="baseline"/>
                    <w:rPr>
                      <w:rFonts w:ascii="Arial" w:eastAsia="Arial" w:hAnsi="Arial"/>
                      <w:color w:val="000000"/>
                      <w:sz w:val="20"/>
                    </w:rPr>
                  </w:pPr>
                  <w:r>
                    <w:rPr>
                      <w:rFonts w:ascii="Arial" w:eastAsia="Arial" w:hAnsi="Arial"/>
                      <w:color w:val="000000"/>
                      <w:sz w:val="20"/>
                    </w:rPr>
                    <w:t>It also states th</w:t>
                  </w:r>
                  <w:r>
                    <w:rPr>
                      <w:rFonts w:ascii="Arial" w:eastAsia="Arial" w:hAnsi="Arial"/>
                      <w:color w:val="000000"/>
                      <w:sz w:val="20"/>
                    </w:rPr>
                    <w:t>at ADEs are commercial enterprises and that employees enjoy the same working conditions as those in the general workforce. We expect therefore that the various products and services offered by the ADEs would be based on competitive commercial rates. We not</w:t>
                  </w:r>
                  <w:r>
                    <w:rPr>
                      <w:rFonts w:ascii="Arial" w:eastAsia="Arial" w:hAnsi="Arial"/>
                      <w:color w:val="000000"/>
                      <w:sz w:val="20"/>
                    </w:rPr>
                    <w:t>e however that in 2000 only 53% of the Business Services industry broke even or were able to return a profit.</w:t>
                  </w:r>
                </w:p>
              </w:txbxContent>
            </v:textbox>
            <w10:wrap type="square" anchorx="page" anchory="page"/>
          </v:shape>
        </w:pict>
      </w:r>
      <w:r>
        <w:pict>
          <v:shape id="_x0000_s1046" type="#_x0000_t202" style="position:absolute;margin-left:28.8pt;margin-top:772.75pt;width:536.9pt;height:10.2pt;z-index:-251656192;mso-wrap-distance-left:0;mso-wrap-distance-right:0;mso-position-horizontal-relative:page;mso-position-vertical-relative:page" filled="f" stroked="f">
            <v:textbox inset="0,0,0,0">
              <w:txbxContent>
                <w:p w:rsidR="002C7725" w:rsidRDefault="00477936">
                  <w:pPr>
                    <w:tabs>
                      <w:tab w:val="right" w:pos="10656"/>
                    </w:tabs>
                    <w:spacing w:before="2" w:line="195" w:lineRule="exact"/>
                    <w:textAlignment w:val="baseline"/>
                    <w:rPr>
                      <w:rFonts w:ascii="Arial" w:eastAsia="Arial" w:hAnsi="Arial"/>
                      <w:color w:val="000000"/>
                      <w:sz w:val="18"/>
                    </w:rPr>
                  </w:pPr>
                  <w:r>
                    <w:rPr>
                      <w:rFonts w:ascii="Arial" w:eastAsia="Arial" w:hAnsi="Arial"/>
                      <w:color w:val="000000"/>
                      <w:sz w:val="18"/>
                    </w:rPr>
                    <w:t xml:space="preserve">Cairns Community Legal Centre </w:t>
                  </w:r>
                  <w:proofErr w:type="spellStart"/>
                  <w:r>
                    <w:rPr>
                      <w:rFonts w:ascii="Arial" w:eastAsia="Arial" w:hAnsi="Arial"/>
                      <w:color w:val="000000"/>
                      <w:sz w:val="18"/>
                    </w:rPr>
                    <w:t>Inc</w:t>
                  </w:r>
                  <w:proofErr w:type="spellEnd"/>
                  <w:r>
                    <w:rPr>
                      <w:rFonts w:ascii="Arial" w:eastAsia="Arial" w:hAnsi="Arial"/>
                      <w:color w:val="000000"/>
                      <w:sz w:val="18"/>
                    </w:rPr>
                    <w:tab/>
                    <w:t>2</w:t>
                  </w:r>
                </w:p>
              </w:txbxContent>
            </v:textbox>
            <w10:wrap type="square" anchorx="page" anchory="page"/>
          </v:shape>
        </w:pict>
      </w:r>
    </w:p>
    <w:p w:rsidR="002C7725" w:rsidRDefault="002C7725">
      <w:pPr>
        <w:sectPr w:rsidR="002C7725">
          <w:pgSz w:w="11914" w:h="16848"/>
          <w:pgMar w:top="980" w:right="600" w:bottom="324" w:left="576" w:header="720" w:footer="720" w:gutter="0"/>
          <w:cols w:space="720"/>
        </w:sectPr>
      </w:pPr>
    </w:p>
    <w:p w:rsidR="002C7725" w:rsidRDefault="00477936">
      <w:pPr>
        <w:textAlignment w:val="baseline"/>
        <w:rPr>
          <w:rFonts w:eastAsia="Times New Roman"/>
          <w:color w:val="000000"/>
          <w:sz w:val="24"/>
        </w:rPr>
      </w:pPr>
      <w:r>
        <w:lastRenderedPageBreak/>
        <w:pict>
          <v:shape id="_x0000_s1045" type="#_x0000_t202" style="position:absolute;margin-left:24.5pt;margin-top:43pt;width:540pt;height:715.2pt;z-index:-251655168;mso-wrap-distance-left:0;mso-wrap-distance-right:0;mso-position-horizontal-relative:page;mso-position-vertical-relative:page" filled="f" stroked="f">
            <v:textbox inset="0,0,0,0">
              <w:txbxContent>
                <w:p w:rsidR="002C7725" w:rsidRDefault="00477936">
                  <w:pPr>
                    <w:spacing w:line="230" w:lineRule="exact"/>
                    <w:ind w:left="1080"/>
                    <w:textAlignment w:val="baseline"/>
                    <w:rPr>
                      <w:rFonts w:ascii="Arial" w:eastAsia="Arial" w:hAnsi="Arial"/>
                      <w:color w:val="000000"/>
                      <w:sz w:val="20"/>
                    </w:rPr>
                  </w:pPr>
                  <w:r>
                    <w:rPr>
                      <w:rFonts w:ascii="Arial" w:eastAsia="Arial" w:hAnsi="Arial"/>
                      <w:color w:val="000000"/>
                      <w:sz w:val="20"/>
                    </w:rPr>
                    <w:t xml:space="preserve">In Mr </w:t>
                  </w:r>
                  <w:proofErr w:type="spellStart"/>
                  <w:r>
                    <w:rPr>
                      <w:rFonts w:ascii="Arial" w:eastAsia="Arial" w:hAnsi="Arial"/>
                      <w:color w:val="000000"/>
                      <w:sz w:val="20"/>
                    </w:rPr>
                    <w:t>Nojin's</w:t>
                  </w:r>
                  <w:proofErr w:type="spellEnd"/>
                  <w:r>
                    <w:rPr>
                      <w:rFonts w:ascii="Arial" w:eastAsia="Arial" w:hAnsi="Arial"/>
                      <w:color w:val="000000"/>
                      <w:sz w:val="20"/>
                    </w:rPr>
                    <w:t xml:space="preserve"> appeal to the Federal Court of Australia - Full Court, Buchanan J noted tha</w:t>
                  </w:r>
                  <w:r>
                    <w:rPr>
                      <w:rFonts w:ascii="Arial" w:eastAsia="Arial" w:hAnsi="Arial"/>
                      <w:color w:val="000000"/>
                      <w:sz w:val="20"/>
                    </w:rPr>
                    <w:t>t:</w:t>
                  </w:r>
                </w:p>
                <w:p w:rsidR="002C7725" w:rsidRDefault="00477936">
                  <w:pPr>
                    <w:spacing w:before="128" w:line="226" w:lineRule="exact"/>
                    <w:ind w:left="1440" w:right="720"/>
                    <w:textAlignment w:val="baseline"/>
                    <w:rPr>
                      <w:rFonts w:ascii="Arial" w:eastAsia="Arial" w:hAnsi="Arial"/>
                      <w:i/>
                      <w:color w:val="000000"/>
                      <w:sz w:val="20"/>
                    </w:rPr>
                  </w:pPr>
                  <w:r>
                    <w:rPr>
                      <w:rFonts w:ascii="Arial" w:eastAsia="Arial" w:hAnsi="Arial"/>
                      <w:i/>
                      <w:color w:val="000000"/>
                      <w:sz w:val="20"/>
                    </w:rPr>
                    <w:t xml:space="preserve">Use of an approved method </w:t>
                  </w:r>
                  <w:r>
                    <w:rPr>
                      <w:rFonts w:ascii="Arial" w:eastAsia="Arial" w:hAnsi="Arial"/>
                      <w:color w:val="000000"/>
                      <w:sz w:val="20"/>
                    </w:rPr>
                    <w:t xml:space="preserve">(for measuring the work value of disabled employees) </w:t>
                  </w:r>
                  <w:r>
                    <w:rPr>
                      <w:rFonts w:ascii="Arial" w:eastAsia="Arial" w:hAnsi="Arial"/>
                      <w:i/>
                      <w:color w:val="000000"/>
                      <w:sz w:val="20"/>
                    </w:rPr>
                    <w:t>was an important ingredient in securing support by way of Commonwealth funding, but there was no suggestion in the present case that either of the ADEs in question would lose</w:t>
                  </w:r>
                  <w:r>
                    <w:rPr>
                      <w:rFonts w:ascii="Arial" w:eastAsia="Arial" w:hAnsi="Arial"/>
                      <w:i/>
                      <w:color w:val="000000"/>
                      <w:sz w:val="20"/>
                    </w:rPr>
                    <w:t xml:space="preserve"> funding, or that Mr Nojin or Mr Prior would lose their employment, if BSWAT was not used to measure their work value.</w:t>
                  </w:r>
                </w:p>
                <w:p w:rsidR="002C7725" w:rsidRDefault="00477936">
                  <w:pPr>
                    <w:spacing w:before="246" w:line="228" w:lineRule="exact"/>
                    <w:ind w:left="1080" w:right="72"/>
                    <w:textAlignment w:val="baseline"/>
                    <w:rPr>
                      <w:rFonts w:ascii="Arial" w:eastAsia="Arial" w:hAnsi="Arial"/>
                      <w:color w:val="000000"/>
                      <w:sz w:val="20"/>
                    </w:rPr>
                  </w:pPr>
                  <w:r>
                    <w:rPr>
                      <w:rFonts w:ascii="Arial" w:eastAsia="Arial" w:hAnsi="Arial"/>
                      <w:color w:val="000000"/>
                      <w:sz w:val="20"/>
                    </w:rPr>
                    <w:t>We would expect therefore that other ADEs using Business Services Wage Assessment Tool (BSWAT) or hybrid assessment tools previously acce</w:t>
                  </w:r>
                  <w:r>
                    <w:rPr>
                      <w:rFonts w:ascii="Arial" w:eastAsia="Arial" w:hAnsi="Arial"/>
                      <w:color w:val="000000"/>
                      <w:sz w:val="20"/>
                    </w:rPr>
                    <w:t>pted by DSS as complying with legal obligations, similarly would not lose Commonwealth funding or have to lay off intellectually disabled workers.</w:t>
                  </w:r>
                </w:p>
                <w:p w:rsidR="002C7725" w:rsidRDefault="00477936">
                  <w:pPr>
                    <w:spacing w:before="240" w:line="226" w:lineRule="exact"/>
                    <w:ind w:left="1080" w:right="216"/>
                    <w:textAlignment w:val="baseline"/>
                    <w:rPr>
                      <w:rFonts w:ascii="Arial" w:eastAsia="Arial" w:hAnsi="Arial"/>
                      <w:color w:val="000000"/>
                      <w:sz w:val="20"/>
                    </w:rPr>
                  </w:pPr>
                  <w:r>
                    <w:rPr>
                      <w:rFonts w:ascii="Arial" w:eastAsia="Arial" w:hAnsi="Arial"/>
                      <w:color w:val="000000"/>
                      <w:sz w:val="20"/>
                    </w:rPr>
                    <w:t>It was acknowledged in the appeal matter that use of BSWAT led to lower actual wages, and that using the Supported Wage System tool (SWS) would result in higher wages.</w:t>
                  </w:r>
                </w:p>
                <w:p w:rsidR="002C7725" w:rsidRDefault="00477936">
                  <w:pPr>
                    <w:spacing w:before="236" w:line="229" w:lineRule="exact"/>
                    <w:ind w:left="1080" w:right="72"/>
                    <w:textAlignment w:val="baseline"/>
                    <w:rPr>
                      <w:rFonts w:ascii="Arial" w:eastAsia="Arial" w:hAnsi="Arial"/>
                      <w:color w:val="000000"/>
                      <w:sz w:val="20"/>
                    </w:rPr>
                  </w:pPr>
                  <w:r>
                    <w:rPr>
                      <w:rFonts w:ascii="Arial" w:eastAsia="Arial" w:hAnsi="Arial"/>
                      <w:color w:val="000000"/>
                      <w:sz w:val="20"/>
                    </w:rPr>
                    <w:t>In refusing leave to appeal the matter, the High Court focused on unchallenged expert evidence that BSWAT produced a differential effect for intellectually disabled persons and reduced their score (and income). The High Court saw no reason to doubt the con</w:t>
                  </w:r>
                  <w:r>
                    <w:rPr>
                      <w:rFonts w:ascii="Arial" w:eastAsia="Arial" w:hAnsi="Arial"/>
                      <w:color w:val="000000"/>
                      <w:sz w:val="20"/>
                    </w:rPr>
                    <w:t>clusion of the Full Federal Court (that competency assessments in BSWAT disadvantaged intellectually disabled persons financially).</w:t>
                  </w:r>
                </w:p>
                <w:p w:rsidR="002C7725" w:rsidRDefault="00477936">
                  <w:pPr>
                    <w:spacing w:before="235" w:line="226" w:lineRule="exact"/>
                    <w:ind w:left="1080" w:right="72"/>
                    <w:textAlignment w:val="baseline"/>
                    <w:rPr>
                      <w:rFonts w:ascii="Arial" w:eastAsia="Arial" w:hAnsi="Arial"/>
                      <w:color w:val="000000"/>
                      <w:sz w:val="20"/>
                    </w:rPr>
                  </w:pPr>
                  <w:r>
                    <w:rPr>
                      <w:rFonts w:ascii="Arial" w:eastAsia="Arial" w:hAnsi="Arial"/>
                      <w:color w:val="000000"/>
                      <w:sz w:val="20"/>
                    </w:rPr>
                    <w:t xml:space="preserve">Since over 75% of persons employed by ADEs have intellectual disabilities (figures obtained from the Appeal matter) and may </w:t>
                  </w:r>
                  <w:r>
                    <w:rPr>
                      <w:rFonts w:ascii="Arial" w:eastAsia="Arial" w:hAnsi="Arial"/>
                      <w:color w:val="000000"/>
                      <w:sz w:val="20"/>
                    </w:rPr>
                    <w:t>therefore be eligible for increased wages, those ADEs using tools other than SWS will face increased wage costs.</w:t>
                  </w:r>
                </w:p>
                <w:p w:rsidR="002C7725" w:rsidRDefault="00477936">
                  <w:pPr>
                    <w:spacing w:before="244" w:line="227" w:lineRule="exact"/>
                    <w:ind w:left="1080" w:right="72"/>
                    <w:textAlignment w:val="baseline"/>
                    <w:rPr>
                      <w:rFonts w:ascii="Arial" w:eastAsia="Arial" w:hAnsi="Arial"/>
                      <w:color w:val="000000"/>
                      <w:sz w:val="20"/>
                    </w:rPr>
                  </w:pPr>
                  <w:r>
                    <w:rPr>
                      <w:rFonts w:ascii="Arial" w:eastAsia="Arial" w:hAnsi="Arial"/>
                      <w:color w:val="000000"/>
                      <w:sz w:val="20"/>
                    </w:rPr>
                    <w:t>It can be deduced therefore that the main concern is the ability of the ADEs or DSS to adequately fund the increased wages which would result i</w:t>
                  </w:r>
                  <w:r>
                    <w:rPr>
                      <w:rFonts w:ascii="Arial" w:eastAsia="Arial" w:hAnsi="Arial"/>
                      <w:color w:val="000000"/>
                      <w:sz w:val="20"/>
                    </w:rPr>
                    <w:t>n consequence of the Nojin decision, and is not related to any particular physical barrier to avoiding the discrimination identified by that matter.</w:t>
                  </w:r>
                </w:p>
                <w:p w:rsidR="002C7725" w:rsidRDefault="00477936">
                  <w:pPr>
                    <w:spacing w:before="240" w:line="226" w:lineRule="exact"/>
                    <w:ind w:left="1080" w:right="144"/>
                    <w:textAlignment w:val="baseline"/>
                    <w:rPr>
                      <w:rFonts w:ascii="Arial" w:eastAsia="Arial" w:hAnsi="Arial"/>
                      <w:color w:val="000000"/>
                      <w:sz w:val="20"/>
                    </w:rPr>
                  </w:pPr>
                  <w:r>
                    <w:rPr>
                      <w:rFonts w:ascii="Arial" w:eastAsia="Arial" w:hAnsi="Arial"/>
                      <w:color w:val="000000"/>
                      <w:sz w:val="20"/>
                    </w:rPr>
                    <w:t>We expect therefore that increased wages will have to be reflected in the longer-term by renegotiated price</w:t>
                  </w:r>
                  <w:r>
                    <w:rPr>
                      <w:rFonts w:ascii="Arial" w:eastAsia="Arial" w:hAnsi="Arial"/>
                      <w:color w:val="000000"/>
                      <w:sz w:val="20"/>
                    </w:rPr>
                    <w:t>s for products and services offered by the ADEs. In the short-term, we expect that DSS will be called on to make up any shortfall.</w:t>
                  </w:r>
                </w:p>
                <w:p w:rsidR="002C7725" w:rsidRDefault="00477936">
                  <w:pPr>
                    <w:spacing w:before="237" w:line="229" w:lineRule="exact"/>
                    <w:ind w:left="1080" w:right="216"/>
                    <w:textAlignment w:val="baseline"/>
                    <w:rPr>
                      <w:rFonts w:ascii="Arial" w:eastAsia="Arial" w:hAnsi="Arial"/>
                      <w:color w:val="000000"/>
                      <w:sz w:val="20"/>
                    </w:rPr>
                  </w:pPr>
                  <w:r>
                    <w:rPr>
                      <w:rFonts w:ascii="Arial" w:eastAsia="Arial" w:hAnsi="Arial"/>
                      <w:color w:val="000000"/>
                      <w:sz w:val="20"/>
                    </w:rPr>
                    <w:t>We would suggest that DSS, as funder for the ADEs, cannot plead unjustifiable hardship for having to meet the financial oblig</w:t>
                  </w:r>
                  <w:r>
                    <w:rPr>
                      <w:rFonts w:ascii="Arial" w:eastAsia="Arial" w:hAnsi="Arial"/>
                      <w:color w:val="000000"/>
                      <w:sz w:val="20"/>
                    </w:rPr>
                    <w:t>ations of avoiding the discrimination identified in the Nojin matter.</w:t>
                  </w:r>
                </w:p>
                <w:p w:rsidR="002C7725" w:rsidRDefault="00477936">
                  <w:pPr>
                    <w:spacing w:before="220" w:line="274" w:lineRule="exact"/>
                    <w:ind w:left="1080"/>
                    <w:textAlignment w:val="baseline"/>
                    <w:rPr>
                      <w:rFonts w:ascii="Arial" w:eastAsia="Arial" w:hAnsi="Arial"/>
                      <w:b/>
                      <w:color w:val="000000"/>
                      <w:spacing w:val="-6"/>
                      <w:sz w:val="23"/>
                    </w:rPr>
                  </w:pPr>
                  <w:r>
                    <w:rPr>
                      <w:rFonts w:ascii="Arial" w:eastAsia="Arial" w:hAnsi="Arial"/>
                      <w:b/>
                      <w:color w:val="000000"/>
                      <w:spacing w:val="-6"/>
                      <w:sz w:val="23"/>
                    </w:rPr>
                    <w:t>Use of Assessment Tools</w:t>
                  </w:r>
                </w:p>
                <w:p w:rsidR="002C7725" w:rsidRDefault="00477936">
                  <w:pPr>
                    <w:spacing w:before="312" w:line="222" w:lineRule="exact"/>
                    <w:ind w:left="1080" w:right="432"/>
                    <w:textAlignment w:val="baseline"/>
                    <w:rPr>
                      <w:rFonts w:ascii="Arial" w:eastAsia="Arial" w:hAnsi="Arial"/>
                      <w:color w:val="000000"/>
                      <w:sz w:val="20"/>
                    </w:rPr>
                  </w:pPr>
                  <w:r>
                    <w:rPr>
                      <w:rFonts w:ascii="Arial" w:eastAsia="Arial" w:hAnsi="Arial"/>
                      <w:color w:val="000000"/>
                      <w:sz w:val="20"/>
                    </w:rPr>
                    <w:t>We note that according to material put before the Federal and High Courts in the Nojin matters relating to assessment tools used by ADEs:</w:t>
                  </w:r>
                </w:p>
                <w:p w:rsidR="002C7725" w:rsidRDefault="00477936">
                  <w:pPr>
                    <w:numPr>
                      <w:ilvl w:val="0"/>
                      <w:numId w:val="1"/>
                    </w:numPr>
                    <w:tabs>
                      <w:tab w:val="clear" w:pos="360"/>
                      <w:tab w:val="left" w:pos="1800"/>
                    </w:tabs>
                    <w:spacing w:before="144" w:line="227" w:lineRule="exact"/>
                    <w:ind w:left="1800" w:right="648" w:hanging="360"/>
                    <w:textAlignment w:val="baseline"/>
                    <w:rPr>
                      <w:rFonts w:ascii="Arial" w:eastAsia="Arial" w:hAnsi="Arial"/>
                      <w:color w:val="000000"/>
                      <w:sz w:val="20"/>
                    </w:rPr>
                  </w:pPr>
                  <w:r>
                    <w:rPr>
                      <w:rFonts w:ascii="Arial" w:eastAsia="Arial" w:hAnsi="Arial"/>
                      <w:color w:val="000000"/>
                      <w:sz w:val="20"/>
                    </w:rPr>
                    <w:t>approximately 10% use SW</w:t>
                  </w:r>
                  <w:r>
                    <w:rPr>
                      <w:rFonts w:ascii="Arial" w:eastAsia="Arial" w:hAnsi="Arial"/>
                      <w:color w:val="000000"/>
                      <w:sz w:val="20"/>
                    </w:rPr>
                    <w:t>S, which is the only tool approved for use in open employment and measures productivity only (not competency)</w:t>
                  </w:r>
                </w:p>
                <w:p w:rsidR="002C7725" w:rsidRDefault="00477936">
                  <w:pPr>
                    <w:numPr>
                      <w:ilvl w:val="0"/>
                      <w:numId w:val="1"/>
                    </w:numPr>
                    <w:tabs>
                      <w:tab w:val="clear" w:pos="360"/>
                      <w:tab w:val="left" w:pos="1800"/>
                    </w:tabs>
                    <w:spacing w:before="114" w:line="251" w:lineRule="exact"/>
                    <w:ind w:left="1800" w:hanging="360"/>
                    <w:textAlignment w:val="baseline"/>
                    <w:rPr>
                      <w:rFonts w:ascii="Arial" w:eastAsia="Arial" w:hAnsi="Arial"/>
                      <w:color w:val="000000"/>
                      <w:sz w:val="20"/>
                    </w:rPr>
                  </w:pPr>
                  <w:r>
                    <w:rPr>
                      <w:rFonts w:ascii="Arial" w:eastAsia="Arial" w:hAnsi="Arial"/>
                      <w:color w:val="000000"/>
                      <w:sz w:val="20"/>
                    </w:rPr>
                    <w:t>approximately 50% use BSWAT (which assesses productivity and competency)</w:t>
                  </w:r>
                </w:p>
                <w:p w:rsidR="002C7725" w:rsidRDefault="00477936">
                  <w:pPr>
                    <w:numPr>
                      <w:ilvl w:val="0"/>
                      <w:numId w:val="1"/>
                    </w:numPr>
                    <w:tabs>
                      <w:tab w:val="clear" w:pos="360"/>
                      <w:tab w:val="left" w:pos="1800"/>
                    </w:tabs>
                    <w:spacing w:before="116" w:line="253" w:lineRule="exact"/>
                    <w:ind w:left="1800" w:hanging="360"/>
                    <w:textAlignment w:val="baseline"/>
                    <w:rPr>
                      <w:rFonts w:ascii="Arial" w:eastAsia="Arial" w:hAnsi="Arial"/>
                      <w:color w:val="000000"/>
                      <w:sz w:val="20"/>
                    </w:rPr>
                  </w:pPr>
                  <w:r>
                    <w:rPr>
                      <w:rFonts w:ascii="Arial" w:eastAsia="Arial" w:hAnsi="Arial"/>
                      <w:color w:val="000000"/>
                      <w:sz w:val="20"/>
                    </w:rPr>
                    <w:t>the remaining 40% use other hybrid tools which incorporated some or only competency assessment</w:t>
                  </w:r>
                </w:p>
                <w:p w:rsidR="002C7725" w:rsidRDefault="00477936">
                  <w:pPr>
                    <w:spacing w:before="229" w:line="231" w:lineRule="exact"/>
                    <w:ind w:left="1080" w:right="144"/>
                    <w:textAlignment w:val="baseline"/>
                    <w:rPr>
                      <w:rFonts w:ascii="Arial" w:eastAsia="Arial" w:hAnsi="Arial"/>
                      <w:color w:val="000000"/>
                      <w:sz w:val="20"/>
                    </w:rPr>
                  </w:pPr>
                  <w:r>
                    <w:rPr>
                      <w:rFonts w:ascii="Arial" w:eastAsia="Arial" w:hAnsi="Arial"/>
                      <w:color w:val="000000"/>
                      <w:sz w:val="20"/>
                    </w:rPr>
                    <w:t>We question therefore why DSS has applied for an exemption related to the use of BSWAT for all existing ADEs when only 50% are affected. The ADEs which use SWS d</w:t>
                  </w:r>
                  <w:r>
                    <w:rPr>
                      <w:rFonts w:ascii="Arial" w:eastAsia="Arial" w:hAnsi="Arial"/>
                      <w:color w:val="000000"/>
                      <w:sz w:val="20"/>
                    </w:rPr>
                    <w:t>o not need the exemption, and those using other hybrid assessment tools would still be subject to formal Complaints of Disability Discrimination.</w:t>
                  </w:r>
                </w:p>
                <w:p w:rsidR="002C7725" w:rsidRDefault="00477936">
                  <w:pPr>
                    <w:spacing w:before="226" w:line="229" w:lineRule="exact"/>
                    <w:ind w:left="1080" w:right="144"/>
                    <w:textAlignment w:val="baseline"/>
                    <w:rPr>
                      <w:rFonts w:ascii="Arial" w:eastAsia="Arial" w:hAnsi="Arial"/>
                      <w:color w:val="000000"/>
                      <w:sz w:val="20"/>
                    </w:rPr>
                  </w:pPr>
                  <w:r>
                    <w:rPr>
                      <w:rFonts w:ascii="Arial" w:eastAsia="Arial" w:hAnsi="Arial"/>
                      <w:color w:val="000000"/>
                      <w:sz w:val="20"/>
                    </w:rPr>
                    <w:t>Alternatively, those 40% of ADEs using other hybrid tools may be persuaded by DSS to move temporarily to using</w:t>
                  </w:r>
                  <w:r>
                    <w:rPr>
                      <w:rFonts w:ascii="Arial" w:eastAsia="Arial" w:hAnsi="Arial"/>
                      <w:color w:val="000000"/>
                      <w:sz w:val="20"/>
                    </w:rPr>
                    <w:t xml:space="preserve"> BSWAT assessment so as to be covered by an exemption. This would require a massive investment in re-assessing employees currently working for those ADEs, an investment which could be put to better use to pay the increased wages.</w:t>
                  </w:r>
                </w:p>
                <w:p w:rsidR="002C7725" w:rsidRDefault="00477936">
                  <w:pPr>
                    <w:spacing w:before="449" w:line="274" w:lineRule="exact"/>
                    <w:ind w:left="1080"/>
                    <w:textAlignment w:val="baseline"/>
                    <w:rPr>
                      <w:rFonts w:ascii="Arial" w:eastAsia="Arial" w:hAnsi="Arial"/>
                      <w:b/>
                      <w:color w:val="000000"/>
                      <w:spacing w:val="-4"/>
                      <w:sz w:val="23"/>
                    </w:rPr>
                  </w:pPr>
                  <w:r>
                    <w:rPr>
                      <w:rFonts w:ascii="Arial" w:eastAsia="Arial" w:hAnsi="Arial"/>
                      <w:b/>
                      <w:color w:val="000000"/>
                      <w:spacing w:val="-4"/>
                      <w:sz w:val="23"/>
                    </w:rPr>
                    <w:t>Quality assurance</w:t>
                  </w:r>
                </w:p>
                <w:p w:rsidR="002C7725" w:rsidRDefault="00477936">
                  <w:pPr>
                    <w:spacing w:before="247" w:after="743" w:line="231" w:lineRule="exact"/>
                    <w:ind w:left="1080"/>
                    <w:textAlignment w:val="baseline"/>
                    <w:rPr>
                      <w:rFonts w:ascii="Arial" w:eastAsia="Arial" w:hAnsi="Arial"/>
                      <w:color w:val="000000"/>
                      <w:sz w:val="20"/>
                    </w:rPr>
                  </w:pPr>
                  <w:r>
                    <w:rPr>
                      <w:rFonts w:ascii="Arial" w:eastAsia="Arial" w:hAnsi="Arial"/>
                      <w:color w:val="000000"/>
                      <w:sz w:val="20"/>
                    </w:rPr>
                    <w:t>In its A</w:t>
                  </w:r>
                  <w:r>
                    <w:rPr>
                      <w:rFonts w:ascii="Arial" w:eastAsia="Arial" w:hAnsi="Arial"/>
                      <w:color w:val="000000"/>
                      <w:sz w:val="20"/>
                    </w:rPr>
                    <w:t>pplication DSS refers to:</w:t>
                  </w:r>
                </w:p>
              </w:txbxContent>
            </v:textbox>
            <w10:wrap type="square" anchorx="page" anchory="page"/>
          </v:shape>
        </w:pict>
      </w:r>
      <w:r>
        <w:pict>
          <v:shape id="_x0000_s1044" type="#_x0000_t202" style="position:absolute;margin-left:24.5pt;margin-top:758.2pt;width:540pt;height:77.8pt;z-index:-251654144;mso-wrap-distance-left:0;mso-wrap-distance-right:0;mso-position-horizontal-relative:page;mso-position-vertical-relative:page" filled="f" stroked="f">
            <v:textbox inset="0,0,0,0">
              <w:txbxContent>
                <w:p w:rsidR="002C7725" w:rsidRDefault="00477936">
                  <w:pPr>
                    <w:tabs>
                      <w:tab w:val="right" w:pos="10656"/>
                    </w:tabs>
                    <w:spacing w:before="234" w:after="1123" w:line="197" w:lineRule="exact"/>
                    <w:textAlignment w:val="baseline"/>
                    <w:rPr>
                      <w:rFonts w:ascii="Arial" w:eastAsia="Arial" w:hAnsi="Arial"/>
                      <w:b/>
                      <w:color w:val="000000"/>
                      <w:sz w:val="17"/>
                    </w:rPr>
                  </w:pPr>
                  <w:r>
                    <w:rPr>
                      <w:rFonts w:ascii="Arial" w:eastAsia="Arial" w:hAnsi="Arial"/>
                      <w:b/>
                      <w:color w:val="000000"/>
                      <w:sz w:val="17"/>
                    </w:rPr>
                    <w:t xml:space="preserve">Cairns Community Legal Centre </w:t>
                  </w:r>
                  <w:proofErr w:type="spellStart"/>
                  <w:r>
                    <w:rPr>
                      <w:rFonts w:ascii="Arial" w:eastAsia="Arial" w:hAnsi="Arial"/>
                      <w:b/>
                      <w:color w:val="000000"/>
                      <w:sz w:val="17"/>
                    </w:rPr>
                    <w:t>Inc</w:t>
                  </w:r>
                  <w:proofErr w:type="spellEnd"/>
                  <w:r>
                    <w:rPr>
                      <w:rFonts w:ascii="Arial" w:eastAsia="Arial" w:hAnsi="Arial"/>
                      <w:b/>
                      <w:color w:val="000000"/>
                      <w:sz w:val="17"/>
                    </w:rPr>
                    <w:tab/>
                  </w:r>
                  <w:r>
                    <w:rPr>
                      <w:rFonts w:ascii="Arial" w:eastAsia="Arial" w:hAnsi="Arial"/>
                      <w:color w:val="000000"/>
                      <w:sz w:val="17"/>
                    </w:rPr>
                    <w:t>3</w:t>
                  </w:r>
                </w:p>
              </w:txbxContent>
            </v:textbox>
            <w10:wrap type="square" anchorx="page" anchory="page"/>
          </v:shape>
        </w:pict>
      </w:r>
      <w:r>
        <w:pict>
          <v:line id="_x0000_s1043" style="position:absolute;z-index:251644928;mso-position-horizontal-relative:page;mso-position-vertical-relative:page" from="24.5pt,759.1pt" to="560.7pt,759.1pt" strokeweight="1.7pt">
            <w10:wrap anchorx="page" anchory="page"/>
          </v:line>
        </w:pict>
      </w:r>
      <w:r>
        <w:pict>
          <v:line id="_x0000_s1042" style="position:absolute;z-index:251645952;mso-position-horizontal-relative:page;mso-position-vertical-relative:page" from="128.4pt,835.2pt" to="161.1pt,835.2pt" strokeweight=".25pt">
            <w10:wrap anchorx="page" anchory="page"/>
          </v:line>
        </w:pict>
      </w:r>
      <w:r>
        <w:pict>
          <v:line id="_x0000_s1041" style="position:absolute;z-index:251646976;mso-position-horizontal-relative:page;mso-position-vertical-relative:page" from="24.5pt,761.5pt" to="565pt,761.5pt" strokeweight="1.7pt">
            <w10:wrap anchorx="page" anchory="page"/>
          </v:line>
        </w:pict>
      </w:r>
    </w:p>
    <w:p w:rsidR="002C7725" w:rsidRDefault="002C7725">
      <w:pPr>
        <w:sectPr w:rsidR="002C7725">
          <w:pgSz w:w="11914" w:h="16848"/>
          <w:pgMar w:top="572" w:right="624" w:bottom="34" w:left="490" w:header="720" w:footer="720" w:gutter="0"/>
          <w:cols w:space="720"/>
        </w:sectPr>
      </w:pPr>
    </w:p>
    <w:p w:rsidR="002C7725" w:rsidRDefault="00477936">
      <w:pPr>
        <w:textAlignment w:val="baseline"/>
        <w:rPr>
          <w:rFonts w:eastAsia="Times New Roman"/>
          <w:color w:val="000000"/>
          <w:sz w:val="24"/>
        </w:rPr>
      </w:pPr>
      <w:r>
        <w:lastRenderedPageBreak/>
        <w:pict>
          <v:shape id="_x0000_s1040" type="#_x0000_t202" style="position:absolute;margin-left:78.95pt;margin-top:46pt;width:486pt;height:714.6pt;z-index:-251653120;mso-wrap-distance-left:0;mso-wrap-distance-right:0;mso-position-horizontal-relative:page;mso-position-vertical-relative:page" filled="f" stroked="f">
            <v:textbox inset="0,0,0,0">
              <w:txbxContent>
                <w:p w:rsidR="002C7725" w:rsidRDefault="00477936">
                  <w:pPr>
                    <w:spacing w:before="4" w:line="226" w:lineRule="exact"/>
                    <w:ind w:left="360"/>
                    <w:textAlignment w:val="baseline"/>
                    <w:rPr>
                      <w:rFonts w:ascii="Arial" w:eastAsia="Arial" w:hAnsi="Arial"/>
                      <w:i/>
                      <w:color w:val="000000"/>
                      <w:sz w:val="20"/>
                    </w:rPr>
                  </w:pPr>
                  <w:r>
                    <w:rPr>
                      <w:rFonts w:ascii="Arial" w:eastAsia="Arial" w:hAnsi="Arial"/>
                      <w:i/>
                      <w:color w:val="000000"/>
                      <w:sz w:val="20"/>
                    </w:rPr>
                    <w:t>the emerging need to ensure that ADEs are able to meet legislated quality assurance</w:t>
                  </w:r>
                </w:p>
                <w:p w:rsidR="002C7725" w:rsidRDefault="00477936">
                  <w:pPr>
                    <w:spacing w:before="7" w:line="226" w:lineRule="exact"/>
                    <w:ind w:left="360" w:right="576"/>
                    <w:textAlignment w:val="baseline"/>
                    <w:rPr>
                      <w:rFonts w:ascii="Arial" w:eastAsia="Arial" w:hAnsi="Arial"/>
                      <w:i/>
                      <w:color w:val="000000"/>
                      <w:sz w:val="20"/>
                    </w:rPr>
                  </w:pPr>
                  <w:r>
                    <w:rPr>
                      <w:rFonts w:ascii="Arial" w:eastAsia="Arial" w:hAnsi="Arial"/>
                      <w:i/>
                      <w:color w:val="000000"/>
                      <w:sz w:val="20"/>
                    </w:rPr>
                    <w:t xml:space="preserve">requirements, particularly Standard 9, Employment Conditions. Failure to meet these requirements </w:t>
                  </w:r>
                  <w:proofErr w:type="spellStart"/>
                  <w:r>
                    <w:rPr>
                      <w:rFonts w:ascii="Arial" w:eastAsia="Arial" w:hAnsi="Arial"/>
                      <w:i/>
                      <w:color w:val="000000"/>
                      <w:sz w:val="20"/>
                    </w:rPr>
                    <w:t>jeopardises</w:t>
                  </w:r>
                  <w:proofErr w:type="spellEnd"/>
                  <w:r>
                    <w:rPr>
                      <w:rFonts w:ascii="Arial" w:eastAsia="Arial" w:hAnsi="Arial"/>
                      <w:i/>
                      <w:color w:val="000000"/>
                      <w:sz w:val="20"/>
                    </w:rPr>
                    <w:t xml:space="preserve"> the ability of </w:t>
                  </w:r>
                  <w:proofErr w:type="spellStart"/>
                  <w:r>
                    <w:rPr>
                      <w:rFonts w:ascii="Arial" w:eastAsia="Arial" w:hAnsi="Arial"/>
                      <w:i/>
                      <w:color w:val="000000"/>
                      <w:sz w:val="20"/>
                    </w:rPr>
                    <w:t>organisations</w:t>
                  </w:r>
                  <w:proofErr w:type="spellEnd"/>
                  <w:r>
                    <w:rPr>
                      <w:rFonts w:ascii="Arial" w:eastAsia="Arial" w:hAnsi="Arial"/>
                      <w:i/>
                      <w:color w:val="000000"/>
                      <w:sz w:val="20"/>
                    </w:rPr>
                    <w:t xml:space="preserve"> to continue to receive government funding to deliver supported employment.</w:t>
                  </w:r>
                </w:p>
                <w:p w:rsidR="002C7725" w:rsidRDefault="00477936">
                  <w:pPr>
                    <w:spacing w:before="232" w:line="230" w:lineRule="exact"/>
                    <w:textAlignment w:val="baseline"/>
                    <w:rPr>
                      <w:rFonts w:ascii="Arial" w:eastAsia="Arial" w:hAnsi="Arial"/>
                      <w:color w:val="000000"/>
                      <w:spacing w:val="-1"/>
                      <w:sz w:val="20"/>
                    </w:rPr>
                  </w:pPr>
                  <w:r>
                    <w:rPr>
                      <w:rFonts w:ascii="Arial" w:eastAsia="Arial" w:hAnsi="Arial"/>
                      <w:color w:val="000000"/>
                      <w:spacing w:val="-1"/>
                      <w:sz w:val="20"/>
                    </w:rPr>
                    <w:t>We note that:</w:t>
                  </w:r>
                </w:p>
                <w:p w:rsidR="002C7725" w:rsidRDefault="00477936">
                  <w:pPr>
                    <w:numPr>
                      <w:ilvl w:val="0"/>
                      <w:numId w:val="1"/>
                    </w:numPr>
                    <w:tabs>
                      <w:tab w:val="clear" w:pos="360"/>
                      <w:tab w:val="left" w:pos="720"/>
                    </w:tabs>
                    <w:spacing w:before="145" w:line="226" w:lineRule="exact"/>
                    <w:ind w:right="288" w:hanging="360"/>
                    <w:textAlignment w:val="baseline"/>
                    <w:rPr>
                      <w:rFonts w:ascii="Arial" w:eastAsia="Arial" w:hAnsi="Arial"/>
                      <w:color w:val="000000"/>
                      <w:sz w:val="20"/>
                    </w:rPr>
                  </w:pPr>
                  <w:r>
                    <w:rPr>
                      <w:rFonts w:ascii="Arial" w:eastAsia="Arial" w:hAnsi="Arial"/>
                      <w:color w:val="000000"/>
                      <w:sz w:val="20"/>
                    </w:rPr>
                    <w:t>Standard 9: Employment condit</w:t>
                  </w:r>
                  <w:r>
                    <w:rPr>
                      <w:rFonts w:ascii="Arial" w:eastAsia="Arial" w:hAnsi="Arial"/>
                      <w:color w:val="000000"/>
                      <w:sz w:val="20"/>
                    </w:rPr>
                    <w:t xml:space="preserve">ions referred to, forms part of the </w:t>
                  </w:r>
                  <w:r>
                    <w:rPr>
                      <w:rFonts w:ascii="Arial" w:eastAsia="Arial" w:hAnsi="Arial"/>
                      <w:i/>
                      <w:color w:val="000000"/>
                      <w:sz w:val="20"/>
                    </w:rPr>
                    <w:t>Disability Service Standards (</w:t>
                  </w:r>
                  <w:proofErr w:type="spellStart"/>
                  <w:r>
                    <w:rPr>
                      <w:rFonts w:ascii="Arial" w:eastAsia="Arial" w:hAnsi="Arial"/>
                      <w:i/>
                      <w:color w:val="000000"/>
                      <w:sz w:val="20"/>
                    </w:rPr>
                    <w:t>FaCSIA</w:t>
                  </w:r>
                  <w:proofErr w:type="spellEnd"/>
                  <w:r>
                    <w:rPr>
                      <w:rFonts w:ascii="Arial" w:eastAsia="Arial" w:hAnsi="Arial"/>
                      <w:i/>
                      <w:color w:val="000000"/>
                      <w:sz w:val="20"/>
                    </w:rPr>
                    <w:t xml:space="preserve">) </w:t>
                  </w:r>
                  <w:r>
                    <w:rPr>
                      <w:rFonts w:ascii="Arial" w:eastAsia="Arial" w:hAnsi="Arial"/>
                      <w:i/>
                      <w:color w:val="000000"/>
                      <w:sz w:val="20"/>
                      <w:u w:val="single"/>
                    </w:rPr>
                    <w:t>2007</w:t>
                  </w:r>
                  <w:r>
                    <w:rPr>
                      <w:rFonts w:ascii="Arial" w:eastAsia="Arial" w:hAnsi="Arial"/>
                      <w:color w:val="000000"/>
                      <w:sz w:val="20"/>
                    </w:rPr>
                    <w:t xml:space="preserve"> (underlining added). It mandates that each person with a disability enjoys working conditions comparable to those of the general workforce (that is, in open employment). The ADEs have had to comply with that Standard for the past six years.</w:t>
                  </w:r>
                </w:p>
                <w:p w:rsidR="002C7725" w:rsidRDefault="00477936">
                  <w:pPr>
                    <w:numPr>
                      <w:ilvl w:val="0"/>
                      <w:numId w:val="1"/>
                    </w:numPr>
                    <w:tabs>
                      <w:tab w:val="clear" w:pos="360"/>
                      <w:tab w:val="left" w:pos="720"/>
                    </w:tabs>
                    <w:spacing w:before="136" w:line="230" w:lineRule="exact"/>
                    <w:ind w:right="72" w:hanging="360"/>
                    <w:textAlignment w:val="baseline"/>
                    <w:rPr>
                      <w:rFonts w:ascii="Arial" w:eastAsia="Arial" w:hAnsi="Arial"/>
                      <w:color w:val="000000"/>
                      <w:sz w:val="20"/>
                    </w:rPr>
                  </w:pPr>
                  <w:r>
                    <w:rPr>
                      <w:rFonts w:ascii="Arial" w:eastAsia="Arial" w:hAnsi="Arial"/>
                      <w:color w:val="000000"/>
                      <w:sz w:val="20"/>
                    </w:rPr>
                    <w:t>One Key Perfor</w:t>
                  </w:r>
                  <w:r>
                    <w:rPr>
                      <w:rFonts w:ascii="Arial" w:eastAsia="Arial" w:hAnsi="Arial"/>
                      <w:color w:val="000000"/>
                      <w:sz w:val="20"/>
                    </w:rPr>
                    <w:t xml:space="preserve">mance Indicator (KPI) for that Standard requires service providers to ensure that people with a disability in open or supported employment (such as with ADEs) receive pro-rata wages where they are unable to work at full </w:t>
                  </w:r>
                  <w:r>
                    <w:rPr>
                      <w:rFonts w:ascii="Arial" w:eastAsia="Arial" w:hAnsi="Arial"/>
                      <w:color w:val="000000"/>
                      <w:sz w:val="20"/>
                      <w:u w:val="single"/>
                    </w:rPr>
                    <w:t>productive</w:t>
                  </w:r>
                  <w:r>
                    <w:rPr>
                      <w:rFonts w:ascii="Arial" w:eastAsia="Arial" w:hAnsi="Arial"/>
                      <w:color w:val="000000"/>
                      <w:sz w:val="20"/>
                    </w:rPr>
                    <w:t xml:space="preserve"> capacity due to disabilit</w:t>
                  </w:r>
                  <w:r>
                    <w:rPr>
                      <w:rFonts w:ascii="Arial" w:eastAsia="Arial" w:hAnsi="Arial"/>
                      <w:color w:val="000000"/>
                      <w:sz w:val="20"/>
                    </w:rPr>
                    <w:t>y, with those wages determined through a transparent assessment tool or process, such as the SWS or tools that comply with criteria referred to in the Guide to Good Practice Wage Determination (the GP Guide).</w:t>
                  </w:r>
                </w:p>
                <w:p w:rsidR="002C7725" w:rsidRDefault="00477936">
                  <w:pPr>
                    <w:numPr>
                      <w:ilvl w:val="0"/>
                      <w:numId w:val="1"/>
                    </w:numPr>
                    <w:tabs>
                      <w:tab w:val="clear" w:pos="360"/>
                      <w:tab w:val="left" w:pos="720"/>
                    </w:tabs>
                    <w:spacing w:before="132" w:line="230" w:lineRule="exact"/>
                    <w:ind w:right="72" w:hanging="360"/>
                    <w:textAlignment w:val="baseline"/>
                    <w:rPr>
                      <w:rFonts w:ascii="Arial" w:eastAsia="Arial" w:hAnsi="Arial"/>
                      <w:color w:val="000000"/>
                      <w:sz w:val="20"/>
                    </w:rPr>
                  </w:pPr>
                  <w:r>
                    <w:rPr>
                      <w:rFonts w:ascii="Arial" w:eastAsia="Arial" w:hAnsi="Arial"/>
                      <w:color w:val="000000"/>
                      <w:sz w:val="20"/>
                    </w:rPr>
                    <w:t xml:space="preserve">The GP Guide was published in </w:t>
                  </w:r>
                  <w:r>
                    <w:rPr>
                      <w:rFonts w:ascii="Arial" w:eastAsia="Arial" w:hAnsi="Arial"/>
                      <w:color w:val="000000"/>
                      <w:sz w:val="20"/>
                      <w:u w:val="single"/>
                    </w:rPr>
                    <w:t>May 2001</w:t>
                  </w:r>
                  <w:r>
                    <w:rPr>
                      <w:rFonts w:ascii="Arial" w:eastAsia="Arial" w:hAnsi="Arial"/>
                      <w:color w:val="000000"/>
                      <w:sz w:val="20"/>
                    </w:rPr>
                    <w:t xml:space="preserve"> (before </w:t>
                  </w:r>
                  <w:r>
                    <w:rPr>
                      <w:rFonts w:ascii="Arial" w:eastAsia="Arial" w:hAnsi="Arial"/>
                      <w:color w:val="000000"/>
                      <w:sz w:val="20"/>
                    </w:rPr>
                    <w:t>the consultation process which led to the development of BSWAT) and acknowledges that SWS is a valid, reliable and accepted form of wage assessment and is deemed to comply with relevant legislation and Standards.</w:t>
                  </w:r>
                </w:p>
                <w:p w:rsidR="002C7725" w:rsidRDefault="00477936">
                  <w:pPr>
                    <w:numPr>
                      <w:ilvl w:val="0"/>
                      <w:numId w:val="1"/>
                    </w:numPr>
                    <w:tabs>
                      <w:tab w:val="clear" w:pos="360"/>
                      <w:tab w:val="left" w:pos="720"/>
                    </w:tabs>
                    <w:spacing w:before="134" w:line="229" w:lineRule="exact"/>
                    <w:ind w:right="792" w:hanging="360"/>
                    <w:textAlignment w:val="baseline"/>
                    <w:rPr>
                      <w:rFonts w:ascii="Arial" w:eastAsia="Arial" w:hAnsi="Arial"/>
                      <w:color w:val="000000"/>
                      <w:sz w:val="20"/>
                    </w:rPr>
                  </w:pPr>
                  <w:r>
                    <w:rPr>
                      <w:rFonts w:ascii="Arial" w:eastAsia="Arial" w:hAnsi="Arial"/>
                      <w:color w:val="000000"/>
                      <w:sz w:val="20"/>
                    </w:rPr>
                    <w:t>In relation to Standard 9, the GP Guide als</w:t>
                  </w:r>
                  <w:r>
                    <w:rPr>
                      <w:rFonts w:ascii="Arial" w:eastAsia="Arial" w:hAnsi="Arial"/>
                      <w:color w:val="000000"/>
                      <w:sz w:val="20"/>
                    </w:rPr>
                    <w:t xml:space="preserve">o confirmed that Government contributions do not </w:t>
                  </w:r>
                  <w:proofErr w:type="spellStart"/>
                  <w:r>
                    <w:rPr>
                      <w:rFonts w:ascii="Arial" w:eastAsia="Arial" w:hAnsi="Arial"/>
                      <w:color w:val="000000"/>
                      <w:sz w:val="20"/>
                    </w:rPr>
                    <w:t>subsidise</w:t>
                  </w:r>
                  <w:proofErr w:type="spellEnd"/>
                  <w:r>
                    <w:rPr>
                      <w:rFonts w:ascii="Arial" w:eastAsia="Arial" w:hAnsi="Arial"/>
                      <w:color w:val="000000"/>
                      <w:sz w:val="20"/>
                    </w:rPr>
                    <w:t xml:space="preserve"> the wages and salaries of employees with a disability.</w:t>
                  </w:r>
                </w:p>
                <w:p w:rsidR="002C7725" w:rsidRDefault="00477936">
                  <w:pPr>
                    <w:spacing w:before="233" w:line="228" w:lineRule="exact"/>
                    <w:ind w:right="360"/>
                    <w:textAlignment w:val="baseline"/>
                    <w:rPr>
                      <w:rFonts w:ascii="Arial" w:eastAsia="Arial" w:hAnsi="Arial"/>
                      <w:color w:val="000000"/>
                      <w:sz w:val="20"/>
                    </w:rPr>
                  </w:pPr>
                  <w:r>
                    <w:rPr>
                      <w:rFonts w:ascii="Arial" w:eastAsia="Arial" w:hAnsi="Arial"/>
                      <w:color w:val="000000"/>
                      <w:sz w:val="20"/>
                    </w:rPr>
                    <w:t xml:space="preserve">We find it incongruous for DSS to suggest that the </w:t>
                  </w:r>
                  <w:proofErr w:type="spellStart"/>
                  <w:r>
                    <w:rPr>
                      <w:rFonts w:ascii="Arial" w:eastAsia="Arial" w:hAnsi="Arial"/>
                      <w:color w:val="000000"/>
                      <w:sz w:val="20"/>
                    </w:rPr>
                    <w:t>organisations</w:t>
                  </w:r>
                  <w:proofErr w:type="spellEnd"/>
                  <w:r>
                    <w:rPr>
                      <w:rFonts w:ascii="Arial" w:eastAsia="Arial" w:hAnsi="Arial"/>
                      <w:color w:val="000000"/>
                      <w:sz w:val="20"/>
                    </w:rPr>
                    <w:t xml:space="preserve"> will lose funding and consequently affect their ability to provide supported </w:t>
                  </w:r>
                  <w:r>
                    <w:rPr>
                      <w:rFonts w:ascii="Arial" w:eastAsia="Arial" w:hAnsi="Arial"/>
                      <w:color w:val="000000"/>
                      <w:sz w:val="20"/>
                    </w:rPr>
                    <w:t>employment, when it has set the Standards, and mandated and accepted the compliance certifications for the past six years.</w:t>
                  </w:r>
                </w:p>
                <w:p w:rsidR="002C7725" w:rsidRDefault="00477936">
                  <w:pPr>
                    <w:spacing w:before="233" w:line="229" w:lineRule="exact"/>
                    <w:ind w:right="72"/>
                    <w:textAlignment w:val="baseline"/>
                    <w:rPr>
                      <w:rFonts w:ascii="Arial" w:eastAsia="Arial" w:hAnsi="Arial"/>
                      <w:color w:val="000000"/>
                      <w:sz w:val="20"/>
                    </w:rPr>
                  </w:pPr>
                  <w:r>
                    <w:rPr>
                      <w:rFonts w:ascii="Arial" w:eastAsia="Arial" w:hAnsi="Arial"/>
                      <w:color w:val="000000"/>
                      <w:sz w:val="20"/>
                    </w:rPr>
                    <w:t>Since Quality Assurance Audits have consistently certified as conforming to the Standards those ADEs using BSWAT and other hybrid ass</w:t>
                  </w:r>
                  <w:r>
                    <w:rPr>
                      <w:rFonts w:ascii="Arial" w:eastAsia="Arial" w:hAnsi="Arial"/>
                      <w:color w:val="000000"/>
                      <w:sz w:val="20"/>
                    </w:rPr>
                    <w:t xml:space="preserve">essment tools, we see no reason why DSS would not allow those </w:t>
                  </w:r>
                  <w:proofErr w:type="spellStart"/>
                  <w:r>
                    <w:rPr>
                      <w:rFonts w:ascii="Arial" w:eastAsia="Arial" w:hAnsi="Arial"/>
                      <w:color w:val="000000"/>
                      <w:sz w:val="20"/>
                    </w:rPr>
                    <w:t>organisations</w:t>
                  </w:r>
                  <w:proofErr w:type="spellEnd"/>
                  <w:r>
                    <w:rPr>
                      <w:rFonts w:ascii="Arial" w:eastAsia="Arial" w:hAnsi="Arial"/>
                      <w:color w:val="000000"/>
                      <w:sz w:val="20"/>
                    </w:rPr>
                    <w:t xml:space="preserve"> sufficient time to modify practices to regain compliance certification (address non-conformities), to ensure continuance of funding which now may be at risk based on the Nojin deci</w:t>
                  </w:r>
                  <w:r>
                    <w:rPr>
                      <w:rFonts w:ascii="Arial" w:eastAsia="Arial" w:hAnsi="Arial"/>
                      <w:color w:val="000000"/>
                      <w:sz w:val="20"/>
                    </w:rPr>
                    <w:t>sion.</w:t>
                  </w:r>
                </w:p>
                <w:p w:rsidR="002C7725" w:rsidRDefault="00477936">
                  <w:pPr>
                    <w:spacing w:before="233" w:line="230" w:lineRule="exact"/>
                    <w:ind w:right="504"/>
                    <w:textAlignment w:val="baseline"/>
                    <w:rPr>
                      <w:rFonts w:ascii="Arial" w:eastAsia="Arial" w:hAnsi="Arial"/>
                      <w:color w:val="000000"/>
                      <w:sz w:val="20"/>
                    </w:rPr>
                  </w:pPr>
                  <w:r>
                    <w:rPr>
                      <w:rFonts w:ascii="Arial" w:eastAsia="Arial" w:hAnsi="Arial"/>
                      <w:color w:val="000000"/>
                      <w:sz w:val="20"/>
                    </w:rPr>
                    <w:t xml:space="preserve">Since DSS allowed the ADEs to continue to operate on the basis that the BSWAT and other hybrid assessment tools did in fact conform </w:t>
                  </w:r>
                  <w:proofErr w:type="gramStart"/>
                  <w:r>
                    <w:rPr>
                      <w:rFonts w:ascii="Arial" w:eastAsia="Arial" w:hAnsi="Arial"/>
                      <w:color w:val="000000"/>
                      <w:sz w:val="20"/>
                    </w:rPr>
                    <w:t>with</w:t>
                  </w:r>
                  <w:proofErr w:type="gramEnd"/>
                  <w:r>
                    <w:rPr>
                      <w:rFonts w:ascii="Arial" w:eastAsia="Arial" w:hAnsi="Arial"/>
                      <w:color w:val="000000"/>
                      <w:sz w:val="20"/>
                    </w:rPr>
                    <w:t xml:space="preserve"> Standard 9, DSS should not </w:t>
                  </w:r>
                  <w:proofErr w:type="spellStart"/>
                  <w:r>
                    <w:rPr>
                      <w:rFonts w:ascii="Arial" w:eastAsia="Arial" w:hAnsi="Arial"/>
                      <w:color w:val="000000"/>
                      <w:sz w:val="20"/>
                    </w:rPr>
                    <w:t>penalise</w:t>
                  </w:r>
                  <w:proofErr w:type="spellEnd"/>
                  <w:r>
                    <w:rPr>
                      <w:rFonts w:ascii="Arial" w:eastAsia="Arial" w:hAnsi="Arial"/>
                      <w:color w:val="000000"/>
                      <w:sz w:val="20"/>
                    </w:rPr>
                    <w:t xml:space="preserve"> those ADEs for having to transition to different assessment tools now which w</w:t>
                  </w:r>
                  <w:r>
                    <w:rPr>
                      <w:rFonts w:ascii="Arial" w:eastAsia="Arial" w:hAnsi="Arial"/>
                      <w:color w:val="000000"/>
                      <w:sz w:val="20"/>
                    </w:rPr>
                    <w:t>ould conform with audit requirements.</w:t>
                  </w:r>
                </w:p>
                <w:p w:rsidR="002C7725" w:rsidRDefault="00477936">
                  <w:pPr>
                    <w:spacing w:before="222" w:line="275" w:lineRule="exact"/>
                    <w:textAlignment w:val="baseline"/>
                    <w:rPr>
                      <w:rFonts w:ascii="Arial" w:eastAsia="Arial" w:hAnsi="Arial"/>
                      <w:b/>
                      <w:color w:val="000000"/>
                      <w:spacing w:val="-3"/>
                      <w:sz w:val="23"/>
                    </w:rPr>
                  </w:pPr>
                  <w:r>
                    <w:rPr>
                      <w:rFonts w:ascii="Arial" w:eastAsia="Arial" w:hAnsi="Arial"/>
                      <w:b/>
                      <w:color w:val="000000"/>
                      <w:spacing w:val="-3"/>
                      <w:sz w:val="23"/>
                    </w:rPr>
                    <w:t>Alternate Assessment Tools</w:t>
                  </w:r>
                </w:p>
                <w:p w:rsidR="002C7725" w:rsidRDefault="00477936">
                  <w:pPr>
                    <w:spacing w:before="256" w:line="226" w:lineRule="exact"/>
                    <w:ind w:right="576"/>
                    <w:textAlignment w:val="baseline"/>
                    <w:rPr>
                      <w:rFonts w:ascii="Arial" w:eastAsia="Arial" w:hAnsi="Arial"/>
                      <w:color w:val="000000"/>
                      <w:sz w:val="20"/>
                    </w:rPr>
                  </w:pPr>
                  <w:r>
                    <w:rPr>
                      <w:rFonts w:ascii="Arial" w:eastAsia="Arial" w:hAnsi="Arial"/>
                      <w:color w:val="000000"/>
                      <w:sz w:val="20"/>
                    </w:rPr>
                    <w:t>The Nojin matter has confirmed that persons with intellectual disabilities are more likely to have difficulty demonstrating understanding of competencies, for the purposes of the BSWAT, than persons without intellectual disabilities.</w:t>
                  </w:r>
                </w:p>
                <w:p w:rsidR="002C7725" w:rsidRDefault="00477936">
                  <w:pPr>
                    <w:spacing w:before="238" w:line="227" w:lineRule="exact"/>
                    <w:ind w:right="936"/>
                    <w:textAlignment w:val="baseline"/>
                    <w:rPr>
                      <w:rFonts w:ascii="Arial" w:eastAsia="Arial" w:hAnsi="Arial"/>
                      <w:color w:val="000000"/>
                      <w:sz w:val="20"/>
                    </w:rPr>
                  </w:pPr>
                  <w:r>
                    <w:rPr>
                      <w:rFonts w:ascii="Arial" w:eastAsia="Arial" w:hAnsi="Arial"/>
                      <w:color w:val="000000"/>
                      <w:sz w:val="20"/>
                    </w:rPr>
                    <w:t>It is our submission t</w:t>
                  </w:r>
                  <w:r>
                    <w:rPr>
                      <w:rFonts w:ascii="Arial" w:eastAsia="Arial" w:hAnsi="Arial"/>
                      <w:color w:val="000000"/>
                      <w:sz w:val="20"/>
                    </w:rPr>
                    <w:t>hat any other assessment tool incorporating competency testing would also be discriminatory.</w:t>
                  </w:r>
                </w:p>
                <w:p w:rsidR="002C7725" w:rsidRDefault="00477936">
                  <w:pPr>
                    <w:spacing w:before="236" w:line="228" w:lineRule="exact"/>
                    <w:ind w:right="72"/>
                    <w:textAlignment w:val="baseline"/>
                    <w:rPr>
                      <w:rFonts w:ascii="Arial" w:eastAsia="Arial" w:hAnsi="Arial"/>
                      <w:color w:val="000000"/>
                      <w:sz w:val="20"/>
                    </w:rPr>
                  </w:pPr>
                  <w:r>
                    <w:rPr>
                      <w:rFonts w:ascii="Arial" w:eastAsia="Arial" w:hAnsi="Arial"/>
                      <w:color w:val="000000"/>
                      <w:sz w:val="20"/>
                    </w:rPr>
                    <w:t>The unchallenged expert evidence accepted by the Courts was that BSWAT produced a differential effect for intellectually disabled persons and reduced their score (</w:t>
                  </w:r>
                  <w:r>
                    <w:rPr>
                      <w:rFonts w:ascii="Arial" w:eastAsia="Arial" w:hAnsi="Arial"/>
                      <w:color w:val="000000"/>
                      <w:sz w:val="20"/>
                    </w:rPr>
                    <w:t>and income) due to the competency assessment component. This supports the position of persons with intellectual disability and their families in their consistent opposition to the development and use of BSWAT.</w:t>
                  </w:r>
                </w:p>
                <w:p w:rsidR="002C7725" w:rsidRDefault="00477936">
                  <w:pPr>
                    <w:spacing w:before="229" w:line="230" w:lineRule="exact"/>
                    <w:textAlignment w:val="baseline"/>
                    <w:rPr>
                      <w:rFonts w:ascii="Arial" w:eastAsia="Arial" w:hAnsi="Arial"/>
                      <w:color w:val="000000"/>
                      <w:sz w:val="20"/>
                    </w:rPr>
                  </w:pPr>
                  <w:r>
                    <w:rPr>
                      <w:rFonts w:ascii="Arial" w:eastAsia="Arial" w:hAnsi="Arial"/>
                      <w:color w:val="000000"/>
                      <w:sz w:val="20"/>
                    </w:rPr>
                    <w:t xml:space="preserve">The only tool fully approved and also used in </w:t>
                  </w:r>
                  <w:r>
                    <w:rPr>
                      <w:rFonts w:ascii="Arial" w:eastAsia="Arial" w:hAnsi="Arial"/>
                      <w:color w:val="000000"/>
                      <w:sz w:val="20"/>
                    </w:rPr>
                    <w:t>open employment is SWS.</w:t>
                  </w:r>
                </w:p>
                <w:p w:rsidR="002C7725" w:rsidRDefault="00477936">
                  <w:pPr>
                    <w:spacing w:before="234" w:line="229" w:lineRule="exact"/>
                    <w:ind w:right="144"/>
                    <w:textAlignment w:val="baseline"/>
                    <w:rPr>
                      <w:rFonts w:ascii="Arial" w:eastAsia="Arial" w:hAnsi="Arial"/>
                      <w:color w:val="000000"/>
                      <w:sz w:val="20"/>
                    </w:rPr>
                  </w:pPr>
                  <w:r>
                    <w:rPr>
                      <w:rFonts w:ascii="Arial" w:eastAsia="Arial" w:hAnsi="Arial"/>
                      <w:color w:val="000000"/>
                      <w:sz w:val="20"/>
                    </w:rPr>
                    <w:t xml:space="preserve">Since BSWAT assessed productivity (in addition to industry competencies), we see no need to undertake an extensive consultation process suggested by DSS to determine a new wage assessment tool. SWS </w:t>
                  </w:r>
                  <w:proofErr w:type="gramStart"/>
                  <w:r>
                    <w:rPr>
                      <w:rFonts w:ascii="Arial" w:eastAsia="Arial" w:hAnsi="Arial"/>
                      <w:color w:val="000000"/>
                      <w:sz w:val="20"/>
                    </w:rPr>
                    <w:t>is</w:t>
                  </w:r>
                  <w:proofErr w:type="gramEnd"/>
                  <w:r>
                    <w:rPr>
                      <w:rFonts w:ascii="Arial" w:eastAsia="Arial" w:hAnsi="Arial"/>
                      <w:color w:val="000000"/>
                      <w:sz w:val="20"/>
                    </w:rPr>
                    <w:t xml:space="preserve"> available and is currently used</w:t>
                  </w:r>
                  <w:r>
                    <w:rPr>
                      <w:rFonts w:ascii="Arial" w:eastAsia="Arial" w:hAnsi="Arial"/>
                      <w:color w:val="000000"/>
                      <w:sz w:val="20"/>
                    </w:rPr>
                    <w:t xml:space="preserve"> by 10% ADEs. This indicates that DSS still intends to develop a tool which does not rely on productivity assessment alone (as SWS does), and wants to incorporate competency assessment in some capacity.</w:t>
                  </w:r>
                </w:p>
                <w:p w:rsidR="002C7725" w:rsidRDefault="00477936">
                  <w:pPr>
                    <w:spacing w:before="230" w:after="602" w:line="230" w:lineRule="exact"/>
                    <w:textAlignment w:val="baseline"/>
                    <w:rPr>
                      <w:rFonts w:ascii="Arial" w:eastAsia="Arial" w:hAnsi="Arial"/>
                      <w:color w:val="000000"/>
                      <w:sz w:val="20"/>
                    </w:rPr>
                  </w:pPr>
                  <w:r>
                    <w:rPr>
                      <w:rFonts w:ascii="Arial" w:eastAsia="Arial" w:hAnsi="Arial"/>
                      <w:color w:val="000000"/>
                      <w:sz w:val="20"/>
                    </w:rPr>
                    <w:t>In our view, this is inconsistent with its obligation</w:t>
                  </w:r>
                  <w:r>
                    <w:rPr>
                      <w:rFonts w:ascii="Arial" w:eastAsia="Arial" w:hAnsi="Arial"/>
                      <w:color w:val="000000"/>
                      <w:sz w:val="20"/>
                    </w:rPr>
                    <w:t>s under Standard 9 and the objects set out in the DDA.</w:t>
                  </w:r>
                </w:p>
              </w:txbxContent>
            </v:textbox>
            <w10:wrap type="square" anchorx="page" anchory="page"/>
          </v:shape>
        </w:pict>
      </w:r>
      <w:r>
        <w:pict>
          <v:shape id="_x0000_s1039" type="#_x0000_t202" style="position:absolute;margin-left:24.5pt;margin-top:772.05pt;width:540.45pt;height:11.95pt;z-index:-251652096;mso-wrap-distance-left:0;mso-wrap-distance-right:0;mso-position-horizontal-relative:page;mso-position-vertical-relative:page" filled="f" stroked="f">
            <v:textbox inset="0,0,0,0">
              <w:txbxContent>
                <w:p w:rsidR="002C7725" w:rsidRDefault="00477936">
                  <w:pPr>
                    <w:tabs>
                      <w:tab w:val="right" w:pos="10728"/>
                    </w:tabs>
                    <w:spacing w:before="4" w:after="20" w:line="202" w:lineRule="exact"/>
                    <w:ind w:left="72"/>
                    <w:textAlignment w:val="baseline"/>
                    <w:rPr>
                      <w:rFonts w:ascii="Arial" w:eastAsia="Arial" w:hAnsi="Arial"/>
                      <w:b/>
                      <w:color w:val="000000"/>
                      <w:sz w:val="17"/>
                    </w:rPr>
                  </w:pPr>
                  <w:r>
                    <w:rPr>
                      <w:rFonts w:ascii="Arial" w:eastAsia="Arial" w:hAnsi="Arial"/>
                      <w:b/>
                      <w:color w:val="000000"/>
                      <w:sz w:val="17"/>
                    </w:rPr>
                    <w:t xml:space="preserve">Cairns Community Legal Centre </w:t>
                  </w:r>
                  <w:proofErr w:type="spellStart"/>
                  <w:r>
                    <w:rPr>
                      <w:rFonts w:ascii="Arial" w:eastAsia="Arial" w:hAnsi="Arial"/>
                      <w:b/>
                      <w:color w:val="000000"/>
                      <w:sz w:val="17"/>
                    </w:rPr>
                    <w:t>Inc</w:t>
                  </w:r>
                  <w:proofErr w:type="spellEnd"/>
                  <w:r>
                    <w:rPr>
                      <w:rFonts w:ascii="Arial" w:eastAsia="Arial" w:hAnsi="Arial"/>
                      <w:b/>
                      <w:color w:val="000000"/>
                      <w:sz w:val="17"/>
                    </w:rPr>
                    <w:tab/>
                  </w:r>
                  <w:r>
                    <w:rPr>
                      <w:rFonts w:ascii="Arial" w:eastAsia="Arial" w:hAnsi="Arial"/>
                      <w:color w:val="000000"/>
                      <w:sz w:val="17"/>
                    </w:rPr>
                    <w:t>4</w:t>
                  </w:r>
                </w:p>
              </w:txbxContent>
            </v:textbox>
            <w10:wrap type="square" anchorx="page" anchory="page"/>
          </v:shape>
        </w:pict>
      </w:r>
    </w:p>
    <w:p w:rsidR="002C7725" w:rsidRDefault="002C7725">
      <w:pPr>
        <w:sectPr w:rsidR="002C7725">
          <w:pgSz w:w="11914" w:h="16848"/>
          <w:pgMar w:top="920" w:right="615" w:bottom="324" w:left="490" w:header="720" w:footer="720" w:gutter="0"/>
          <w:cols w:space="720"/>
        </w:sectPr>
      </w:pPr>
    </w:p>
    <w:p w:rsidR="002C7725" w:rsidRDefault="00477936">
      <w:pPr>
        <w:textAlignment w:val="baseline"/>
        <w:rPr>
          <w:rFonts w:eastAsia="Times New Roman"/>
          <w:color w:val="000000"/>
          <w:sz w:val="24"/>
        </w:rPr>
      </w:pPr>
      <w:r>
        <w:lastRenderedPageBreak/>
        <w:pict>
          <v:shape id="_x0000_s1038" type="#_x0000_t202" style="position:absolute;margin-left:20.4pt;margin-top:55pt;width:541.45pt;height:131.75pt;z-index:-251651072;mso-wrap-distance-left:0;mso-wrap-distance-right:0;mso-position-horizontal-relative:page;mso-position-vertical-relative:page" filled="f" stroked="f">
            <v:textbox inset="0,0,0,0">
              <w:txbxContent>
                <w:p w:rsidR="002C7725" w:rsidRDefault="00477936">
                  <w:pPr>
                    <w:spacing w:before="9" w:line="221" w:lineRule="exact"/>
                    <w:ind w:left="1152" w:right="432"/>
                    <w:textAlignment w:val="baseline"/>
                    <w:rPr>
                      <w:rFonts w:ascii="Arial" w:eastAsia="Arial" w:hAnsi="Arial"/>
                      <w:color w:val="000000"/>
                      <w:sz w:val="20"/>
                    </w:rPr>
                  </w:pPr>
                  <w:r>
                    <w:rPr>
                      <w:rFonts w:ascii="Arial" w:eastAsia="Arial" w:hAnsi="Arial"/>
                      <w:color w:val="000000"/>
                      <w:sz w:val="20"/>
                    </w:rPr>
                    <w:t>Avoiding discrimination by ADEs using BSWAT can be achieved simply and efficiently by using only the productivity components of BSWAT to determine pro-rata wages. There is no need to approve the exemption applied for.</w:t>
                  </w:r>
                </w:p>
                <w:p w:rsidR="002C7725" w:rsidRDefault="00477936">
                  <w:pPr>
                    <w:spacing w:before="257" w:line="222" w:lineRule="exact"/>
                    <w:ind w:left="1152" w:right="360"/>
                    <w:textAlignment w:val="baseline"/>
                    <w:rPr>
                      <w:rFonts w:ascii="Arial" w:eastAsia="Arial" w:hAnsi="Arial"/>
                      <w:color w:val="000000"/>
                      <w:sz w:val="20"/>
                    </w:rPr>
                  </w:pPr>
                  <w:r>
                    <w:rPr>
                      <w:rFonts w:ascii="Arial" w:eastAsia="Arial" w:hAnsi="Arial"/>
                      <w:color w:val="000000"/>
                      <w:sz w:val="20"/>
                    </w:rPr>
                    <w:t>ADEs using other assessment tools, can develop Disability Action Plans to address the identified discrimination, setting out what process they will use to undertake productivity assessments in lieu of the competency testing.</w:t>
                  </w:r>
                </w:p>
                <w:p w:rsidR="002C7725" w:rsidRDefault="00477936">
                  <w:pPr>
                    <w:spacing w:before="430" w:after="304" w:line="300" w:lineRule="exact"/>
                    <w:ind w:left="1152"/>
                    <w:textAlignment w:val="baseline"/>
                    <w:rPr>
                      <w:rFonts w:ascii="Arial" w:eastAsia="Arial" w:hAnsi="Arial"/>
                      <w:b/>
                      <w:color w:val="000000"/>
                      <w:spacing w:val="-9"/>
                      <w:sz w:val="24"/>
                    </w:rPr>
                  </w:pPr>
                  <w:r>
                    <w:rPr>
                      <w:rFonts w:ascii="Arial" w:eastAsia="Arial" w:hAnsi="Arial"/>
                      <w:b/>
                      <w:color w:val="000000"/>
                      <w:spacing w:val="-9"/>
                      <w:sz w:val="24"/>
                    </w:rPr>
                    <w:t>DSS views on lawfulness of cont</w:t>
                  </w:r>
                  <w:r>
                    <w:rPr>
                      <w:rFonts w:ascii="Arial" w:eastAsia="Arial" w:hAnsi="Arial"/>
                      <w:b/>
                      <w:color w:val="000000"/>
                      <w:spacing w:val="-9"/>
                      <w:sz w:val="24"/>
                    </w:rPr>
                    <w:t>inued use of BSWAT</w:t>
                  </w:r>
                </w:p>
              </w:txbxContent>
            </v:textbox>
            <w10:wrap type="square" anchorx="page" anchory="page"/>
          </v:shape>
        </w:pict>
      </w:r>
      <w:r>
        <w:pict>
          <v:shape id="_x0000_s1037" type="#_x0000_t202" style="position:absolute;margin-left:20.4pt;margin-top:186.75pt;width:541.45pt;height:253.3pt;z-index:-2516500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58"/>
                    <w:gridCol w:w="10071"/>
                  </w:tblGrid>
                  <w:tr w:rsidR="002C7725">
                    <w:tblPrEx>
                      <w:tblCellMar>
                        <w:top w:w="0" w:type="dxa"/>
                        <w:bottom w:w="0" w:type="dxa"/>
                      </w:tblCellMar>
                    </w:tblPrEx>
                    <w:trPr>
                      <w:trHeight w:hRule="exact" w:val="4778"/>
                    </w:trPr>
                    <w:tc>
                      <w:tcPr>
                        <w:tcW w:w="758" w:type="dxa"/>
                        <w:tcBorders>
                          <w:top w:val="none" w:sz="0" w:space="0" w:color="000000"/>
                          <w:left w:val="none" w:sz="0" w:space="0" w:color="000000"/>
                          <w:bottom w:val="none" w:sz="0" w:space="0" w:color="000000"/>
                          <w:right w:val="none" w:sz="0" w:space="0" w:color="000000"/>
                        </w:tcBorders>
                      </w:tcPr>
                      <w:p w:rsidR="002C7725" w:rsidRDefault="002C7725" w:rsidP="00477936">
                        <w:pPr>
                          <w:spacing w:before="2092" w:after="2227" w:line="456" w:lineRule="exact"/>
                          <w:ind w:right="309"/>
                          <w:jc w:val="right"/>
                          <w:textAlignment w:val="baseline"/>
                          <w:rPr>
                            <w:rFonts w:ascii="Arial" w:eastAsia="Arial" w:hAnsi="Arial"/>
                            <w:color w:val="000000"/>
                            <w:w w:val="95"/>
                            <w:sz w:val="45"/>
                          </w:rPr>
                        </w:pPr>
                        <w:bookmarkStart w:id="0" w:name="_GoBack"/>
                        <w:bookmarkEnd w:id="0"/>
                      </w:p>
                    </w:tc>
                    <w:tc>
                      <w:tcPr>
                        <w:tcW w:w="10071" w:type="dxa"/>
                        <w:tcBorders>
                          <w:top w:val="none" w:sz="0" w:space="0" w:color="000000"/>
                          <w:left w:val="none" w:sz="0" w:space="0" w:color="000000"/>
                          <w:bottom w:val="none" w:sz="0" w:space="0" w:color="000000"/>
                          <w:right w:val="none" w:sz="0" w:space="0" w:color="000000"/>
                        </w:tcBorders>
                      </w:tcPr>
                      <w:p w:rsidR="002C7725" w:rsidRDefault="00477936">
                        <w:pPr>
                          <w:spacing w:line="244" w:lineRule="exact"/>
                          <w:ind w:left="432" w:right="36"/>
                          <w:textAlignment w:val="baseline"/>
                          <w:rPr>
                            <w:rFonts w:ascii="Arial" w:eastAsia="Arial" w:hAnsi="Arial"/>
                            <w:color w:val="000000"/>
                            <w:sz w:val="20"/>
                          </w:rPr>
                        </w:pPr>
                        <w:r>
                          <w:rPr>
                            <w:rFonts w:ascii="Arial" w:eastAsia="Arial" w:hAnsi="Arial"/>
                            <w:color w:val="000000"/>
                            <w:sz w:val="20"/>
                          </w:rPr>
                          <w:t>We find DSS views expressed in the footnote of its Application to be contradictory and misleading.</w:t>
                        </w:r>
                      </w:p>
                      <w:p w:rsidR="002C7725" w:rsidRDefault="00477936">
                        <w:pPr>
                          <w:spacing w:before="213" w:line="229" w:lineRule="exact"/>
                          <w:ind w:left="432" w:right="36"/>
                          <w:textAlignment w:val="baseline"/>
                          <w:rPr>
                            <w:rFonts w:ascii="Arial" w:eastAsia="Arial" w:hAnsi="Arial"/>
                            <w:color w:val="000000"/>
                            <w:sz w:val="20"/>
                          </w:rPr>
                        </w:pPr>
                        <w:r>
                          <w:rPr>
                            <w:rFonts w:ascii="Arial" w:eastAsia="Arial" w:hAnsi="Arial"/>
                            <w:color w:val="000000"/>
                            <w:sz w:val="20"/>
                          </w:rPr>
                          <w:t xml:space="preserve">Its view that BSWAT </w:t>
                        </w:r>
                        <w:r>
                          <w:rPr>
                            <w:rFonts w:ascii="Arial" w:eastAsia="Arial" w:hAnsi="Arial"/>
                            <w:i/>
                            <w:color w:val="000000"/>
                            <w:sz w:val="20"/>
                          </w:rPr>
                          <w:t xml:space="preserve">'may reasonably measure the actual capacity of an employee to undertake or perform the requirements of their job' </w:t>
                        </w:r>
                        <w:r>
                          <w:rPr>
                            <w:rFonts w:ascii="Arial" w:eastAsia="Arial" w:hAnsi="Arial"/>
                            <w:color w:val="000000"/>
                            <w:sz w:val="20"/>
                          </w:rPr>
                          <w:t>is immediately followed by an acknowledgement of the failure of that tool to accurately measure that same actual capacity. DSS has not provide</w:t>
                        </w:r>
                        <w:r>
                          <w:rPr>
                            <w:rFonts w:ascii="Arial" w:eastAsia="Arial" w:hAnsi="Arial"/>
                            <w:color w:val="000000"/>
                            <w:sz w:val="20"/>
                          </w:rPr>
                          <w:t>d any examples which might explain the first proposition, and the Court decision firmly and clearly detailed the second.</w:t>
                        </w:r>
                      </w:p>
                      <w:p w:rsidR="002C7725" w:rsidRDefault="00477936">
                        <w:pPr>
                          <w:spacing w:before="258" w:line="229" w:lineRule="exact"/>
                          <w:ind w:left="432" w:right="144"/>
                          <w:textAlignment w:val="baseline"/>
                          <w:rPr>
                            <w:rFonts w:ascii="Arial" w:eastAsia="Arial" w:hAnsi="Arial"/>
                            <w:color w:val="000000"/>
                            <w:spacing w:val="-2"/>
                            <w:sz w:val="20"/>
                          </w:rPr>
                        </w:pPr>
                        <w:r>
                          <w:rPr>
                            <w:rFonts w:ascii="Arial" w:eastAsia="Arial" w:hAnsi="Arial"/>
                            <w:color w:val="000000"/>
                            <w:spacing w:val="-2"/>
                            <w:sz w:val="20"/>
                          </w:rPr>
                          <w:t>It is also misleading to suggest that an industrial instrument or enterprise agreement may require the use of BSWAT (thereby invoking t</w:t>
                        </w:r>
                        <w:r>
                          <w:rPr>
                            <w:rFonts w:ascii="Arial" w:eastAsia="Arial" w:hAnsi="Arial"/>
                            <w:color w:val="000000"/>
                            <w:spacing w:val="-2"/>
                            <w:sz w:val="20"/>
                          </w:rPr>
                          <w:t xml:space="preserve">he exemption available under section 47 DDA) when the vast majority of existing awards specifically assess </w:t>
                        </w:r>
                        <w:r>
                          <w:rPr>
                            <w:rFonts w:ascii="Arial" w:eastAsia="Arial" w:hAnsi="Arial"/>
                            <w:i/>
                            <w:color w:val="000000"/>
                            <w:spacing w:val="-2"/>
                            <w:sz w:val="20"/>
                          </w:rPr>
                          <w:t xml:space="preserve">productive capacity </w:t>
                        </w:r>
                        <w:r>
                          <w:rPr>
                            <w:rFonts w:ascii="Arial" w:eastAsia="Arial" w:hAnsi="Arial"/>
                            <w:color w:val="000000"/>
                            <w:spacing w:val="-2"/>
                            <w:sz w:val="20"/>
                          </w:rPr>
                          <w:t>of employees employed under the supported wage system.</w:t>
                        </w:r>
                      </w:p>
                      <w:p w:rsidR="002C7725" w:rsidRDefault="00477936">
                        <w:pPr>
                          <w:spacing w:before="232" w:line="230" w:lineRule="exact"/>
                          <w:ind w:left="432" w:right="36"/>
                          <w:textAlignment w:val="baseline"/>
                          <w:rPr>
                            <w:rFonts w:ascii="Arial" w:eastAsia="Arial" w:hAnsi="Arial"/>
                            <w:color w:val="000000"/>
                            <w:spacing w:val="-2"/>
                            <w:sz w:val="20"/>
                          </w:rPr>
                        </w:pPr>
                        <w:r>
                          <w:rPr>
                            <w:rFonts w:ascii="Arial" w:eastAsia="Arial" w:hAnsi="Arial"/>
                            <w:color w:val="000000"/>
                            <w:spacing w:val="-2"/>
                            <w:sz w:val="20"/>
                          </w:rPr>
                          <w:t>DSS has not identified any industrial instruments which do require the use</w:t>
                        </w:r>
                        <w:r>
                          <w:rPr>
                            <w:rFonts w:ascii="Arial" w:eastAsia="Arial" w:hAnsi="Arial"/>
                            <w:color w:val="000000"/>
                            <w:spacing w:val="-2"/>
                            <w:sz w:val="20"/>
                          </w:rPr>
                          <w:t xml:space="preserve"> of BSWAT. If any existed, the employer and employees generally would not be able to access the supported wage system and would need to vary their agreements to add the SWS provisions (according to the Supported Wage System Handbook July 2013 published by </w:t>
                        </w:r>
                        <w:proofErr w:type="spellStart"/>
                        <w:r>
                          <w:rPr>
                            <w:rFonts w:ascii="Arial" w:eastAsia="Arial" w:hAnsi="Arial"/>
                            <w:color w:val="000000"/>
                            <w:spacing w:val="-2"/>
                            <w:sz w:val="20"/>
                          </w:rPr>
                          <w:t>JobsAccess</w:t>
                        </w:r>
                        <w:proofErr w:type="spellEnd"/>
                        <w:r>
                          <w:rPr>
                            <w:rFonts w:ascii="Arial" w:eastAsia="Arial" w:hAnsi="Arial"/>
                            <w:color w:val="000000"/>
                            <w:spacing w:val="-2"/>
                            <w:sz w:val="20"/>
                          </w:rPr>
                          <w:t>, an Australian Government initiative, and referenced in the awards).</w:t>
                        </w:r>
                      </w:p>
                      <w:p w:rsidR="002C7725" w:rsidRDefault="00477936">
                        <w:pPr>
                          <w:spacing w:before="183" w:line="224" w:lineRule="exact"/>
                          <w:ind w:left="432" w:right="36"/>
                          <w:textAlignment w:val="baseline"/>
                          <w:rPr>
                            <w:rFonts w:ascii="Arial" w:eastAsia="Arial" w:hAnsi="Arial"/>
                            <w:color w:val="000000"/>
                            <w:spacing w:val="1"/>
                            <w:sz w:val="20"/>
                          </w:rPr>
                        </w:pPr>
                        <w:r>
                          <w:rPr>
                            <w:rFonts w:ascii="Arial" w:eastAsia="Arial" w:hAnsi="Arial"/>
                            <w:color w:val="000000"/>
                            <w:spacing w:val="1"/>
                            <w:sz w:val="20"/>
                          </w:rPr>
                          <w:t>For the small minority of employees with physical disabilities whose competency assessments managed to actually increase their score in BSWAT (and therefore their income), such positive discrimination is not available to workers in open employment. Their c</w:t>
                        </w:r>
                        <w:r>
                          <w:rPr>
                            <w:rFonts w:ascii="Arial" w:eastAsia="Arial" w:hAnsi="Arial"/>
                            <w:color w:val="000000"/>
                            <w:spacing w:val="1"/>
                            <w:sz w:val="20"/>
                          </w:rPr>
                          <w:t>urrent wages can be protected as previous processes have done, in any move to productivity assessment only to avoid the discrimination identified in the Nojin decisions.</w:t>
                        </w:r>
                      </w:p>
                    </w:tc>
                  </w:tr>
                </w:tbl>
                <w:p w:rsidR="002C7725" w:rsidRDefault="002C7725">
                  <w:pPr>
                    <w:spacing w:after="268" w:line="20" w:lineRule="exact"/>
                  </w:pPr>
                </w:p>
              </w:txbxContent>
            </v:textbox>
            <w10:wrap type="square" anchorx="page" anchory="page"/>
          </v:shape>
        </w:pict>
      </w:r>
      <w:r>
        <w:pict>
          <v:shape id="_x0000_s1036" type="#_x0000_t202" style="position:absolute;margin-left:20.4pt;margin-top:440.05pt;width:541.45pt;height:318.4pt;z-index:-251649024;mso-wrap-distance-left:0;mso-wrap-distance-right:0;mso-position-horizontal-relative:page;mso-position-vertical-relative:page" filled="f" stroked="f">
            <v:textbox inset="0,0,0,0">
              <w:txbxContent>
                <w:p w:rsidR="002C7725" w:rsidRDefault="00477936">
                  <w:pPr>
                    <w:spacing w:before="5" w:line="225" w:lineRule="exact"/>
                    <w:ind w:left="1152" w:right="216"/>
                    <w:textAlignment w:val="baseline"/>
                    <w:rPr>
                      <w:rFonts w:ascii="Arial" w:eastAsia="Arial" w:hAnsi="Arial"/>
                      <w:color w:val="000000"/>
                      <w:sz w:val="20"/>
                    </w:rPr>
                  </w:pPr>
                  <w:r>
                    <w:rPr>
                      <w:rFonts w:ascii="Arial" w:eastAsia="Arial" w:hAnsi="Arial"/>
                      <w:color w:val="000000"/>
                      <w:sz w:val="20"/>
                    </w:rPr>
                    <w:t>The operational needs (funding considerations) of ADEs should not influence the determination of the Application by the Commission. As we stated above, the development of a Disability Action Plan will serve to meet the exception available under section 21B</w:t>
                  </w:r>
                  <w:r>
                    <w:rPr>
                      <w:rFonts w:ascii="Arial" w:eastAsia="Arial" w:hAnsi="Arial"/>
                      <w:color w:val="000000"/>
                      <w:sz w:val="20"/>
                    </w:rPr>
                    <w:t xml:space="preserve"> DDA for unjustifiable hardship, with an effective plan providing a suitable </w:t>
                  </w:r>
                  <w:proofErr w:type="spellStart"/>
                  <w:r>
                    <w:rPr>
                      <w:rFonts w:ascii="Arial" w:eastAsia="Arial" w:hAnsi="Arial"/>
                      <w:color w:val="000000"/>
                      <w:sz w:val="20"/>
                    </w:rPr>
                    <w:t>defence</w:t>
                  </w:r>
                  <w:proofErr w:type="spellEnd"/>
                  <w:r>
                    <w:rPr>
                      <w:rFonts w:ascii="Arial" w:eastAsia="Arial" w:hAnsi="Arial"/>
                      <w:color w:val="000000"/>
                      <w:sz w:val="20"/>
                    </w:rPr>
                    <w:t xml:space="preserve"> to a Complaint.</w:t>
                  </w:r>
                </w:p>
                <w:p w:rsidR="002C7725" w:rsidRDefault="00477936">
                  <w:pPr>
                    <w:spacing w:before="454" w:line="266" w:lineRule="exact"/>
                    <w:ind w:left="1152"/>
                    <w:textAlignment w:val="baseline"/>
                    <w:rPr>
                      <w:rFonts w:ascii="Arial" w:eastAsia="Arial" w:hAnsi="Arial"/>
                      <w:b/>
                      <w:color w:val="000000"/>
                      <w:spacing w:val="-5"/>
                      <w:sz w:val="24"/>
                    </w:rPr>
                  </w:pPr>
                  <w:r>
                    <w:rPr>
                      <w:rFonts w:ascii="Arial" w:eastAsia="Arial" w:hAnsi="Arial"/>
                      <w:b/>
                      <w:color w:val="000000"/>
                      <w:spacing w:val="-5"/>
                      <w:sz w:val="24"/>
                    </w:rPr>
                    <w:t>Inclusive Employment 2012-2022</w:t>
                  </w:r>
                </w:p>
                <w:p w:rsidR="002C7725" w:rsidRDefault="00477936">
                  <w:pPr>
                    <w:spacing w:before="327" w:line="229" w:lineRule="exact"/>
                    <w:ind w:left="1152" w:right="432"/>
                    <w:textAlignment w:val="baseline"/>
                    <w:rPr>
                      <w:rFonts w:ascii="Arial" w:eastAsia="Arial" w:hAnsi="Arial"/>
                      <w:color w:val="000000"/>
                      <w:spacing w:val="-1"/>
                      <w:sz w:val="20"/>
                    </w:rPr>
                  </w:pPr>
                  <w:r>
                    <w:rPr>
                      <w:rFonts w:ascii="Arial" w:eastAsia="Arial" w:hAnsi="Arial"/>
                      <w:color w:val="000000"/>
                      <w:spacing w:val="-1"/>
                      <w:sz w:val="20"/>
                    </w:rPr>
                    <w:t>We note that this document which was developed by the previous Government to align with the National Disability Insurance Sc</w:t>
                  </w:r>
                  <w:r>
                    <w:rPr>
                      <w:rFonts w:ascii="Arial" w:eastAsia="Arial" w:hAnsi="Arial"/>
                      <w:color w:val="000000"/>
                      <w:spacing w:val="-1"/>
                      <w:sz w:val="20"/>
                    </w:rPr>
                    <w:t>heme framework does not address how wages for workers with disability will be assessed. Its focus is on ensuring that persons with disability control the assistance they get to support them in employment, and have real options and choices about their futur</w:t>
                  </w:r>
                  <w:r>
                    <w:rPr>
                      <w:rFonts w:ascii="Arial" w:eastAsia="Arial" w:hAnsi="Arial"/>
                      <w:color w:val="000000"/>
                      <w:spacing w:val="-1"/>
                      <w:sz w:val="20"/>
                    </w:rPr>
                    <w:t>e working lives.</w:t>
                  </w:r>
                </w:p>
                <w:p w:rsidR="002C7725" w:rsidRDefault="00477936">
                  <w:pPr>
                    <w:spacing w:before="238" w:line="217" w:lineRule="exact"/>
                    <w:ind w:left="1152" w:right="288"/>
                    <w:textAlignment w:val="baseline"/>
                    <w:rPr>
                      <w:rFonts w:ascii="Arial" w:eastAsia="Arial" w:hAnsi="Arial"/>
                      <w:color w:val="000000"/>
                      <w:sz w:val="20"/>
                    </w:rPr>
                  </w:pPr>
                  <w:r>
                    <w:rPr>
                      <w:rFonts w:ascii="Arial" w:eastAsia="Arial" w:hAnsi="Arial"/>
                      <w:color w:val="000000"/>
                      <w:sz w:val="20"/>
                    </w:rPr>
                    <w:t xml:space="preserve">It has the stated goal that by 2022 those workers will receive a comparable hourly rate that increases over time </w:t>
                  </w:r>
                  <w:r>
                    <w:rPr>
                      <w:rFonts w:ascii="Arial" w:eastAsia="Arial" w:hAnsi="Arial"/>
                      <w:i/>
                      <w:color w:val="000000"/>
                      <w:sz w:val="20"/>
                    </w:rPr>
                    <w:t>in line with that of the general working population.</w:t>
                  </w:r>
                </w:p>
                <w:p w:rsidR="002C7725" w:rsidRDefault="00477936">
                  <w:pPr>
                    <w:spacing w:before="245" w:after="1669" w:line="227" w:lineRule="exact"/>
                    <w:ind w:left="1152"/>
                    <w:textAlignment w:val="baseline"/>
                    <w:rPr>
                      <w:rFonts w:ascii="Arial" w:eastAsia="Arial" w:hAnsi="Arial"/>
                      <w:color w:val="000000"/>
                      <w:sz w:val="20"/>
                    </w:rPr>
                  </w:pPr>
                  <w:r>
                    <w:rPr>
                      <w:rFonts w:ascii="Arial" w:eastAsia="Arial" w:hAnsi="Arial"/>
                      <w:color w:val="000000"/>
                      <w:sz w:val="20"/>
                    </w:rPr>
                    <w:t xml:space="preserve">Since even wages calculated using BSWAT will increase overtime, based on </w:t>
                  </w:r>
                  <w:r>
                    <w:rPr>
                      <w:rFonts w:ascii="Arial" w:eastAsia="Arial" w:hAnsi="Arial"/>
                      <w:color w:val="000000"/>
                      <w:sz w:val="20"/>
                    </w:rPr>
                    <w:t xml:space="preserve">the Awards for Level 1 workers (which will receive CPI increases over the 10 years), the </w:t>
                  </w:r>
                  <w:r>
                    <w:rPr>
                      <w:rFonts w:ascii="Arial" w:eastAsia="Arial" w:hAnsi="Arial"/>
                      <w:i/>
                      <w:color w:val="000000"/>
                      <w:sz w:val="20"/>
                    </w:rPr>
                    <w:t xml:space="preserve">"vision' </w:t>
                  </w:r>
                  <w:r>
                    <w:rPr>
                      <w:rFonts w:ascii="Arial" w:eastAsia="Arial" w:hAnsi="Arial"/>
                      <w:color w:val="000000"/>
                      <w:sz w:val="20"/>
                    </w:rPr>
                    <w:t>in this document does nothing to address discrimination which the Courts now identified well after its publication. In our view it should not be used to justi</w:t>
                  </w:r>
                  <w:r>
                    <w:rPr>
                      <w:rFonts w:ascii="Arial" w:eastAsia="Arial" w:hAnsi="Arial"/>
                      <w:color w:val="000000"/>
                      <w:sz w:val="20"/>
                    </w:rPr>
                    <w:t>fy delaying the remedy to address identified discrimination.</w:t>
                  </w:r>
                </w:p>
              </w:txbxContent>
            </v:textbox>
            <w10:wrap type="square" anchorx="page" anchory="page"/>
          </v:shape>
        </w:pict>
      </w:r>
      <w:r>
        <w:pict>
          <v:shape id="_x0000_s1035" type="#_x0000_t202" style="position:absolute;margin-left:20.4pt;margin-top:758.45pt;width:541.45pt;height:77.55pt;z-index:-251648000;mso-wrap-distance-left:0;mso-wrap-distance-right:0;mso-position-horizontal-relative:page;mso-position-vertical-relative:page" filled="f" stroked="f">
            <v:textbox inset="0,0,0,0">
              <w:txbxContent>
                <w:p w:rsidR="002C7725" w:rsidRDefault="00477936">
                  <w:pPr>
                    <w:tabs>
                      <w:tab w:val="right" w:pos="10728"/>
                    </w:tabs>
                    <w:spacing w:before="220" w:after="1123" w:line="206" w:lineRule="exact"/>
                    <w:ind w:left="72"/>
                    <w:textAlignment w:val="baseline"/>
                    <w:rPr>
                      <w:rFonts w:ascii="Arial" w:eastAsia="Arial" w:hAnsi="Arial"/>
                      <w:b/>
                      <w:color w:val="000000"/>
                      <w:sz w:val="17"/>
                    </w:rPr>
                  </w:pPr>
                  <w:r>
                    <w:rPr>
                      <w:rFonts w:ascii="Arial" w:eastAsia="Arial" w:hAnsi="Arial"/>
                      <w:b/>
                      <w:color w:val="000000"/>
                      <w:sz w:val="17"/>
                    </w:rPr>
                    <w:t xml:space="preserve">Cairns Community Legal Centre </w:t>
                  </w:r>
                  <w:proofErr w:type="spellStart"/>
                  <w:r>
                    <w:rPr>
                      <w:rFonts w:ascii="Arial" w:eastAsia="Arial" w:hAnsi="Arial"/>
                      <w:b/>
                      <w:color w:val="000000"/>
                      <w:sz w:val="17"/>
                    </w:rPr>
                    <w:t>Inc</w:t>
                  </w:r>
                  <w:proofErr w:type="spellEnd"/>
                  <w:r>
                    <w:rPr>
                      <w:rFonts w:ascii="Arial" w:eastAsia="Arial" w:hAnsi="Arial"/>
                      <w:b/>
                      <w:color w:val="000000"/>
                      <w:sz w:val="17"/>
                    </w:rPr>
                    <w:tab/>
                  </w:r>
                  <w:r>
                    <w:rPr>
                      <w:rFonts w:ascii="Arial" w:eastAsia="Arial" w:hAnsi="Arial"/>
                      <w:color w:val="000000"/>
                      <w:sz w:val="17"/>
                    </w:rPr>
                    <w:t>5</w:t>
                  </w:r>
                </w:p>
              </w:txbxContent>
            </v:textbox>
            <w10:wrap type="square" anchorx="page" anchory="page"/>
          </v:shape>
        </w:pict>
      </w:r>
      <w:r>
        <w:pict>
          <v:line id="_x0000_s1034" style="position:absolute;z-index:251648000;mso-position-horizontal-relative:page;mso-position-vertical-relative:page" from="24pt,759.35pt" to="561.9pt,759.35pt" strokeweight="1.7pt">
            <w10:wrap anchorx="page" anchory="page"/>
          </v:line>
        </w:pict>
      </w:r>
      <w:r>
        <w:pict>
          <v:line id="_x0000_s1033" style="position:absolute;z-index:251649024;mso-position-horizontal-relative:page;mso-position-vertical-relative:page" from="169.45pt,834.95pt" to="193.75pt,834.95pt" strokeweight=".25pt">
            <v:stroke dashstyle="dash"/>
            <w10:wrap anchorx="page" anchory="page"/>
          </v:line>
        </w:pict>
      </w:r>
      <w:r>
        <w:pict>
          <v:line id="_x0000_s1032" style="position:absolute;z-index:251650048;mso-position-horizontal-relative:page;mso-position-vertical-relative:page" from="30.7pt,760.3pt" to="564.55pt,760.3pt" strokeweight="1.7pt">
            <w10:wrap anchorx="page" anchory="page"/>
          </v:line>
        </w:pict>
      </w:r>
      <w:r>
        <w:pict>
          <v:line id="_x0000_s1031" style="position:absolute;z-index:251651072;mso-position-horizontal-relative:page;mso-position-vertical-relative:page" from="21.25pt,758.9pt" to="562.75pt,758.9pt" strokeweight="1.7pt">
            <w10:wrap anchorx="page" anchory="page"/>
          </v:line>
        </w:pict>
      </w:r>
    </w:p>
    <w:p w:rsidR="002C7725" w:rsidRDefault="002C7725">
      <w:pPr>
        <w:sectPr w:rsidR="002C7725">
          <w:pgSz w:w="11914" w:h="16848"/>
          <w:pgMar w:top="812" w:right="677" w:bottom="34" w:left="408" w:header="720" w:footer="720" w:gutter="0"/>
          <w:cols w:space="720"/>
        </w:sectPr>
      </w:pPr>
    </w:p>
    <w:p w:rsidR="002C7725" w:rsidRDefault="00477936">
      <w:pPr>
        <w:textAlignment w:val="baseline"/>
        <w:rPr>
          <w:rFonts w:eastAsia="Times New Roman"/>
          <w:color w:val="000000"/>
          <w:sz w:val="24"/>
        </w:rPr>
      </w:pPr>
      <w:r>
        <w:lastRenderedPageBreak/>
        <w:pict>
          <v:shape id="_x0000_s1030" type="#_x0000_t202" style="position:absolute;margin-left:80.15pt;margin-top:47pt;width:489pt;height:712.4pt;z-index:-251646976;mso-wrap-distance-left:0;mso-wrap-distance-right:0;mso-position-horizontal-relative:page;mso-position-vertical-relative:page" filled="f" stroked="f">
            <v:textbox inset="0,0,0,0">
              <w:txbxContent>
                <w:p w:rsidR="002C7725" w:rsidRDefault="00477936">
                  <w:pPr>
                    <w:spacing w:before="3" w:line="286" w:lineRule="exact"/>
                    <w:textAlignment w:val="baseline"/>
                    <w:rPr>
                      <w:rFonts w:ascii="Arial" w:eastAsia="Arial" w:hAnsi="Arial"/>
                      <w:b/>
                      <w:color w:val="000000"/>
                      <w:sz w:val="24"/>
                    </w:rPr>
                  </w:pPr>
                  <w:r>
                    <w:rPr>
                      <w:rFonts w:ascii="Arial" w:eastAsia="Arial" w:hAnsi="Arial"/>
                      <w:b/>
                      <w:color w:val="000000"/>
                      <w:sz w:val="24"/>
                    </w:rPr>
                    <w:t>Is the exemption necessary?</w:t>
                  </w:r>
                </w:p>
                <w:p w:rsidR="002C7725" w:rsidRDefault="00477936">
                  <w:pPr>
                    <w:spacing w:before="280" w:line="238" w:lineRule="exact"/>
                    <w:ind w:right="288"/>
                    <w:textAlignment w:val="baseline"/>
                    <w:rPr>
                      <w:rFonts w:ascii="Arial" w:eastAsia="Arial" w:hAnsi="Arial"/>
                      <w:color w:val="000000"/>
                      <w:sz w:val="20"/>
                    </w:rPr>
                  </w:pPr>
                  <w:r>
                    <w:rPr>
                      <w:rFonts w:ascii="Arial" w:eastAsia="Arial" w:hAnsi="Arial"/>
                      <w:color w:val="000000"/>
                      <w:sz w:val="20"/>
                    </w:rPr>
                    <w:t>Yes, the activities of ADEs using assessment tools other than SWS constitute discrimination contrary to the DDA.</w:t>
                  </w:r>
                </w:p>
                <w:p w:rsidR="002C7725" w:rsidRDefault="00477936">
                  <w:pPr>
                    <w:spacing w:before="114" w:line="230" w:lineRule="exact"/>
                    <w:textAlignment w:val="baseline"/>
                    <w:rPr>
                      <w:rFonts w:ascii="Arial" w:eastAsia="Arial" w:hAnsi="Arial"/>
                      <w:color w:val="000000"/>
                      <w:sz w:val="20"/>
                    </w:rPr>
                  </w:pPr>
                  <w:r>
                    <w:rPr>
                      <w:rFonts w:ascii="Arial" w:eastAsia="Arial" w:hAnsi="Arial"/>
                      <w:color w:val="000000"/>
                      <w:sz w:val="20"/>
                    </w:rPr>
                    <w:t>However, in our view the exemption is NOT necessary:</w:t>
                  </w:r>
                </w:p>
                <w:p w:rsidR="002C7725" w:rsidRDefault="00477936">
                  <w:pPr>
                    <w:numPr>
                      <w:ilvl w:val="0"/>
                      <w:numId w:val="1"/>
                    </w:numPr>
                    <w:tabs>
                      <w:tab w:val="clear" w:pos="360"/>
                      <w:tab w:val="left" w:pos="792"/>
                    </w:tabs>
                    <w:spacing w:before="131" w:line="229" w:lineRule="exact"/>
                    <w:ind w:left="792" w:right="288" w:hanging="360"/>
                    <w:textAlignment w:val="baseline"/>
                    <w:rPr>
                      <w:rFonts w:ascii="Arial" w:eastAsia="Arial" w:hAnsi="Arial"/>
                      <w:color w:val="000000"/>
                      <w:sz w:val="20"/>
                    </w:rPr>
                  </w:pPr>
                  <w:r>
                    <w:rPr>
                      <w:rFonts w:ascii="Arial" w:eastAsia="Arial" w:hAnsi="Arial"/>
                      <w:color w:val="000000"/>
                      <w:sz w:val="20"/>
                    </w:rPr>
                    <w:t xml:space="preserve">Not all ADEs whose assessment of employees has been identified by the Nojin matters to be </w:t>
                  </w:r>
                  <w:r>
                    <w:rPr>
                      <w:rFonts w:ascii="Arial" w:eastAsia="Arial" w:hAnsi="Arial"/>
                      <w:color w:val="000000"/>
                      <w:sz w:val="20"/>
                    </w:rPr>
                    <w:t>discriminatory, would be covered by the exemption applied for by DSS. Those 40% of ADEs which do not use BSWAT would not be covered by the exemption.</w:t>
                  </w:r>
                </w:p>
                <w:p w:rsidR="002C7725" w:rsidRDefault="00477936">
                  <w:pPr>
                    <w:numPr>
                      <w:ilvl w:val="0"/>
                      <w:numId w:val="1"/>
                    </w:numPr>
                    <w:tabs>
                      <w:tab w:val="clear" w:pos="360"/>
                      <w:tab w:val="left" w:pos="792"/>
                    </w:tabs>
                    <w:spacing w:before="132" w:line="229" w:lineRule="exact"/>
                    <w:ind w:left="792" w:right="360" w:hanging="360"/>
                    <w:jc w:val="both"/>
                    <w:textAlignment w:val="baseline"/>
                    <w:rPr>
                      <w:rFonts w:ascii="Arial" w:eastAsia="Arial" w:hAnsi="Arial"/>
                      <w:color w:val="000000"/>
                      <w:sz w:val="20"/>
                    </w:rPr>
                  </w:pPr>
                  <w:r>
                    <w:rPr>
                      <w:rFonts w:ascii="Arial" w:eastAsia="Arial" w:hAnsi="Arial"/>
                      <w:color w:val="000000"/>
                      <w:sz w:val="20"/>
                    </w:rPr>
                    <w:t>As funder of ADEs and administrator of the Supported Wage System, the Commonwealth, through DSS, would sti</w:t>
                  </w:r>
                  <w:r>
                    <w:rPr>
                      <w:rFonts w:ascii="Arial" w:eastAsia="Arial" w:hAnsi="Arial"/>
                      <w:color w:val="000000"/>
                      <w:sz w:val="20"/>
                    </w:rPr>
                    <w:t>ll be a respondent in Complaints against those ADEs not using BSWAT.</w:t>
                  </w:r>
                </w:p>
                <w:p w:rsidR="002C7725" w:rsidRDefault="00477936">
                  <w:pPr>
                    <w:numPr>
                      <w:ilvl w:val="0"/>
                      <w:numId w:val="2"/>
                    </w:numPr>
                    <w:tabs>
                      <w:tab w:val="clear" w:pos="288"/>
                      <w:tab w:val="left" w:pos="1440"/>
                    </w:tabs>
                    <w:spacing w:before="122" w:line="230" w:lineRule="exact"/>
                    <w:ind w:left="1440" w:right="144" w:hanging="288"/>
                    <w:textAlignment w:val="baseline"/>
                    <w:rPr>
                      <w:rFonts w:ascii="Arial" w:eastAsia="Arial" w:hAnsi="Arial"/>
                      <w:color w:val="000000"/>
                      <w:sz w:val="20"/>
                    </w:rPr>
                  </w:pPr>
                  <w:r>
                    <w:rPr>
                      <w:rFonts w:ascii="Arial" w:eastAsia="Arial" w:hAnsi="Arial"/>
                      <w:color w:val="000000"/>
                      <w:sz w:val="20"/>
                    </w:rPr>
                    <w:t>Since the Nojin decisions were based on the particular circumstances of the two Complainants (use of BSWAT for their assessment), DSS would need to amend their Application to cover those ADEs currently using other hybrid tools. Such an amendment has not be</w:t>
                  </w:r>
                  <w:r>
                    <w:rPr>
                      <w:rFonts w:ascii="Arial" w:eastAsia="Arial" w:hAnsi="Arial"/>
                      <w:color w:val="000000"/>
                      <w:sz w:val="20"/>
                    </w:rPr>
                    <w:t>en requested.</w:t>
                  </w:r>
                </w:p>
                <w:p w:rsidR="002C7725" w:rsidRDefault="00477936">
                  <w:pPr>
                    <w:numPr>
                      <w:ilvl w:val="0"/>
                      <w:numId w:val="2"/>
                    </w:numPr>
                    <w:tabs>
                      <w:tab w:val="clear" w:pos="288"/>
                      <w:tab w:val="left" w:pos="1440"/>
                    </w:tabs>
                    <w:spacing w:before="116" w:line="231" w:lineRule="exact"/>
                    <w:ind w:left="1440" w:right="144" w:hanging="288"/>
                    <w:textAlignment w:val="baseline"/>
                    <w:rPr>
                      <w:rFonts w:ascii="Arial" w:eastAsia="Arial" w:hAnsi="Arial"/>
                      <w:color w:val="000000"/>
                      <w:sz w:val="20"/>
                    </w:rPr>
                  </w:pPr>
                  <w:r>
                    <w:rPr>
                      <w:rFonts w:ascii="Arial" w:eastAsia="Arial" w:hAnsi="Arial"/>
                      <w:color w:val="000000"/>
                      <w:sz w:val="20"/>
                    </w:rPr>
                    <w:t>Expanding the Application to add ADEs' current use of assessment tools other than BSWAT and SWS would be an acknowledgment that the competency component of any current assessment is discriminatory.</w:t>
                  </w:r>
                </w:p>
                <w:p w:rsidR="002C7725" w:rsidRDefault="00477936">
                  <w:pPr>
                    <w:numPr>
                      <w:ilvl w:val="0"/>
                      <w:numId w:val="1"/>
                    </w:numPr>
                    <w:tabs>
                      <w:tab w:val="clear" w:pos="360"/>
                      <w:tab w:val="left" w:pos="792"/>
                    </w:tabs>
                    <w:spacing w:before="132" w:line="230" w:lineRule="exact"/>
                    <w:ind w:left="792" w:hanging="360"/>
                    <w:textAlignment w:val="baseline"/>
                    <w:rPr>
                      <w:rFonts w:ascii="Arial" w:eastAsia="Arial" w:hAnsi="Arial"/>
                      <w:color w:val="000000"/>
                      <w:sz w:val="20"/>
                    </w:rPr>
                  </w:pPr>
                  <w:r>
                    <w:rPr>
                      <w:rFonts w:ascii="Arial" w:eastAsia="Arial" w:hAnsi="Arial"/>
                      <w:color w:val="000000"/>
                      <w:sz w:val="20"/>
                    </w:rPr>
                    <w:t xml:space="preserve">A suitable </w:t>
                  </w:r>
                  <w:proofErr w:type="spellStart"/>
                  <w:r>
                    <w:rPr>
                      <w:rFonts w:ascii="Arial" w:eastAsia="Arial" w:hAnsi="Arial"/>
                      <w:color w:val="000000"/>
                      <w:sz w:val="20"/>
                    </w:rPr>
                    <w:t>defence</w:t>
                  </w:r>
                  <w:proofErr w:type="spellEnd"/>
                  <w:r>
                    <w:rPr>
                      <w:rFonts w:ascii="Arial" w:eastAsia="Arial" w:hAnsi="Arial"/>
                      <w:color w:val="000000"/>
                      <w:sz w:val="20"/>
                    </w:rPr>
                    <w:t xml:space="preserve"> to complaints of discrimi</w:t>
                  </w:r>
                  <w:r>
                    <w:rPr>
                      <w:rFonts w:ascii="Arial" w:eastAsia="Arial" w:hAnsi="Arial"/>
                      <w:color w:val="000000"/>
                      <w:sz w:val="20"/>
                    </w:rPr>
                    <w:t>nation based on use of competency assessment for wage determination, can be mounted by all ADEs which are potentially subject of complaint (not jus( those using BSWAT), by developing an effective Disability Action Plan to address the identified discriminat</w:t>
                  </w:r>
                  <w:r>
                    <w:rPr>
                      <w:rFonts w:ascii="Arial" w:eastAsia="Arial" w:hAnsi="Arial"/>
                      <w:color w:val="000000"/>
                      <w:sz w:val="20"/>
                    </w:rPr>
                    <w:t>ion within the same timeframe as proposed by DSS (three years) if necessary.</w:t>
                  </w:r>
                </w:p>
                <w:p w:rsidR="002C7725" w:rsidRDefault="00477936">
                  <w:pPr>
                    <w:numPr>
                      <w:ilvl w:val="0"/>
                      <w:numId w:val="1"/>
                    </w:numPr>
                    <w:tabs>
                      <w:tab w:val="clear" w:pos="360"/>
                      <w:tab w:val="left" w:pos="792"/>
                    </w:tabs>
                    <w:spacing w:before="134" w:line="230" w:lineRule="exact"/>
                    <w:ind w:left="792" w:right="576" w:hanging="360"/>
                    <w:textAlignment w:val="baseline"/>
                    <w:rPr>
                      <w:rFonts w:ascii="Arial" w:eastAsia="Arial" w:hAnsi="Arial"/>
                      <w:color w:val="000000"/>
                      <w:sz w:val="20"/>
                    </w:rPr>
                  </w:pPr>
                  <w:r>
                    <w:rPr>
                      <w:rFonts w:ascii="Arial" w:eastAsia="Arial" w:hAnsi="Arial"/>
                      <w:color w:val="000000"/>
                      <w:sz w:val="20"/>
                    </w:rPr>
                    <w:t>The removal of the discriminatory aspect of BSWAT assessment (competency) can be achieved simply by using only the productivity component of assessments already conducted.</w:t>
                  </w:r>
                </w:p>
                <w:p w:rsidR="002C7725" w:rsidRDefault="00477936">
                  <w:pPr>
                    <w:numPr>
                      <w:ilvl w:val="0"/>
                      <w:numId w:val="2"/>
                    </w:numPr>
                    <w:tabs>
                      <w:tab w:val="clear" w:pos="288"/>
                      <w:tab w:val="left" w:pos="1440"/>
                    </w:tabs>
                    <w:spacing w:before="117" w:line="232" w:lineRule="exact"/>
                    <w:ind w:left="1440" w:right="576" w:hanging="288"/>
                    <w:jc w:val="both"/>
                    <w:textAlignment w:val="baseline"/>
                    <w:rPr>
                      <w:rFonts w:ascii="Arial" w:eastAsia="Arial" w:hAnsi="Arial"/>
                      <w:color w:val="000000"/>
                      <w:sz w:val="20"/>
                    </w:rPr>
                  </w:pPr>
                  <w:r>
                    <w:rPr>
                      <w:rFonts w:ascii="Arial" w:eastAsia="Arial" w:hAnsi="Arial"/>
                      <w:color w:val="000000"/>
                      <w:sz w:val="20"/>
                    </w:rPr>
                    <w:t>It does</w:t>
                  </w:r>
                  <w:r>
                    <w:rPr>
                      <w:rFonts w:ascii="Arial" w:eastAsia="Arial" w:hAnsi="Arial"/>
                      <w:color w:val="000000"/>
                      <w:sz w:val="20"/>
                    </w:rPr>
                    <w:t xml:space="preserve"> not require a lengthy and involved consultation process as suggested by DSS to avoid the identified discrimination.</w:t>
                  </w:r>
                </w:p>
                <w:p w:rsidR="002C7725" w:rsidRDefault="00477936">
                  <w:pPr>
                    <w:numPr>
                      <w:ilvl w:val="0"/>
                      <w:numId w:val="2"/>
                    </w:numPr>
                    <w:tabs>
                      <w:tab w:val="clear" w:pos="288"/>
                      <w:tab w:val="left" w:pos="1440"/>
                    </w:tabs>
                    <w:spacing w:before="120" w:line="230" w:lineRule="exact"/>
                    <w:ind w:left="1440" w:hanging="288"/>
                    <w:jc w:val="both"/>
                    <w:textAlignment w:val="baseline"/>
                    <w:rPr>
                      <w:rFonts w:ascii="Arial" w:eastAsia="Arial" w:hAnsi="Arial"/>
                      <w:color w:val="000000"/>
                      <w:sz w:val="20"/>
                    </w:rPr>
                  </w:pPr>
                  <w:r>
                    <w:rPr>
                      <w:rFonts w:ascii="Arial" w:eastAsia="Arial" w:hAnsi="Arial"/>
                      <w:color w:val="000000"/>
                      <w:sz w:val="20"/>
                    </w:rPr>
                    <w:t>It does not require additional assessment of employees' productivity.</w:t>
                  </w:r>
                </w:p>
                <w:p w:rsidR="002C7725" w:rsidRDefault="00477936">
                  <w:pPr>
                    <w:numPr>
                      <w:ilvl w:val="0"/>
                      <w:numId w:val="2"/>
                    </w:numPr>
                    <w:tabs>
                      <w:tab w:val="clear" w:pos="288"/>
                      <w:tab w:val="left" w:pos="1440"/>
                    </w:tabs>
                    <w:spacing w:before="113" w:line="232" w:lineRule="exact"/>
                    <w:ind w:left="1440" w:right="648" w:hanging="288"/>
                    <w:jc w:val="both"/>
                    <w:textAlignment w:val="baseline"/>
                    <w:rPr>
                      <w:rFonts w:ascii="Arial" w:eastAsia="Arial" w:hAnsi="Arial"/>
                      <w:color w:val="000000"/>
                      <w:spacing w:val="-1"/>
                      <w:sz w:val="20"/>
                    </w:rPr>
                  </w:pPr>
                  <w:r>
                    <w:rPr>
                      <w:rFonts w:ascii="Arial" w:eastAsia="Arial" w:hAnsi="Arial"/>
                      <w:color w:val="000000"/>
                      <w:spacing w:val="-1"/>
                      <w:sz w:val="20"/>
                    </w:rPr>
                    <w:t>A new pro-rata wage can be calculated easily using existing data (from the productivity component of the BSWAT assessment) and implemented in a timely manner.</w:t>
                  </w:r>
                </w:p>
                <w:p w:rsidR="002C7725" w:rsidRDefault="00477936">
                  <w:pPr>
                    <w:numPr>
                      <w:ilvl w:val="0"/>
                      <w:numId w:val="1"/>
                    </w:numPr>
                    <w:tabs>
                      <w:tab w:val="clear" w:pos="360"/>
                      <w:tab w:val="left" w:pos="792"/>
                    </w:tabs>
                    <w:spacing w:before="127" w:line="236" w:lineRule="exact"/>
                    <w:ind w:left="792" w:right="1080" w:hanging="360"/>
                    <w:textAlignment w:val="baseline"/>
                    <w:rPr>
                      <w:rFonts w:ascii="Arial" w:eastAsia="Arial" w:hAnsi="Arial"/>
                      <w:color w:val="000000"/>
                      <w:sz w:val="20"/>
                    </w:rPr>
                  </w:pPr>
                  <w:r>
                    <w:rPr>
                      <w:rFonts w:ascii="Arial" w:eastAsia="Arial" w:hAnsi="Arial"/>
                      <w:color w:val="000000"/>
                      <w:sz w:val="20"/>
                    </w:rPr>
                    <w:t>The main aspect which DSS seeks to avoid is not the discrimination itself, but the financial impl</w:t>
                  </w:r>
                  <w:r>
                    <w:rPr>
                      <w:rFonts w:ascii="Arial" w:eastAsia="Arial" w:hAnsi="Arial"/>
                      <w:color w:val="000000"/>
                      <w:sz w:val="20"/>
                    </w:rPr>
                    <w:t>ications of the Nojin decisions.</w:t>
                  </w:r>
                </w:p>
                <w:p w:rsidR="002C7725" w:rsidRDefault="00477936">
                  <w:pPr>
                    <w:numPr>
                      <w:ilvl w:val="0"/>
                      <w:numId w:val="2"/>
                    </w:numPr>
                    <w:tabs>
                      <w:tab w:val="clear" w:pos="288"/>
                      <w:tab w:val="left" w:pos="1440"/>
                    </w:tabs>
                    <w:spacing w:before="110" w:line="233" w:lineRule="exact"/>
                    <w:ind w:left="1440" w:right="504" w:hanging="288"/>
                    <w:textAlignment w:val="baseline"/>
                    <w:rPr>
                      <w:rFonts w:ascii="Arial" w:eastAsia="Arial" w:hAnsi="Arial"/>
                      <w:color w:val="000000"/>
                      <w:sz w:val="20"/>
                    </w:rPr>
                  </w:pPr>
                  <w:r>
                    <w:rPr>
                      <w:rFonts w:ascii="Arial" w:eastAsia="Arial" w:hAnsi="Arial"/>
                      <w:color w:val="000000"/>
                      <w:sz w:val="20"/>
                    </w:rPr>
                    <w:t>As funder of ADEs, DSS cannot reasonably argue that avoiding the discrimination would cause it unjustifiable hardship.</w:t>
                  </w:r>
                </w:p>
                <w:p w:rsidR="002C7725" w:rsidRDefault="00477936">
                  <w:pPr>
                    <w:numPr>
                      <w:ilvl w:val="0"/>
                      <w:numId w:val="2"/>
                    </w:numPr>
                    <w:tabs>
                      <w:tab w:val="clear" w:pos="288"/>
                      <w:tab w:val="left" w:pos="1440"/>
                    </w:tabs>
                    <w:spacing w:before="118" w:line="229" w:lineRule="exact"/>
                    <w:ind w:left="1440" w:hanging="288"/>
                    <w:textAlignment w:val="baseline"/>
                    <w:rPr>
                      <w:rFonts w:ascii="Arial" w:eastAsia="Arial" w:hAnsi="Arial"/>
                      <w:color w:val="000000"/>
                      <w:sz w:val="20"/>
                    </w:rPr>
                  </w:pPr>
                  <w:r>
                    <w:rPr>
                      <w:rFonts w:ascii="Arial" w:eastAsia="Arial" w:hAnsi="Arial"/>
                      <w:color w:val="000000"/>
                      <w:sz w:val="20"/>
                    </w:rPr>
                    <w:t>Those ADEs which use BSWAT and other competency based assessment tools can reasonably pursue DSS for fin</w:t>
                  </w:r>
                  <w:r>
                    <w:rPr>
                      <w:rFonts w:ascii="Arial" w:eastAsia="Arial" w:hAnsi="Arial"/>
                      <w:color w:val="000000"/>
                      <w:sz w:val="20"/>
                    </w:rPr>
                    <w:t>ancial assistance for any back pays due to the findings in the ( Nojin matters. DSS accepted certification of those ADEs whose assessment of their employees with intellectual disability has now been shown to be discriminatory.</w:t>
                  </w:r>
                </w:p>
                <w:p w:rsidR="002C7725" w:rsidRDefault="00477936">
                  <w:pPr>
                    <w:numPr>
                      <w:ilvl w:val="0"/>
                      <w:numId w:val="1"/>
                    </w:numPr>
                    <w:tabs>
                      <w:tab w:val="clear" w:pos="360"/>
                      <w:tab w:val="left" w:pos="792"/>
                    </w:tabs>
                    <w:spacing w:before="133" w:line="231" w:lineRule="exact"/>
                    <w:ind w:left="792" w:right="432" w:hanging="360"/>
                    <w:textAlignment w:val="baseline"/>
                    <w:rPr>
                      <w:rFonts w:ascii="Arial" w:eastAsia="Arial" w:hAnsi="Arial"/>
                      <w:color w:val="000000"/>
                      <w:sz w:val="20"/>
                    </w:rPr>
                  </w:pPr>
                  <w:r>
                    <w:rPr>
                      <w:rFonts w:ascii="Arial" w:eastAsia="Arial" w:hAnsi="Arial"/>
                      <w:color w:val="000000"/>
                      <w:sz w:val="20"/>
                    </w:rPr>
                    <w:t>As we noted above, we dispute</w:t>
                  </w:r>
                  <w:r>
                    <w:rPr>
                      <w:rFonts w:ascii="Arial" w:eastAsia="Arial" w:hAnsi="Arial"/>
                      <w:color w:val="000000"/>
                      <w:sz w:val="20"/>
                    </w:rPr>
                    <w:t xml:space="preserve"> the suggestion that ADEs which currently use BSWAT are at any real risk of having certification revoked or funding withdrawn. Both of those outcomes are firmly within the scope and power of DSS to rectify.</w:t>
                  </w:r>
                </w:p>
                <w:p w:rsidR="002C7725" w:rsidRDefault="00477936">
                  <w:pPr>
                    <w:spacing w:before="744" w:line="286" w:lineRule="exact"/>
                    <w:textAlignment w:val="baseline"/>
                    <w:rPr>
                      <w:rFonts w:ascii="Arial" w:eastAsia="Arial" w:hAnsi="Arial"/>
                      <w:b/>
                      <w:color w:val="000000"/>
                      <w:spacing w:val="1"/>
                      <w:sz w:val="24"/>
                    </w:rPr>
                  </w:pPr>
                  <w:r>
                    <w:rPr>
                      <w:rFonts w:ascii="Arial" w:eastAsia="Arial" w:hAnsi="Arial"/>
                      <w:b/>
                      <w:color w:val="000000"/>
                      <w:spacing w:val="1"/>
                      <w:sz w:val="24"/>
                    </w:rPr>
                    <w:t>Is granting an exemption consistent with the obje</w:t>
                  </w:r>
                  <w:r>
                    <w:rPr>
                      <w:rFonts w:ascii="Arial" w:eastAsia="Arial" w:hAnsi="Arial"/>
                      <w:b/>
                      <w:color w:val="000000"/>
                      <w:spacing w:val="1"/>
                      <w:sz w:val="24"/>
                    </w:rPr>
                    <w:t>cts of the DDA?</w:t>
                  </w:r>
                </w:p>
                <w:p w:rsidR="002C7725" w:rsidRDefault="00477936">
                  <w:pPr>
                    <w:spacing w:before="291" w:line="235" w:lineRule="exact"/>
                    <w:ind w:right="288"/>
                    <w:textAlignment w:val="baseline"/>
                    <w:rPr>
                      <w:rFonts w:ascii="Arial" w:eastAsia="Arial" w:hAnsi="Arial"/>
                      <w:color w:val="000000"/>
                      <w:sz w:val="20"/>
                    </w:rPr>
                  </w:pPr>
                  <w:r>
                    <w:rPr>
                      <w:rFonts w:ascii="Arial" w:eastAsia="Arial" w:hAnsi="Arial"/>
                      <w:color w:val="000000"/>
                      <w:sz w:val="20"/>
                    </w:rPr>
                    <w:t>In our view the exemption sought would only perpetuate the current discrimination which the DDA seeks to remove.</w:t>
                  </w:r>
                </w:p>
                <w:p w:rsidR="002C7725" w:rsidRDefault="00477936">
                  <w:pPr>
                    <w:spacing w:before="224" w:line="230" w:lineRule="exact"/>
                    <w:textAlignment w:val="baseline"/>
                    <w:rPr>
                      <w:rFonts w:ascii="Arial" w:eastAsia="Arial" w:hAnsi="Arial"/>
                      <w:color w:val="000000"/>
                      <w:sz w:val="20"/>
                    </w:rPr>
                  </w:pPr>
                  <w:r>
                    <w:rPr>
                      <w:rFonts w:ascii="Arial" w:eastAsia="Arial" w:hAnsi="Arial"/>
                      <w:color w:val="000000"/>
                      <w:sz w:val="20"/>
                    </w:rPr>
                    <w:t>The continued use of BSWAT is inconsistent with the objects of the DDA as they relate to:</w:t>
                  </w:r>
                </w:p>
                <w:p w:rsidR="002C7725" w:rsidRDefault="00477936">
                  <w:pPr>
                    <w:numPr>
                      <w:ilvl w:val="0"/>
                      <w:numId w:val="1"/>
                    </w:numPr>
                    <w:tabs>
                      <w:tab w:val="clear" w:pos="360"/>
                      <w:tab w:val="left" w:pos="792"/>
                    </w:tabs>
                    <w:spacing w:before="115" w:after="790" w:line="250" w:lineRule="exact"/>
                    <w:ind w:left="792" w:hanging="360"/>
                    <w:textAlignment w:val="baseline"/>
                    <w:rPr>
                      <w:rFonts w:ascii="Arial" w:eastAsia="Arial" w:hAnsi="Arial"/>
                      <w:color w:val="000000"/>
                      <w:sz w:val="20"/>
                    </w:rPr>
                  </w:pPr>
                  <w:r>
                    <w:rPr>
                      <w:rFonts w:ascii="Arial" w:eastAsia="Arial" w:hAnsi="Arial"/>
                      <w:color w:val="000000"/>
                      <w:sz w:val="20"/>
                    </w:rPr>
                    <w:t>eliminating, as far as possible, discrimination in the area of work</w:t>
                  </w:r>
                </w:p>
              </w:txbxContent>
            </v:textbox>
            <w10:wrap type="square" anchorx="page" anchory="page"/>
          </v:shape>
        </w:pict>
      </w:r>
      <w:r>
        <w:pict>
          <v:shape id="_x0000_s1029" type="#_x0000_t202" style="position:absolute;margin-left:30.7pt;margin-top:770.85pt;width:538.45pt;height:12.7pt;z-index:-251645952;mso-wrap-distance-left:0;mso-wrap-distance-right:0;mso-position-horizontal-relative:page;mso-position-vertical-relative:page" filled="f" stroked="f">
            <v:textbox inset="0,0,0,0">
              <w:txbxContent>
                <w:p w:rsidR="002C7725" w:rsidRDefault="00477936">
                  <w:pPr>
                    <w:tabs>
                      <w:tab w:val="right" w:pos="10656"/>
                    </w:tabs>
                    <w:spacing w:before="13" w:after="35" w:line="202" w:lineRule="exact"/>
                    <w:textAlignment w:val="baseline"/>
                    <w:rPr>
                      <w:rFonts w:ascii="Arial" w:eastAsia="Arial" w:hAnsi="Arial"/>
                      <w:b/>
                      <w:color w:val="000000"/>
                      <w:sz w:val="17"/>
                    </w:rPr>
                  </w:pPr>
                  <w:r>
                    <w:rPr>
                      <w:rFonts w:ascii="Arial" w:eastAsia="Arial" w:hAnsi="Arial"/>
                      <w:b/>
                      <w:color w:val="000000"/>
                      <w:sz w:val="17"/>
                    </w:rPr>
                    <w:t xml:space="preserve">Cairns Community Legal Centre </w:t>
                  </w:r>
                  <w:proofErr w:type="spellStart"/>
                  <w:r>
                    <w:rPr>
                      <w:rFonts w:ascii="Arial" w:eastAsia="Arial" w:hAnsi="Arial"/>
                      <w:b/>
                      <w:color w:val="000000"/>
                      <w:sz w:val="17"/>
                    </w:rPr>
                    <w:t>Inc</w:t>
                  </w:r>
                  <w:proofErr w:type="spellEnd"/>
                  <w:r>
                    <w:rPr>
                      <w:rFonts w:ascii="Arial" w:eastAsia="Arial" w:hAnsi="Arial"/>
                      <w:b/>
                      <w:color w:val="000000"/>
                      <w:sz w:val="17"/>
                    </w:rPr>
                    <w:tab/>
                  </w:r>
                  <w:r>
                    <w:rPr>
                      <w:rFonts w:ascii="Arial" w:eastAsia="Arial" w:hAnsi="Arial"/>
                      <w:color w:val="000000"/>
                      <w:sz w:val="17"/>
                    </w:rPr>
                    <w:t>6</w:t>
                  </w:r>
                </w:p>
              </w:txbxContent>
            </v:textbox>
            <w10:wrap type="square" anchorx="page" anchory="page"/>
          </v:shape>
        </w:pict>
      </w:r>
    </w:p>
    <w:p w:rsidR="002C7725" w:rsidRDefault="002C7725">
      <w:pPr>
        <w:sectPr w:rsidR="002C7725">
          <w:pgSz w:w="11914" w:h="16848"/>
          <w:pgMar w:top="940" w:right="531" w:bottom="324" w:left="614" w:header="720" w:footer="720" w:gutter="0"/>
          <w:cols w:space="720"/>
        </w:sectPr>
      </w:pPr>
    </w:p>
    <w:p w:rsidR="002C7725" w:rsidRDefault="00477936">
      <w:pPr>
        <w:textAlignment w:val="baseline"/>
        <w:rPr>
          <w:rFonts w:eastAsia="Times New Roman"/>
          <w:color w:val="000000"/>
          <w:sz w:val="24"/>
        </w:rPr>
      </w:pPr>
      <w:r>
        <w:lastRenderedPageBreak/>
        <w:pict>
          <v:shape id="_x0000_s1028" type="#_x0000_t202" style="position:absolute;margin-left:76.55pt;margin-top:43pt;width:486pt;height:715pt;z-index:-251644928;mso-wrap-distance-left:0;mso-wrap-distance-right:0;mso-position-horizontal-relative:page;mso-position-vertical-relative:page" filled="f" stroked="f">
            <v:textbox inset="0,0,0,0">
              <w:txbxContent>
                <w:p w:rsidR="002C7725" w:rsidRDefault="00477936">
                  <w:pPr>
                    <w:numPr>
                      <w:ilvl w:val="0"/>
                      <w:numId w:val="3"/>
                    </w:numPr>
                    <w:tabs>
                      <w:tab w:val="clear" w:pos="432"/>
                      <w:tab w:val="left" w:pos="792"/>
                    </w:tabs>
                    <w:spacing w:before="26" w:line="216" w:lineRule="exact"/>
                    <w:ind w:left="792" w:right="1008" w:hanging="432"/>
                    <w:textAlignment w:val="baseline"/>
                    <w:rPr>
                      <w:rFonts w:ascii="Arial" w:eastAsia="Arial" w:hAnsi="Arial"/>
                      <w:color w:val="000000"/>
                      <w:sz w:val="20"/>
                    </w:rPr>
                  </w:pPr>
                  <w:r>
                    <w:rPr>
                      <w:rFonts w:ascii="Arial" w:eastAsia="Arial" w:hAnsi="Arial"/>
                      <w:color w:val="000000"/>
                      <w:sz w:val="20"/>
                    </w:rPr>
                    <w:t>ensuring, as far as practicable, the same rights to equality before the law as the rest of the community</w:t>
                  </w:r>
                </w:p>
                <w:p w:rsidR="002C7725" w:rsidRDefault="00477936">
                  <w:pPr>
                    <w:spacing w:before="245" w:line="226" w:lineRule="exact"/>
                    <w:ind w:right="936"/>
                    <w:textAlignment w:val="baseline"/>
                    <w:rPr>
                      <w:rFonts w:ascii="Arial" w:eastAsia="Arial" w:hAnsi="Arial"/>
                      <w:color w:val="000000"/>
                      <w:sz w:val="20"/>
                    </w:rPr>
                  </w:pPr>
                  <w:r>
                    <w:rPr>
                      <w:rFonts w:ascii="Arial" w:eastAsia="Arial" w:hAnsi="Arial"/>
                      <w:color w:val="000000"/>
                      <w:sz w:val="20"/>
                    </w:rPr>
                    <w:t>Standard 9 (referred to above) requires that each person with a disability enjoys working conditions comparable to those of the general workforce.</w:t>
                  </w:r>
                </w:p>
                <w:p w:rsidR="002C7725" w:rsidRDefault="00477936">
                  <w:pPr>
                    <w:spacing w:before="239" w:line="226" w:lineRule="exact"/>
                    <w:ind w:right="432"/>
                    <w:textAlignment w:val="baseline"/>
                    <w:rPr>
                      <w:rFonts w:ascii="Arial" w:eastAsia="Arial" w:hAnsi="Arial"/>
                      <w:color w:val="000000"/>
                      <w:sz w:val="20"/>
                    </w:rPr>
                  </w:pPr>
                  <w:r>
                    <w:rPr>
                      <w:rFonts w:ascii="Arial" w:eastAsia="Arial" w:hAnsi="Arial"/>
                      <w:color w:val="000000"/>
                      <w:sz w:val="20"/>
                    </w:rPr>
                    <w:t>The Nojin decisions have clearly shown that employees assessed using BSWAT are subjected to more onerous asse</w:t>
                  </w:r>
                  <w:r>
                    <w:rPr>
                      <w:rFonts w:ascii="Arial" w:eastAsia="Arial" w:hAnsi="Arial"/>
                      <w:color w:val="000000"/>
                      <w:sz w:val="20"/>
                    </w:rPr>
                    <w:t>ssment conditions than those placed on other Level 1 employees in open employment, with significant detrimental impact on their income.</w:t>
                  </w:r>
                </w:p>
                <w:p w:rsidR="002C7725" w:rsidRDefault="00477936">
                  <w:pPr>
                    <w:spacing w:before="250" w:line="222" w:lineRule="exact"/>
                    <w:ind w:right="72"/>
                    <w:textAlignment w:val="baseline"/>
                    <w:rPr>
                      <w:rFonts w:ascii="Arial" w:eastAsia="Arial" w:hAnsi="Arial"/>
                      <w:color w:val="000000"/>
                      <w:sz w:val="20"/>
                    </w:rPr>
                  </w:pPr>
                  <w:r>
                    <w:rPr>
                      <w:rFonts w:ascii="Arial" w:eastAsia="Arial" w:hAnsi="Arial"/>
                      <w:color w:val="000000"/>
                      <w:sz w:val="20"/>
                    </w:rPr>
                    <w:t>The unchallenged expert evidence accepted by the Courts was that BSWAT produced a differential effect for intellectually</w:t>
                  </w:r>
                  <w:r>
                    <w:rPr>
                      <w:rFonts w:ascii="Arial" w:eastAsia="Arial" w:hAnsi="Arial"/>
                      <w:color w:val="000000"/>
                      <w:sz w:val="20"/>
                    </w:rPr>
                    <w:t xml:space="preserve"> disabled persons and reduced their score (and income) due to the competency assessment component.</w:t>
                  </w:r>
                </w:p>
                <w:p w:rsidR="002C7725" w:rsidRDefault="00477936">
                  <w:pPr>
                    <w:spacing w:before="252" w:line="224" w:lineRule="exact"/>
                    <w:ind w:right="144"/>
                    <w:textAlignment w:val="baseline"/>
                    <w:rPr>
                      <w:rFonts w:ascii="Arial" w:eastAsia="Arial" w:hAnsi="Arial"/>
                      <w:color w:val="000000"/>
                      <w:sz w:val="20"/>
                    </w:rPr>
                  </w:pPr>
                  <w:r>
                    <w:rPr>
                      <w:rFonts w:ascii="Arial" w:eastAsia="Arial" w:hAnsi="Arial"/>
                      <w:color w:val="000000"/>
                      <w:sz w:val="20"/>
                    </w:rPr>
                    <w:t>As we noted above, avoiding the identified discrimination resulting from use of BSWAT can be achieved simply and efficiently by using the productivity compon</w:t>
                  </w:r>
                  <w:r>
                    <w:rPr>
                      <w:rFonts w:ascii="Arial" w:eastAsia="Arial" w:hAnsi="Arial"/>
                      <w:color w:val="000000"/>
                      <w:sz w:val="20"/>
                    </w:rPr>
                    <w:t>ent only of existing BSWAT assessments conducted, to calculate pro-rata wages.</w:t>
                  </w:r>
                </w:p>
                <w:p w:rsidR="002C7725" w:rsidRDefault="00477936">
                  <w:pPr>
                    <w:spacing w:before="249" w:line="225" w:lineRule="exact"/>
                    <w:ind w:right="216"/>
                    <w:jc w:val="both"/>
                    <w:textAlignment w:val="baseline"/>
                    <w:rPr>
                      <w:rFonts w:ascii="Arial" w:eastAsia="Arial" w:hAnsi="Arial"/>
                      <w:color w:val="000000"/>
                      <w:sz w:val="20"/>
                    </w:rPr>
                  </w:pPr>
                  <w:r>
                    <w:rPr>
                      <w:rFonts w:ascii="Arial" w:eastAsia="Arial" w:hAnsi="Arial"/>
                      <w:color w:val="000000"/>
                      <w:sz w:val="20"/>
                    </w:rPr>
                    <w:t>Delaying the implementation of available mechanisms which would avoid identified discrimination, to allow time for (repeat) consultation in order to develop yet another assessment tool which still incorporates some form of the (discriminatory) competency a</w:t>
                  </w:r>
                  <w:r>
                    <w:rPr>
                      <w:rFonts w:ascii="Arial" w:eastAsia="Arial" w:hAnsi="Arial"/>
                      <w:color w:val="000000"/>
                      <w:sz w:val="20"/>
                    </w:rPr>
                    <w:t>ssessment, is inconsistent with, and would undermine the objects of the DDA.</w:t>
                  </w:r>
                </w:p>
                <w:p w:rsidR="002C7725" w:rsidRDefault="00477936">
                  <w:pPr>
                    <w:spacing w:before="250" w:line="224" w:lineRule="exact"/>
                    <w:textAlignment w:val="baseline"/>
                    <w:rPr>
                      <w:rFonts w:ascii="Arial" w:eastAsia="Arial" w:hAnsi="Arial"/>
                      <w:color w:val="000000"/>
                      <w:sz w:val="20"/>
                    </w:rPr>
                  </w:pPr>
                  <w:r>
                    <w:rPr>
                      <w:rFonts w:ascii="Arial" w:eastAsia="Arial" w:hAnsi="Arial"/>
                      <w:color w:val="000000"/>
                      <w:sz w:val="20"/>
                    </w:rPr>
                    <w:t>In addition, the continued use of BSWAT to calculate (lower) pro-rata wages, would maintain the competitive advantage to some ADEs promoting their products and commercial services</w:t>
                  </w:r>
                  <w:r>
                    <w:rPr>
                      <w:rFonts w:ascii="Arial" w:eastAsia="Arial" w:hAnsi="Arial"/>
                      <w:color w:val="000000"/>
                      <w:sz w:val="20"/>
                    </w:rPr>
                    <w:t xml:space="preserve"> to the business community such as:</w:t>
                  </w:r>
                </w:p>
                <w:p w:rsidR="002C7725" w:rsidRDefault="00477936">
                  <w:pPr>
                    <w:numPr>
                      <w:ilvl w:val="0"/>
                      <w:numId w:val="3"/>
                    </w:numPr>
                    <w:tabs>
                      <w:tab w:val="clear" w:pos="432"/>
                      <w:tab w:val="left" w:pos="792"/>
                    </w:tabs>
                    <w:spacing w:before="24" w:line="347" w:lineRule="exact"/>
                    <w:ind w:left="1512" w:right="4248" w:hanging="1152"/>
                    <w:textAlignment w:val="baseline"/>
                    <w:rPr>
                      <w:rFonts w:ascii="Arial" w:eastAsia="Arial" w:hAnsi="Arial"/>
                      <w:i/>
                      <w:color w:val="000000"/>
                      <w:spacing w:val="-2"/>
                      <w:sz w:val="20"/>
                    </w:rPr>
                  </w:pPr>
                  <w:r>
                    <w:rPr>
                      <w:rFonts w:ascii="Arial" w:eastAsia="Arial" w:hAnsi="Arial"/>
                      <w:i/>
                      <w:color w:val="000000"/>
                      <w:spacing w:val="-2"/>
                      <w:sz w:val="20"/>
                    </w:rPr>
                    <w:t>commercial advantages to outsourced manufacturing very competitive rates</w:t>
                  </w:r>
                </w:p>
                <w:p w:rsidR="002C7725" w:rsidRDefault="00477936">
                  <w:pPr>
                    <w:numPr>
                      <w:ilvl w:val="0"/>
                      <w:numId w:val="3"/>
                    </w:numPr>
                    <w:tabs>
                      <w:tab w:val="clear" w:pos="432"/>
                      <w:tab w:val="left" w:pos="792"/>
                    </w:tabs>
                    <w:spacing w:before="115" w:line="251" w:lineRule="exact"/>
                    <w:ind w:left="360"/>
                    <w:textAlignment w:val="baseline"/>
                    <w:rPr>
                      <w:rFonts w:ascii="Arial" w:eastAsia="Arial" w:hAnsi="Arial"/>
                      <w:i/>
                      <w:color w:val="000000"/>
                      <w:sz w:val="20"/>
                    </w:rPr>
                  </w:pPr>
                  <w:r>
                    <w:rPr>
                      <w:rFonts w:ascii="Arial" w:eastAsia="Arial" w:hAnsi="Arial"/>
                      <w:i/>
                      <w:color w:val="000000"/>
                      <w:sz w:val="20"/>
                    </w:rPr>
                    <w:t>outsourced work proudly provided by people with disabilities</w:t>
                  </w:r>
                </w:p>
                <w:p w:rsidR="002C7725" w:rsidRDefault="00477936">
                  <w:pPr>
                    <w:numPr>
                      <w:ilvl w:val="0"/>
                      <w:numId w:val="3"/>
                    </w:numPr>
                    <w:tabs>
                      <w:tab w:val="clear" w:pos="432"/>
                      <w:tab w:val="left" w:pos="792"/>
                    </w:tabs>
                    <w:spacing w:before="116" w:line="251" w:lineRule="exact"/>
                    <w:ind w:left="360"/>
                    <w:textAlignment w:val="baseline"/>
                    <w:rPr>
                      <w:rFonts w:ascii="Arial" w:eastAsia="Arial" w:hAnsi="Arial"/>
                      <w:i/>
                      <w:color w:val="000000"/>
                      <w:sz w:val="20"/>
                    </w:rPr>
                  </w:pPr>
                  <w:r>
                    <w:rPr>
                      <w:rFonts w:ascii="Arial" w:eastAsia="Arial" w:hAnsi="Arial"/>
                      <w:i/>
                      <w:color w:val="000000"/>
                      <w:sz w:val="20"/>
                    </w:rPr>
                    <w:t>our skilled team provides outstanding commercial services to your business</w:t>
                  </w:r>
                </w:p>
                <w:p w:rsidR="002C7725" w:rsidRDefault="00477936">
                  <w:pPr>
                    <w:spacing w:before="742" w:line="291" w:lineRule="exact"/>
                    <w:textAlignment w:val="baseline"/>
                    <w:rPr>
                      <w:rFonts w:ascii="Arial" w:eastAsia="Arial" w:hAnsi="Arial"/>
                      <w:b/>
                      <w:color w:val="000000"/>
                      <w:spacing w:val="3"/>
                      <w:sz w:val="24"/>
                    </w:rPr>
                  </w:pPr>
                  <w:r>
                    <w:rPr>
                      <w:rFonts w:ascii="Arial" w:eastAsia="Arial" w:hAnsi="Arial"/>
                      <w:b/>
                      <w:color w:val="000000"/>
                      <w:spacing w:val="3"/>
                      <w:sz w:val="24"/>
                    </w:rPr>
                    <w:t>Is it appropriate to grant an exemption subject to terms and conditions</w:t>
                  </w:r>
                </w:p>
                <w:p w:rsidR="002C7725" w:rsidRDefault="00477936">
                  <w:pPr>
                    <w:spacing w:before="303" w:line="230" w:lineRule="exact"/>
                    <w:ind w:right="72"/>
                    <w:textAlignment w:val="baseline"/>
                    <w:rPr>
                      <w:rFonts w:ascii="Arial" w:eastAsia="Arial" w:hAnsi="Arial"/>
                      <w:color w:val="000000"/>
                      <w:sz w:val="20"/>
                    </w:rPr>
                  </w:pPr>
                  <w:r>
                    <w:rPr>
                      <w:rFonts w:ascii="Arial" w:eastAsia="Arial" w:hAnsi="Arial"/>
                      <w:color w:val="000000"/>
                      <w:sz w:val="20"/>
                    </w:rPr>
                    <w:t xml:space="preserve">Since the ADEs and DSS have the means available to them </w:t>
                  </w:r>
                  <w:r>
                    <w:rPr>
                      <w:rFonts w:ascii="Arial" w:eastAsia="Arial" w:hAnsi="Arial"/>
                      <w:color w:val="000000"/>
                      <w:sz w:val="20"/>
                      <w:u w:val="single"/>
                    </w:rPr>
                    <w:t>currently</w:t>
                  </w:r>
                  <w:r>
                    <w:rPr>
                      <w:rFonts w:ascii="Arial" w:eastAsia="Arial" w:hAnsi="Arial"/>
                      <w:color w:val="000000"/>
                      <w:sz w:val="20"/>
                    </w:rPr>
                    <w:t xml:space="preserve"> to avoid the discrimination identified in the use of BSWAT to calculate wages for persons with intellectual disability</w:t>
                  </w:r>
                  <w:r>
                    <w:rPr>
                      <w:rFonts w:ascii="Arial" w:eastAsia="Arial" w:hAnsi="Arial"/>
                      <w:color w:val="000000"/>
                      <w:sz w:val="20"/>
                    </w:rPr>
                    <w:t>, in our view no terms or conditions imposed on an exemption would justify the continued use of that discriminatory practice.</w:t>
                  </w:r>
                </w:p>
                <w:p w:rsidR="002C7725" w:rsidRDefault="00477936">
                  <w:pPr>
                    <w:spacing w:before="723" w:line="291" w:lineRule="exact"/>
                    <w:textAlignment w:val="baseline"/>
                    <w:rPr>
                      <w:rFonts w:ascii="Arial" w:eastAsia="Arial" w:hAnsi="Arial"/>
                      <w:b/>
                      <w:color w:val="000000"/>
                      <w:spacing w:val="-4"/>
                      <w:sz w:val="24"/>
                    </w:rPr>
                  </w:pPr>
                  <w:r>
                    <w:rPr>
                      <w:rFonts w:ascii="Arial" w:eastAsia="Arial" w:hAnsi="Arial"/>
                      <w:b/>
                      <w:color w:val="000000"/>
                      <w:spacing w:val="-4"/>
                      <w:sz w:val="24"/>
                    </w:rPr>
                    <w:t>Conclusion</w:t>
                  </w:r>
                </w:p>
                <w:p w:rsidR="002C7725" w:rsidRDefault="00477936">
                  <w:pPr>
                    <w:spacing w:before="275" w:line="220" w:lineRule="exact"/>
                    <w:ind w:right="216"/>
                    <w:textAlignment w:val="baseline"/>
                    <w:rPr>
                      <w:rFonts w:ascii="Arial" w:eastAsia="Arial" w:hAnsi="Arial"/>
                      <w:color w:val="000000"/>
                      <w:sz w:val="20"/>
                    </w:rPr>
                  </w:pPr>
                  <w:r>
                    <w:rPr>
                      <w:rFonts w:ascii="Arial" w:eastAsia="Arial" w:hAnsi="Arial"/>
                      <w:color w:val="000000"/>
                      <w:sz w:val="20"/>
                    </w:rPr>
                    <w:t>Based on our reasoning above, we strongly recommend to the Commission that the Application by DSS be rejected outright.</w:t>
                  </w:r>
                </w:p>
                <w:p w:rsidR="002C7725" w:rsidRDefault="00477936">
                  <w:pPr>
                    <w:spacing w:before="246" w:after="2409" w:line="222" w:lineRule="exact"/>
                    <w:ind w:right="144"/>
                    <w:jc w:val="both"/>
                    <w:textAlignment w:val="baseline"/>
                    <w:rPr>
                      <w:rFonts w:ascii="Arial" w:eastAsia="Arial" w:hAnsi="Arial"/>
                      <w:color w:val="000000"/>
                      <w:sz w:val="20"/>
                    </w:rPr>
                  </w:pPr>
                  <w:r>
                    <w:rPr>
                      <w:rFonts w:ascii="Arial" w:eastAsia="Arial" w:hAnsi="Arial"/>
                      <w:color w:val="000000"/>
                      <w:sz w:val="20"/>
                    </w:rPr>
                    <w:t xml:space="preserve">We thank you for the opportunity to make a submission on this matter. Please contact Sue </w:t>
                  </w:r>
                  <w:proofErr w:type="spellStart"/>
                  <w:r>
                    <w:rPr>
                      <w:rFonts w:ascii="Arial" w:eastAsia="Arial" w:hAnsi="Arial"/>
                      <w:color w:val="000000"/>
                      <w:sz w:val="20"/>
                    </w:rPr>
                    <w:t>Tomasich</w:t>
                  </w:r>
                  <w:proofErr w:type="spellEnd"/>
                  <w:r>
                    <w:rPr>
                      <w:rFonts w:ascii="Arial" w:eastAsia="Arial" w:hAnsi="Arial"/>
                      <w:color w:val="000000"/>
                      <w:sz w:val="20"/>
                    </w:rPr>
                    <w:t xml:space="preserve"> of our office if you have any queries.</w:t>
                  </w:r>
                </w:p>
              </w:txbxContent>
            </v:textbox>
            <w10:wrap type="square" anchorx="page" anchory="page"/>
          </v:shape>
        </w:pict>
      </w:r>
      <w:r>
        <w:pict>
          <v:shape id="_x0000_s1027" type="#_x0000_t202" style="position:absolute;margin-left:21.25pt;margin-top:769.4pt;width:541.45pt;height:11.75pt;z-index:-251643904;mso-wrap-distance-left:0;mso-wrap-distance-right:0;mso-position-horizontal-relative:page;mso-position-vertical-relative:page" filled="f" stroked="f">
            <v:textbox inset="0,0,0,0">
              <w:txbxContent>
                <w:p w:rsidR="002C7725" w:rsidRDefault="00477936">
                  <w:pPr>
                    <w:tabs>
                      <w:tab w:val="right" w:pos="10728"/>
                    </w:tabs>
                    <w:spacing w:before="2" w:after="22" w:line="197" w:lineRule="exact"/>
                    <w:ind w:left="72"/>
                    <w:textAlignment w:val="baseline"/>
                    <w:rPr>
                      <w:rFonts w:ascii="Arial" w:eastAsia="Arial" w:hAnsi="Arial"/>
                      <w:b/>
                      <w:color w:val="000000"/>
                      <w:sz w:val="17"/>
                    </w:rPr>
                  </w:pPr>
                  <w:r>
                    <w:rPr>
                      <w:rFonts w:ascii="Arial" w:eastAsia="Arial" w:hAnsi="Arial"/>
                      <w:b/>
                      <w:color w:val="000000"/>
                      <w:sz w:val="17"/>
                    </w:rPr>
                    <w:t xml:space="preserve">Cairns Community Legal Centre </w:t>
                  </w:r>
                  <w:proofErr w:type="spellStart"/>
                  <w:r>
                    <w:rPr>
                      <w:rFonts w:ascii="Arial" w:eastAsia="Arial" w:hAnsi="Arial"/>
                      <w:b/>
                      <w:color w:val="000000"/>
                      <w:sz w:val="17"/>
                    </w:rPr>
                    <w:t>Inc</w:t>
                  </w:r>
                  <w:proofErr w:type="spellEnd"/>
                  <w:r>
                    <w:rPr>
                      <w:rFonts w:ascii="Arial" w:eastAsia="Arial" w:hAnsi="Arial"/>
                      <w:b/>
                      <w:color w:val="000000"/>
                      <w:sz w:val="17"/>
                    </w:rPr>
                    <w:tab/>
                  </w:r>
                  <w:r>
                    <w:rPr>
                      <w:rFonts w:ascii="Arial" w:eastAsia="Arial" w:hAnsi="Arial"/>
                      <w:color w:val="000000"/>
                      <w:sz w:val="17"/>
                    </w:rPr>
                    <w:t>7</w:t>
                  </w:r>
                </w:p>
              </w:txbxContent>
            </v:textbox>
            <w10:wrap type="square" anchorx="page" anchory="page"/>
          </v:shape>
        </w:pict>
      </w:r>
    </w:p>
    <w:p w:rsidR="002C7725" w:rsidRDefault="002C7725">
      <w:pPr>
        <w:sectPr w:rsidR="002C7725">
          <w:pgSz w:w="11914" w:h="16848"/>
          <w:pgMar w:top="860" w:right="660" w:bottom="324" w:left="425" w:header="720" w:footer="720" w:gutter="0"/>
          <w:cols w:space="720"/>
        </w:sectPr>
      </w:pPr>
    </w:p>
    <w:p w:rsidR="002C7725" w:rsidRDefault="00477936">
      <w:pPr>
        <w:textAlignment w:val="baseline"/>
        <w:rPr>
          <w:rFonts w:eastAsia="Times New Roman"/>
          <w:color w:val="000000"/>
          <w:sz w:val="24"/>
        </w:rPr>
      </w:pPr>
      <w:r>
        <w:lastRenderedPageBreak/>
        <w:pict>
          <v:shape id="_x0000_s1026" type="#_x0000_t202" style="position:absolute;margin-left:0;margin-top:802.55pt;width:593.3pt;height:33.85pt;z-index:-251642880;mso-wrap-distance-left:0;mso-wrap-distance-right:0;mso-position-horizontal-relative:page;mso-position-vertical-relative:page" filled="f" stroked="f">
            <v:textbox inset="0,0,0,0">
              <w:txbxContent>
                <w:p w:rsidR="002C7725" w:rsidRDefault="00477936">
                  <w:pPr>
                    <w:textAlignment w:val="baseline"/>
                  </w:pPr>
                  <w:r>
                    <w:rPr>
                      <w:noProof/>
                      <w:lang w:val="en-AU" w:eastAsia="en-AU"/>
                    </w:rPr>
                    <w:drawing>
                      <wp:inline distT="0" distB="0" distL="0" distR="0">
                        <wp:extent cx="7534910" cy="4298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7534910" cy="429895"/>
                                </a:xfrm>
                                <a:prstGeom prst="rect">
                                  <a:avLst/>
                                </a:prstGeom>
                              </pic:spPr>
                            </pic:pic>
                          </a:graphicData>
                        </a:graphic>
                      </wp:inline>
                    </w:drawing>
                  </w:r>
                </w:p>
              </w:txbxContent>
            </v:textbox>
            <w10:wrap type="square" anchorx="page" anchory="page"/>
          </v:shape>
        </w:pict>
      </w:r>
    </w:p>
    <w:sectPr w:rsidR="002C7725">
      <w:pgSz w:w="11914" w:h="16848"/>
      <w:pgMar w:top="1152" w:right="48" w:bottom="3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2DF4"/>
    <w:multiLevelType w:val="multilevel"/>
    <w:tmpl w:val="3C002338"/>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053E54"/>
    <w:multiLevelType w:val="multilevel"/>
    <w:tmpl w:val="CDC21B40"/>
    <w:lvl w:ilvl="0">
      <w:start w:val="1"/>
      <w:numFmt w:val="bullet"/>
      <w:lvlText w:val="o"/>
      <w:lvlJc w:val="left"/>
      <w:pPr>
        <w:tabs>
          <w:tab w:val="left" w:pos="288"/>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D17A51"/>
    <w:multiLevelType w:val="multilevel"/>
    <w:tmpl w:val="7A42D326"/>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C7725"/>
    <w:rsid w:val="002C7725"/>
    <w:rsid w:val="00477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36"/>
    <w:rPr>
      <w:rFonts w:ascii="Tahoma" w:hAnsi="Tahoma" w:cs="Tahoma"/>
      <w:sz w:val="16"/>
      <w:szCs w:val="16"/>
    </w:rPr>
  </w:style>
  <w:style w:type="character" w:customStyle="1" w:styleId="BalloonTextChar">
    <w:name w:val="Balloon Text Char"/>
    <w:basedOn w:val="DefaultParagraphFont"/>
    <w:link w:val="BalloonText"/>
    <w:uiPriority w:val="99"/>
    <w:semiHidden/>
    <w:rsid w:val="00477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36"/>
    <w:rPr>
      <w:rFonts w:ascii="Tahoma" w:hAnsi="Tahoma" w:cs="Tahoma"/>
      <w:sz w:val="16"/>
      <w:szCs w:val="16"/>
    </w:rPr>
  </w:style>
  <w:style w:type="character" w:customStyle="1" w:styleId="BalloonTextChar">
    <w:name w:val="Balloon Text Char"/>
    <w:basedOn w:val="DefaultParagraphFont"/>
    <w:link w:val="BalloonText"/>
    <w:uiPriority w:val="99"/>
    <w:semiHidden/>
    <w:rsid w:val="00477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ic.org.au" TargetMode="External"/><Relationship Id="rId3" Type="http://schemas.microsoft.com/office/2007/relationships/stylesWithEffects" Target="stylesWithEffects.xml"/><Relationship Id="rId7" Type="http://schemas.openxmlformats.org/officeDocument/2006/relationships/hyperlink" Target="mailto:enquiry@ccic.org.au"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2013-12-03T04:48:00Z</dcterms:created>
  <dcterms:modified xsi:type="dcterms:W3CDTF">2013-12-03T04:48:00Z</dcterms:modified>
</cp:coreProperties>
</file>