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8A" w:rsidRDefault="00FF348A"/>
    <w:tbl>
      <w:tblPr>
        <w:tblStyle w:val="Grigliatabella"/>
        <w:tblW w:w="0" w:type="auto"/>
        <w:tblCellMar>
          <w:left w:w="0" w:type="dxa"/>
          <w:right w:w="0" w:type="dxa"/>
        </w:tblCellMar>
        <w:tblLook w:val="04A0" w:firstRow="1" w:lastRow="0" w:firstColumn="1" w:lastColumn="0" w:noHBand="0" w:noVBand="1"/>
      </w:tblPr>
      <w:tblGrid>
        <w:gridCol w:w="2552"/>
        <w:gridCol w:w="3685"/>
        <w:gridCol w:w="3385"/>
      </w:tblGrid>
      <w:tr w:rsidR="007D1D83" w:rsidRPr="001B72A0" w:rsidTr="00644A80">
        <w:tc>
          <w:tcPr>
            <w:tcW w:w="2552" w:type="dxa"/>
            <w:tcBorders>
              <w:top w:val="nil"/>
              <w:left w:val="nil"/>
              <w:bottom w:val="nil"/>
              <w:right w:val="nil"/>
            </w:tcBorders>
          </w:tcPr>
          <w:p w:rsidR="007D1D83" w:rsidRDefault="0081334C">
            <w:bookmarkStart w:id="0" w:name="_GoBack"/>
            <w:bookmarkEnd w:id="0"/>
            <w:r>
              <w:rPr>
                <w:noProof/>
              </w:rPr>
              <w:drawing>
                <wp:inline distT="0" distB="0" distL="0" distR="0">
                  <wp:extent cx="1460500" cy="1397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_Pic_01_Ros.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3685" w:type="dxa"/>
            <w:tcBorders>
              <w:top w:val="nil"/>
              <w:left w:val="nil"/>
              <w:bottom w:val="nil"/>
              <w:right w:val="nil"/>
            </w:tcBorders>
          </w:tcPr>
          <w:p w:rsidR="007D1D83" w:rsidRPr="00132F3A" w:rsidRDefault="00810869" w:rsidP="0088740E">
            <w:pPr>
              <w:pStyle w:val="Titolo1"/>
              <w:rPr>
                <w:lang w:val="en-US"/>
              </w:rPr>
            </w:pPr>
            <w:r w:rsidRPr="00132F3A">
              <w:rPr>
                <w:lang w:val="en-US"/>
              </w:rPr>
              <w:t>Emeritus Professor</w:t>
            </w:r>
            <w:r w:rsidR="007D1D83" w:rsidRPr="00132F3A">
              <w:rPr>
                <w:lang w:val="en-US"/>
              </w:rPr>
              <w:br/>
              <w:t>Rosalind Croucher AM</w:t>
            </w:r>
          </w:p>
          <w:p w:rsidR="007D1D83" w:rsidRPr="00132F3A" w:rsidRDefault="007D1D83" w:rsidP="00E36C73">
            <w:pPr>
              <w:pStyle w:val="Titolo1"/>
              <w:rPr>
                <w:b w:val="0"/>
                <w:lang w:val="en-US"/>
              </w:rPr>
            </w:pPr>
            <w:r w:rsidRPr="00132F3A">
              <w:rPr>
                <w:b w:val="0"/>
                <w:lang w:val="en-US"/>
              </w:rPr>
              <w:t>President</w:t>
            </w:r>
          </w:p>
          <w:p w:rsidR="007D1D83" w:rsidRDefault="007D1D83" w:rsidP="007D1D83">
            <w:pPr>
              <w:rPr>
                <w:lang w:val="en-AU"/>
              </w:rPr>
            </w:pPr>
          </w:p>
          <w:p w:rsidR="007D1D83" w:rsidRPr="007D1D83" w:rsidRDefault="007D1D83" w:rsidP="00FF348A">
            <w:pPr>
              <w:pStyle w:val="Titolo3"/>
            </w:pPr>
            <w:r w:rsidRPr="007D1D83">
              <w:t>SECOND YEAR OF TERM</w:t>
            </w:r>
          </w:p>
        </w:tc>
        <w:tc>
          <w:tcPr>
            <w:tcW w:w="3385" w:type="dxa"/>
            <w:tcBorders>
              <w:top w:val="nil"/>
              <w:left w:val="nil"/>
              <w:bottom w:val="nil"/>
              <w:right w:val="nil"/>
            </w:tcBorders>
          </w:tcPr>
          <w:p w:rsidR="007D1D83" w:rsidRPr="00D37A39" w:rsidRDefault="007D1D83" w:rsidP="0088740E">
            <w:pPr>
              <w:spacing w:line="288" w:lineRule="auto"/>
              <w:rPr>
                <w:i/>
                <w:sz w:val="18"/>
                <w:szCs w:val="18"/>
                <w:lang w:val="en-US"/>
              </w:rPr>
            </w:pPr>
            <w:r w:rsidRPr="00D37A39">
              <w:rPr>
                <w:i/>
                <w:sz w:val="18"/>
                <w:szCs w:val="18"/>
                <w:lang w:val="en-US"/>
              </w:rPr>
              <w:t>‘Good relationships and open doors are absolutely crucial for us to be able to play the role of trusted adviser to its fullest—to be the devil’s advocate and at times to be the ‘devil’s blowtorch’, you need to have a respected seat at the table.’</w:t>
            </w:r>
          </w:p>
        </w:tc>
      </w:tr>
    </w:tbl>
    <w:p w:rsidR="007D1D83" w:rsidRDefault="007D1D83">
      <w:pPr>
        <w:rPr>
          <w:lang w:val="en-US"/>
        </w:rPr>
      </w:pPr>
    </w:p>
    <w:p w:rsidR="007D1D83" w:rsidRPr="0088740E" w:rsidRDefault="007D1D83" w:rsidP="0020676E">
      <w:pPr>
        <w:pStyle w:val="Titolo2"/>
        <w:spacing w:after="200"/>
      </w:pPr>
      <w:r w:rsidRPr="0088740E">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113" w:type="dxa"/>
          <w:bottom w:w="113" w:type="dxa"/>
        </w:tblCellMar>
        <w:tblLook w:val="04A0" w:firstRow="1" w:lastRow="0" w:firstColumn="1" w:lastColumn="0" w:noHBand="0" w:noVBand="1"/>
      </w:tblPr>
      <w:tblGrid>
        <w:gridCol w:w="1924"/>
        <w:gridCol w:w="1924"/>
        <w:gridCol w:w="1924"/>
        <w:gridCol w:w="1925"/>
        <w:gridCol w:w="1925"/>
      </w:tblGrid>
      <w:tr w:rsidR="007D1D83" w:rsidRPr="001B72A0" w:rsidTr="00884230">
        <w:tc>
          <w:tcPr>
            <w:tcW w:w="1924" w:type="dxa"/>
            <w:tcBorders>
              <w:right w:val="single" w:sz="8" w:space="0" w:color="FFFFFF" w:themeColor="background1"/>
            </w:tcBorders>
            <w:shd w:val="clear" w:color="auto" w:fill="FBE4D5" w:themeFill="accent2" w:themeFillTint="33"/>
          </w:tcPr>
          <w:p w:rsidR="007D1D83" w:rsidRPr="00810869" w:rsidRDefault="007D1D83" w:rsidP="007D1D83">
            <w:pPr>
              <w:rPr>
                <w:szCs w:val="16"/>
                <w:lang w:val="en-US"/>
              </w:rPr>
            </w:pPr>
            <w:r w:rsidRPr="00810869">
              <w:rPr>
                <w:b/>
                <w:szCs w:val="16"/>
                <w:lang w:val="en-US"/>
              </w:rPr>
              <w:t>Effectively</w:t>
            </w:r>
            <w:r w:rsidRPr="00810869">
              <w:rPr>
                <w:szCs w:val="16"/>
                <w:lang w:val="en-US"/>
              </w:rPr>
              <w:t xml:space="preserve"> lead and manage the internal and external governance of the Commission</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7D1D83" w:rsidRPr="00810869" w:rsidRDefault="007D1D83" w:rsidP="007D1D83">
            <w:pPr>
              <w:rPr>
                <w:szCs w:val="16"/>
                <w:lang w:val="en-US"/>
              </w:rPr>
            </w:pPr>
            <w:r w:rsidRPr="00810869">
              <w:rPr>
                <w:b/>
                <w:szCs w:val="16"/>
                <w:lang w:val="en-US"/>
              </w:rPr>
              <w:t>Advance</w:t>
            </w:r>
            <w:r w:rsidRPr="00810869">
              <w:rPr>
                <w:szCs w:val="16"/>
                <w:lang w:val="en-US"/>
              </w:rPr>
              <w:t xml:space="preserve"> the Commission’s relationship with key stakeholders including Commonwealth Government and Parliament</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7D1D83" w:rsidRPr="00132F3A" w:rsidRDefault="007D1D83" w:rsidP="007D1D83">
            <w:pPr>
              <w:rPr>
                <w:szCs w:val="16"/>
                <w:lang w:val="en-US"/>
              </w:rPr>
            </w:pPr>
            <w:r w:rsidRPr="00132F3A">
              <w:rPr>
                <w:b/>
                <w:szCs w:val="16"/>
                <w:lang w:val="en-US"/>
              </w:rPr>
              <w:t>Progress</w:t>
            </w:r>
            <w:r w:rsidRPr="00132F3A">
              <w:rPr>
                <w:szCs w:val="16"/>
                <w:lang w:val="en-US"/>
              </w:rPr>
              <w:t xml:space="preserve"> the role and leadership of the Commission as an independent statutory agency and as Australia’s National Human Rights Institution</w:t>
            </w:r>
          </w:p>
        </w:tc>
        <w:tc>
          <w:tcPr>
            <w:tcW w:w="1925" w:type="dxa"/>
            <w:tcBorders>
              <w:left w:val="single" w:sz="8" w:space="0" w:color="FFFFFF" w:themeColor="background1"/>
              <w:right w:val="single" w:sz="8" w:space="0" w:color="FFFFFF" w:themeColor="background1"/>
            </w:tcBorders>
            <w:shd w:val="clear" w:color="auto" w:fill="FBE4D5" w:themeFill="accent2" w:themeFillTint="33"/>
          </w:tcPr>
          <w:p w:rsidR="007D1D83" w:rsidRPr="00810869" w:rsidRDefault="007D1D83" w:rsidP="007D1D83">
            <w:pPr>
              <w:rPr>
                <w:szCs w:val="16"/>
                <w:lang w:val="en-US"/>
              </w:rPr>
            </w:pPr>
            <w:r w:rsidRPr="00810869">
              <w:rPr>
                <w:b/>
                <w:szCs w:val="16"/>
                <w:lang w:val="en-US"/>
              </w:rPr>
              <w:t>Foster</w:t>
            </w:r>
            <w:r w:rsidRPr="00810869">
              <w:rPr>
                <w:szCs w:val="16"/>
                <w:lang w:val="en-US"/>
              </w:rPr>
              <w:t xml:space="preserve"> and lead a positive and collegiate Commission and </w:t>
            </w:r>
            <w:proofErr w:type="spellStart"/>
            <w:r w:rsidRPr="00810869">
              <w:rPr>
                <w:szCs w:val="16"/>
                <w:lang w:val="en-US"/>
              </w:rPr>
              <w:t>organisational</w:t>
            </w:r>
            <w:proofErr w:type="spellEnd"/>
            <w:r w:rsidRPr="00810869">
              <w:rPr>
                <w:szCs w:val="16"/>
                <w:lang w:val="en-US"/>
              </w:rPr>
              <w:t xml:space="preserve"> culture</w:t>
            </w:r>
          </w:p>
        </w:tc>
        <w:tc>
          <w:tcPr>
            <w:tcW w:w="1925" w:type="dxa"/>
            <w:tcBorders>
              <w:left w:val="single" w:sz="8" w:space="0" w:color="FFFFFF" w:themeColor="background1"/>
            </w:tcBorders>
            <w:shd w:val="clear" w:color="auto" w:fill="FBE4D5" w:themeFill="accent2" w:themeFillTint="33"/>
          </w:tcPr>
          <w:p w:rsidR="007D1D83" w:rsidRPr="00810869" w:rsidRDefault="007D1D83" w:rsidP="007D1D83">
            <w:pPr>
              <w:rPr>
                <w:szCs w:val="16"/>
                <w:lang w:val="en-US"/>
              </w:rPr>
            </w:pPr>
            <w:r w:rsidRPr="00810869">
              <w:rPr>
                <w:b/>
                <w:szCs w:val="16"/>
                <w:lang w:val="en-US"/>
              </w:rPr>
              <w:t>Promote</w:t>
            </w:r>
            <w:r w:rsidRPr="00810869">
              <w:rPr>
                <w:szCs w:val="16"/>
                <w:lang w:val="en-US"/>
              </w:rPr>
              <w:t xml:space="preserve"> a community of understanding human rights and build an Australian culture of rights-mindedness</w:t>
            </w:r>
          </w:p>
        </w:tc>
      </w:tr>
    </w:tbl>
    <w:p w:rsidR="00810869" w:rsidRDefault="00810869">
      <w:pPr>
        <w:rPr>
          <w:lang w:val="en-US"/>
        </w:rPr>
      </w:pPr>
    </w:p>
    <w:p w:rsidR="00132F3A" w:rsidRPr="00132F3A" w:rsidRDefault="00132F3A" w:rsidP="00132F3A">
      <w:pPr>
        <w:pStyle w:val="Titolo2"/>
        <w:spacing w:after="200"/>
        <w:rPr>
          <w:lang w:val="en-US"/>
        </w:rPr>
      </w:pPr>
      <w:r w:rsidRPr="00132F3A">
        <w:rPr>
          <w:lang w:val="en-US"/>
        </w:rPr>
        <w:t>PROGRAMS AND SERVICES</w:t>
      </w:r>
    </w:p>
    <w:p w:rsidR="00810869" w:rsidRDefault="00132F3A" w:rsidP="00132F3A">
      <w:pPr>
        <w:rPr>
          <w:lang w:val="en-US"/>
        </w:rPr>
      </w:pPr>
      <w:r w:rsidRPr="00810869">
        <w:rPr>
          <w:lang w:val="en-US"/>
        </w:rPr>
        <w:t>In addition to the governance, statutory functions and leadership of the President, Professor Croucher leads the following programs and services.</w:t>
      </w:r>
    </w:p>
    <w:p w:rsidR="00132F3A" w:rsidRDefault="00132F3A">
      <w:pPr>
        <w:rPr>
          <w:lang w:val="en-US"/>
        </w:rPr>
      </w:pP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810869" w:rsidRPr="0088740E" w:rsidTr="000F02F8">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rPr>
            </w:pPr>
            <w:proofErr w:type="spellStart"/>
            <w:r w:rsidRPr="00B47E42">
              <w:rPr>
                <w:rStyle w:val="CondensedBold"/>
                <w:rFonts w:ascii="Arial" w:hAnsi="Arial" w:cs="Arial"/>
                <w:szCs w:val="16"/>
              </w:rPr>
              <w:t>Investigation</w:t>
            </w:r>
            <w:proofErr w:type="spellEnd"/>
            <w:r w:rsidRPr="00B47E42">
              <w:rPr>
                <w:rStyle w:val="CondensedBold"/>
                <w:rFonts w:ascii="Arial" w:hAnsi="Arial" w:cs="Arial"/>
                <w:szCs w:val="16"/>
              </w:rPr>
              <w:t xml:space="preserve"> and </w:t>
            </w:r>
            <w:proofErr w:type="spellStart"/>
            <w:r w:rsidRPr="00B47E42">
              <w:rPr>
                <w:rStyle w:val="CondensedBold"/>
                <w:rFonts w:ascii="Arial" w:hAnsi="Arial" w:cs="Arial"/>
                <w:szCs w:val="16"/>
              </w:rPr>
              <w:t>Conciliation</w:t>
            </w:r>
            <w:proofErr w:type="spellEnd"/>
            <w:r w:rsidRPr="00B47E42">
              <w:rPr>
                <w:rStyle w:val="CondensedBold"/>
                <w:rFonts w:ascii="Arial" w:hAnsi="Arial" w:cs="Arial"/>
                <w:szCs w:val="16"/>
              </w:rPr>
              <w:t xml:space="preserve"> Service</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National Information service</w:t>
            </w:r>
          </w:p>
          <w:p w:rsidR="00810869" w:rsidRPr="00810869" w:rsidRDefault="00810869" w:rsidP="00810869">
            <w:pPr>
              <w:pStyle w:val="Paragrafoelenco"/>
              <w:numPr>
                <w:ilvl w:val="0"/>
                <w:numId w:val="2"/>
              </w:numPr>
              <w:rPr>
                <w:lang w:val="en-US"/>
              </w:rPr>
            </w:pPr>
            <w:r w:rsidRPr="00810869">
              <w:rPr>
                <w:lang w:val="en-US"/>
              </w:rPr>
              <w:t>Investigation and Conciliation Service</w:t>
            </w:r>
          </w:p>
        </w:tc>
      </w:tr>
      <w:tr w:rsidR="00810869" w:rsidRPr="001B72A0" w:rsidTr="00810869">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lang w:val="en-US"/>
              </w:rPr>
            </w:pPr>
            <w:r w:rsidRPr="00B47E42">
              <w:rPr>
                <w:rStyle w:val="CondensedBold"/>
                <w:rFonts w:ascii="Arial" w:hAnsi="Arial" w:cs="Arial"/>
                <w:szCs w:val="16"/>
                <w:lang w:val="en-US"/>
              </w:rPr>
              <w:t>Human rights education and training</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School education and adult training programs</w:t>
            </w:r>
          </w:p>
          <w:p w:rsidR="00810869" w:rsidRPr="00810869" w:rsidRDefault="00810869" w:rsidP="00810869">
            <w:pPr>
              <w:pStyle w:val="Paragrafoelenco"/>
              <w:numPr>
                <w:ilvl w:val="0"/>
                <w:numId w:val="2"/>
              </w:numPr>
              <w:rPr>
                <w:lang w:val="en-US"/>
              </w:rPr>
            </w:pPr>
            <w:r w:rsidRPr="00810869">
              <w:rPr>
                <w:lang w:val="en-US"/>
              </w:rPr>
              <w:t>Development of fee for service training/education and advisory function</w:t>
            </w:r>
          </w:p>
        </w:tc>
      </w:tr>
      <w:tr w:rsidR="00810869" w:rsidTr="0025304F">
        <w:trPr>
          <w:trHeight w:val="60"/>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lang w:val="en-US"/>
              </w:rPr>
            </w:pPr>
            <w:r w:rsidRPr="00B47E42">
              <w:rPr>
                <w:rStyle w:val="CondensedBold"/>
                <w:rFonts w:ascii="Arial" w:hAnsi="Arial" w:cs="Arial"/>
                <w:szCs w:val="16"/>
                <w:lang w:val="en-US"/>
              </w:rPr>
              <w:t>Human rights technical co</w:t>
            </w:r>
            <w:r w:rsidRPr="00B47E42">
              <w:rPr>
                <w:rStyle w:val="CondensedBold"/>
                <w:rFonts w:ascii="Cambria Math" w:hAnsi="Cambria Math" w:cs="Cambria Math"/>
                <w:szCs w:val="16"/>
                <w:lang w:val="en-US"/>
              </w:rPr>
              <w:t>‑</w:t>
            </w:r>
            <w:r w:rsidRPr="00B47E42">
              <w:rPr>
                <w:rStyle w:val="CondensedBold"/>
                <w:rFonts w:ascii="Arial" w:hAnsi="Arial" w:cs="Arial"/>
                <w:szCs w:val="16"/>
                <w:lang w:val="en-US"/>
              </w:rPr>
              <w:t>operation</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Human Rights Technical Cooperation programs: China, Laos</w:t>
            </w:r>
          </w:p>
          <w:p w:rsidR="00810869" w:rsidRDefault="00810869" w:rsidP="00810869">
            <w:pPr>
              <w:pStyle w:val="Paragrafoelenco"/>
              <w:numPr>
                <w:ilvl w:val="0"/>
                <w:numId w:val="2"/>
              </w:numPr>
            </w:pPr>
            <w:r>
              <w:t xml:space="preserve">Vietnam </w:t>
            </w:r>
            <w:proofErr w:type="spellStart"/>
            <w:r>
              <w:t>Education</w:t>
            </w:r>
            <w:proofErr w:type="spellEnd"/>
            <w:r>
              <w:t xml:space="preserve"> Program</w:t>
            </w:r>
          </w:p>
        </w:tc>
      </w:tr>
      <w:tr w:rsidR="00810869" w:rsidTr="00810869">
        <w:trPr>
          <w:trHeight w:val="1039"/>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rPr>
            </w:pPr>
            <w:r w:rsidRPr="00B47E42">
              <w:rPr>
                <w:rStyle w:val="CondensedBold"/>
                <w:rFonts w:ascii="Arial" w:hAnsi="Arial" w:cs="Arial"/>
                <w:szCs w:val="16"/>
              </w:rPr>
              <w:t>International engagement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United Nations (UN) Program: Universal Periodic Review; UN Treaty Engagement; Human Rights Council activities</w:t>
            </w:r>
          </w:p>
          <w:p w:rsidR="00810869" w:rsidRPr="00810869" w:rsidRDefault="00810869" w:rsidP="00810869">
            <w:pPr>
              <w:pStyle w:val="Paragrafoelenco"/>
              <w:numPr>
                <w:ilvl w:val="0"/>
                <w:numId w:val="2"/>
              </w:numPr>
              <w:rPr>
                <w:lang w:val="en-US"/>
              </w:rPr>
            </w:pPr>
            <w:r w:rsidRPr="00810869">
              <w:rPr>
                <w:lang w:val="en-US"/>
              </w:rPr>
              <w:t xml:space="preserve">Global Alliance of National Human Rights Institutions </w:t>
            </w:r>
          </w:p>
          <w:p w:rsidR="00810869" w:rsidRPr="00810869" w:rsidRDefault="00810869" w:rsidP="00810869">
            <w:pPr>
              <w:pStyle w:val="Paragrafoelenco"/>
              <w:numPr>
                <w:ilvl w:val="0"/>
                <w:numId w:val="2"/>
              </w:numPr>
              <w:rPr>
                <w:lang w:val="en-US"/>
              </w:rPr>
            </w:pPr>
            <w:r w:rsidRPr="00810869">
              <w:rPr>
                <w:lang w:val="en-US"/>
              </w:rPr>
              <w:t>Office High Commissioner Human Rights and Special Rapporteur visits</w:t>
            </w:r>
          </w:p>
          <w:p w:rsidR="00810869" w:rsidRDefault="00810869" w:rsidP="00810869">
            <w:pPr>
              <w:pStyle w:val="Paragrafoelenco"/>
              <w:numPr>
                <w:ilvl w:val="0"/>
                <w:numId w:val="2"/>
              </w:numPr>
            </w:pPr>
            <w:r>
              <w:t>Asia Pacific Forum</w:t>
            </w:r>
          </w:p>
        </w:tc>
      </w:tr>
      <w:tr w:rsidR="00810869" w:rsidRPr="001B72A0" w:rsidTr="00810869">
        <w:trPr>
          <w:trHeight w:val="875"/>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lang w:val="en-US"/>
              </w:rPr>
            </w:pPr>
            <w:r w:rsidRPr="00B47E42">
              <w:rPr>
                <w:rStyle w:val="CondensedBold"/>
                <w:rFonts w:ascii="Arial" w:hAnsi="Arial" w:cs="Arial"/>
                <w:szCs w:val="16"/>
                <w:lang w:val="en-US"/>
              </w:rPr>
              <w:t>Business and human rights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 xml:space="preserve">National Guidelines: Trans and Intersex inclusion in sport </w:t>
            </w:r>
          </w:p>
          <w:p w:rsidR="00810869" w:rsidRPr="00810869" w:rsidRDefault="00810869" w:rsidP="00810869">
            <w:pPr>
              <w:pStyle w:val="Paragrafoelenco"/>
              <w:numPr>
                <w:ilvl w:val="0"/>
                <w:numId w:val="2"/>
              </w:numPr>
              <w:rPr>
                <w:lang w:val="en-US"/>
              </w:rPr>
            </w:pPr>
            <w:r w:rsidRPr="00810869">
              <w:rPr>
                <w:lang w:val="en-US"/>
              </w:rPr>
              <w:t xml:space="preserve">National Annual Dialogue on Business and Human Rights </w:t>
            </w:r>
          </w:p>
          <w:p w:rsidR="00810869" w:rsidRPr="00810869" w:rsidRDefault="00810869" w:rsidP="00810869">
            <w:pPr>
              <w:pStyle w:val="Paragrafoelenco"/>
              <w:numPr>
                <w:ilvl w:val="0"/>
                <w:numId w:val="2"/>
              </w:numPr>
              <w:rPr>
                <w:lang w:val="en-US"/>
              </w:rPr>
            </w:pPr>
            <w:r w:rsidRPr="00810869">
              <w:rPr>
                <w:lang w:val="en-US"/>
              </w:rPr>
              <w:t>Human Rights Impact Assessments Toolkit</w:t>
            </w:r>
          </w:p>
          <w:p w:rsidR="00810869" w:rsidRPr="00810869" w:rsidRDefault="00810869" w:rsidP="00810869">
            <w:pPr>
              <w:pStyle w:val="Paragrafoelenco"/>
              <w:numPr>
                <w:ilvl w:val="0"/>
                <w:numId w:val="2"/>
              </w:numPr>
              <w:rPr>
                <w:lang w:val="en-US"/>
              </w:rPr>
            </w:pPr>
            <w:r w:rsidRPr="00810869">
              <w:rPr>
                <w:lang w:val="en-US"/>
              </w:rPr>
              <w:t>Inter-regional and regional dialogue on business and human rights</w:t>
            </w:r>
          </w:p>
        </w:tc>
      </w:tr>
      <w:tr w:rsidR="00810869" w:rsidTr="0025304F">
        <w:trPr>
          <w:trHeight w:val="60"/>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810869" w:rsidRPr="00B47E42" w:rsidRDefault="00810869" w:rsidP="00810869">
            <w:pPr>
              <w:rPr>
                <w:rFonts w:cs="Arial"/>
                <w:szCs w:val="16"/>
              </w:rPr>
            </w:pPr>
            <w:r w:rsidRPr="00B47E42">
              <w:rPr>
                <w:rStyle w:val="CondensedBold"/>
                <w:rFonts w:ascii="Arial" w:hAnsi="Arial" w:cs="Arial"/>
                <w:szCs w:val="16"/>
              </w:rPr>
              <w:t xml:space="preserve">Human </w:t>
            </w:r>
            <w:proofErr w:type="spellStart"/>
            <w:r w:rsidRPr="00B47E42">
              <w:rPr>
                <w:rStyle w:val="CondensedBold"/>
                <w:rFonts w:ascii="Arial" w:hAnsi="Arial" w:cs="Arial"/>
                <w:szCs w:val="16"/>
              </w:rPr>
              <w:t>rights</w:t>
            </w:r>
            <w:proofErr w:type="spellEnd"/>
            <w:r w:rsidRPr="00B47E42">
              <w:rPr>
                <w:rStyle w:val="CondensedBold"/>
                <w:rFonts w:ascii="Arial" w:hAnsi="Arial" w:cs="Arial"/>
                <w:szCs w:val="16"/>
              </w:rPr>
              <w:t xml:space="preserve"> </w:t>
            </w:r>
            <w:proofErr w:type="spellStart"/>
            <w:r w:rsidRPr="00B47E42">
              <w:rPr>
                <w:rStyle w:val="CondensedBold"/>
                <w:rFonts w:ascii="Arial" w:hAnsi="Arial" w:cs="Arial"/>
                <w:szCs w:val="16"/>
              </w:rPr>
              <w:t>scrutiny</w:t>
            </w:r>
            <w:proofErr w:type="spellEnd"/>
            <w:r w:rsidRPr="00B47E42">
              <w:rPr>
                <w:rStyle w:val="CondensedBold"/>
                <w:rFonts w:ascii="Arial" w:hAnsi="Arial" w:cs="Arial"/>
                <w:szCs w:val="16"/>
              </w:rPr>
              <w:t xml:space="preserve"> </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810869" w:rsidRPr="00810869" w:rsidRDefault="00810869" w:rsidP="00810869">
            <w:pPr>
              <w:pStyle w:val="Paragrafoelenco"/>
              <w:numPr>
                <w:ilvl w:val="0"/>
                <w:numId w:val="2"/>
              </w:numPr>
              <w:rPr>
                <w:lang w:val="en-US"/>
              </w:rPr>
            </w:pPr>
            <w:r w:rsidRPr="00810869">
              <w:rPr>
                <w:lang w:val="en-US"/>
              </w:rPr>
              <w:t>Parliamentary Joint Committee on Human Rights, legislative scrutiny, support, advice and training</w:t>
            </w:r>
          </w:p>
          <w:p w:rsidR="00810869" w:rsidRDefault="00810869" w:rsidP="00810869">
            <w:pPr>
              <w:pStyle w:val="Paragrafoelenco"/>
              <w:numPr>
                <w:ilvl w:val="0"/>
                <w:numId w:val="2"/>
              </w:numPr>
            </w:pPr>
            <w:proofErr w:type="spellStart"/>
            <w:r>
              <w:t>Submissions</w:t>
            </w:r>
            <w:proofErr w:type="spellEnd"/>
            <w:r>
              <w:t xml:space="preserve"> </w:t>
            </w:r>
            <w:proofErr w:type="spellStart"/>
            <w:r>
              <w:t>coordination</w:t>
            </w:r>
            <w:proofErr w:type="spellEnd"/>
            <w:r>
              <w:t xml:space="preserve"> and </w:t>
            </w:r>
            <w:proofErr w:type="spellStart"/>
            <w:r>
              <w:t>development</w:t>
            </w:r>
            <w:proofErr w:type="spellEnd"/>
          </w:p>
        </w:tc>
      </w:tr>
    </w:tbl>
    <w:p w:rsidR="00132F3A" w:rsidRDefault="00132F3A">
      <w:pPr>
        <w:rPr>
          <w:lang w:val="en-US"/>
        </w:rPr>
      </w:pPr>
    </w:p>
    <w:sectPr w:rsidR="00132F3A"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FC" w:rsidRDefault="00504CFC" w:rsidP="00FF348A">
      <w:pPr>
        <w:spacing w:after="0"/>
      </w:pPr>
      <w:r>
        <w:separator/>
      </w:r>
    </w:p>
  </w:endnote>
  <w:endnote w:type="continuationSeparator" w:id="0">
    <w:p w:rsidR="00504CFC" w:rsidRDefault="00504CFC"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FC" w:rsidRDefault="00504CFC" w:rsidP="00FF348A">
      <w:pPr>
        <w:spacing w:after="0"/>
      </w:pPr>
      <w:r>
        <w:separator/>
      </w:r>
    </w:p>
  </w:footnote>
  <w:footnote w:type="continuationSeparator" w:id="0">
    <w:p w:rsidR="00504CFC" w:rsidRDefault="00504CFC"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1B72A0"/>
    <w:rsid w:val="0020676E"/>
    <w:rsid w:val="003222D5"/>
    <w:rsid w:val="00334B89"/>
    <w:rsid w:val="0036631A"/>
    <w:rsid w:val="0042655B"/>
    <w:rsid w:val="00453DA8"/>
    <w:rsid w:val="004C1EEF"/>
    <w:rsid w:val="00504CFC"/>
    <w:rsid w:val="005602FA"/>
    <w:rsid w:val="005971CD"/>
    <w:rsid w:val="005B6B7E"/>
    <w:rsid w:val="005F715A"/>
    <w:rsid w:val="006105C3"/>
    <w:rsid w:val="00617391"/>
    <w:rsid w:val="00644A80"/>
    <w:rsid w:val="00653D0E"/>
    <w:rsid w:val="007640CE"/>
    <w:rsid w:val="007971B8"/>
    <w:rsid w:val="007D1D83"/>
    <w:rsid w:val="007D7CD1"/>
    <w:rsid w:val="007F18AC"/>
    <w:rsid w:val="00810869"/>
    <w:rsid w:val="0081334C"/>
    <w:rsid w:val="00884230"/>
    <w:rsid w:val="0088740E"/>
    <w:rsid w:val="008F7B64"/>
    <w:rsid w:val="00923828"/>
    <w:rsid w:val="009458D1"/>
    <w:rsid w:val="0096557E"/>
    <w:rsid w:val="00967EC0"/>
    <w:rsid w:val="00975B87"/>
    <w:rsid w:val="00A66ECB"/>
    <w:rsid w:val="00A95BDC"/>
    <w:rsid w:val="00AE0476"/>
    <w:rsid w:val="00B07DB2"/>
    <w:rsid w:val="00B47E42"/>
    <w:rsid w:val="00C77BF5"/>
    <w:rsid w:val="00CC405B"/>
    <w:rsid w:val="00D129E7"/>
    <w:rsid w:val="00D37A39"/>
    <w:rsid w:val="00DA3855"/>
    <w:rsid w:val="00E056B7"/>
    <w:rsid w:val="00E36C73"/>
    <w:rsid w:val="00F30D06"/>
    <w:rsid w:val="00F768D4"/>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39C542"/>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4</cp:revision>
  <dcterms:created xsi:type="dcterms:W3CDTF">2018-08-15T08:10:00Z</dcterms:created>
  <dcterms:modified xsi:type="dcterms:W3CDTF">2018-08-15T09:08:00Z</dcterms:modified>
</cp:coreProperties>
</file>