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E6" w:rsidRDefault="00B924E6" w:rsidP="00EB311B">
      <w:pPr>
        <w:jc w:val="center"/>
      </w:pPr>
    </w:p>
    <w:p w:rsidR="00EB311B" w:rsidRDefault="00EB311B" w:rsidP="00E26B28"/>
    <w:p w:rsidR="006E0B4F" w:rsidRDefault="006E0B4F" w:rsidP="00E26B28">
      <w:r>
        <w:rPr>
          <w:noProof/>
        </w:rPr>
        <w:drawing>
          <wp:inline distT="0" distB="0" distL="0" distR="0" wp14:anchorId="6EA7BA61" wp14:editId="33A61C7E">
            <wp:extent cx="5978105" cy="854015"/>
            <wp:effectExtent l="0" t="0" r="3810" b="3810"/>
            <wp:docPr id="3" name="Picture 3" descr="Close the Gap_Logo RGB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 the Gap_Logo RGB (on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9704" cy="858529"/>
                    </a:xfrm>
                    <a:prstGeom prst="rect">
                      <a:avLst/>
                    </a:prstGeom>
                    <a:noFill/>
                    <a:ln>
                      <a:noFill/>
                    </a:ln>
                  </pic:spPr>
                </pic:pic>
              </a:graphicData>
            </a:graphic>
          </wp:inline>
        </w:drawing>
      </w:r>
    </w:p>
    <w:p w:rsidR="006E0B4F" w:rsidRDefault="006E0B4F" w:rsidP="00E26B28"/>
    <w:p w:rsidR="007C5ED0" w:rsidRDefault="00EB311B" w:rsidP="00EB311B">
      <w:pPr>
        <w:spacing w:before="0" w:after="60"/>
        <w:jc w:val="center"/>
        <w:rPr>
          <w:b/>
          <w:sz w:val="44"/>
          <w:szCs w:val="44"/>
        </w:rPr>
      </w:pPr>
      <w:r w:rsidRPr="00EB311B">
        <w:rPr>
          <w:b/>
          <w:sz w:val="44"/>
          <w:szCs w:val="44"/>
        </w:rPr>
        <w:t xml:space="preserve">Close the Gap </w:t>
      </w:r>
      <w:r w:rsidR="007C5ED0">
        <w:rPr>
          <w:b/>
          <w:sz w:val="44"/>
          <w:szCs w:val="44"/>
        </w:rPr>
        <w:t xml:space="preserve">Campaign </w:t>
      </w:r>
    </w:p>
    <w:p w:rsidR="00EB311B" w:rsidRPr="00EB311B" w:rsidRDefault="00EB311B" w:rsidP="00EB311B">
      <w:pPr>
        <w:spacing w:before="0" w:after="60"/>
        <w:jc w:val="center"/>
        <w:rPr>
          <w:b/>
          <w:sz w:val="44"/>
          <w:szCs w:val="44"/>
        </w:rPr>
      </w:pPr>
      <w:r w:rsidRPr="00EB311B">
        <w:rPr>
          <w:b/>
          <w:sz w:val="44"/>
          <w:szCs w:val="44"/>
        </w:rPr>
        <w:t>Steering Committee</w:t>
      </w:r>
    </w:p>
    <w:p w:rsidR="00EB311B" w:rsidRPr="00EB311B" w:rsidRDefault="00EB311B" w:rsidP="00EB311B">
      <w:pPr>
        <w:pStyle w:val="Footer"/>
        <w:spacing w:after="0"/>
        <w:jc w:val="center"/>
        <w:rPr>
          <w:b/>
          <w:i/>
          <w:color w:val="auto"/>
          <w:sz w:val="44"/>
          <w:szCs w:val="44"/>
          <w:lang w:val="en-AU"/>
        </w:rPr>
      </w:pPr>
    </w:p>
    <w:p w:rsidR="00EB311B" w:rsidRPr="00EB311B" w:rsidRDefault="00EB311B" w:rsidP="00EB311B">
      <w:pPr>
        <w:pStyle w:val="Footer"/>
        <w:spacing w:after="0"/>
        <w:jc w:val="center"/>
        <w:rPr>
          <w:b/>
          <w:i/>
          <w:color w:val="auto"/>
          <w:sz w:val="44"/>
          <w:szCs w:val="44"/>
          <w:lang w:val="en-AU"/>
        </w:rPr>
      </w:pPr>
    </w:p>
    <w:p w:rsidR="006E0B4F" w:rsidRDefault="00EB311B" w:rsidP="00EB311B">
      <w:pPr>
        <w:pStyle w:val="Footer"/>
        <w:spacing w:after="0"/>
        <w:jc w:val="center"/>
        <w:rPr>
          <w:color w:val="auto"/>
          <w:sz w:val="44"/>
          <w:szCs w:val="44"/>
          <w:lang w:val="en-AU"/>
        </w:rPr>
      </w:pPr>
      <w:r w:rsidRPr="00EB311B">
        <w:rPr>
          <w:color w:val="auto"/>
          <w:sz w:val="44"/>
          <w:szCs w:val="44"/>
        </w:rPr>
        <w:t>Submission</w:t>
      </w:r>
      <w:r w:rsidRPr="00EB311B">
        <w:rPr>
          <w:color w:val="auto"/>
          <w:sz w:val="44"/>
          <w:szCs w:val="44"/>
          <w:lang w:val="en-AU"/>
        </w:rPr>
        <w:t xml:space="preserve"> </w:t>
      </w:r>
      <w:r w:rsidR="00E456CA">
        <w:rPr>
          <w:color w:val="auto"/>
          <w:sz w:val="44"/>
          <w:szCs w:val="44"/>
          <w:lang w:val="en-AU"/>
        </w:rPr>
        <w:t>to</w:t>
      </w:r>
      <w:r w:rsidRPr="00EB311B">
        <w:rPr>
          <w:color w:val="auto"/>
          <w:sz w:val="44"/>
          <w:szCs w:val="44"/>
          <w:lang w:val="en-AU"/>
        </w:rPr>
        <w:t xml:space="preserve"> the </w:t>
      </w:r>
      <w:r w:rsidR="006E0B4F">
        <w:rPr>
          <w:color w:val="auto"/>
          <w:sz w:val="44"/>
          <w:szCs w:val="44"/>
          <w:lang w:val="en-AU"/>
        </w:rPr>
        <w:t xml:space="preserve">Attorney-General’s </w:t>
      </w:r>
      <w:r w:rsidR="00E562E3">
        <w:rPr>
          <w:color w:val="auto"/>
          <w:sz w:val="44"/>
          <w:szCs w:val="44"/>
          <w:lang w:val="en-AU"/>
        </w:rPr>
        <w:t>Department</w:t>
      </w:r>
    </w:p>
    <w:p w:rsidR="006E0B4F" w:rsidRDefault="006E0B4F" w:rsidP="00EB311B">
      <w:pPr>
        <w:pStyle w:val="Footer"/>
        <w:spacing w:after="0"/>
        <w:jc w:val="center"/>
        <w:rPr>
          <w:color w:val="auto"/>
          <w:sz w:val="44"/>
          <w:szCs w:val="44"/>
          <w:lang w:val="en-AU"/>
        </w:rPr>
      </w:pPr>
    </w:p>
    <w:p w:rsidR="00E562E3" w:rsidRDefault="00E562E3" w:rsidP="00EB311B">
      <w:pPr>
        <w:pStyle w:val="Footer"/>
        <w:spacing w:after="0"/>
        <w:jc w:val="center"/>
        <w:rPr>
          <w:color w:val="auto"/>
          <w:sz w:val="44"/>
          <w:szCs w:val="44"/>
          <w:lang w:val="en-AU"/>
        </w:rPr>
      </w:pPr>
    </w:p>
    <w:p w:rsidR="00EB311B" w:rsidRDefault="00EB311B" w:rsidP="00EB311B">
      <w:pPr>
        <w:pStyle w:val="Footer"/>
        <w:spacing w:after="0"/>
        <w:jc w:val="center"/>
        <w:rPr>
          <w:color w:val="auto"/>
          <w:sz w:val="44"/>
          <w:szCs w:val="44"/>
          <w:lang w:val="en-AU"/>
        </w:rPr>
      </w:pPr>
      <w:r w:rsidRPr="00EB311B">
        <w:rPr>
          <w:color w:val="auto"/>
          <w:sz w:val="44"/>
          <w:szCs w:val="44"/>
          <w:lang w:val="en-AU"/>
        </w:rPr>
        <w:t>Exposure Draft of the</w:t>
      </w:r>
      <w:r w:rsidR="001A0710">
        <w:rPr>
          <w:color w:val="auto"/>
          <w:sz w:val="44"/>
          <w:szCs w:val="44"/>
        </w:rPr>
        <w:t xml:space="preserve"> Freedom of </w:t>
      </w:r>
      <w:r w:rsidR="005428CA">
        <w:rPr>
          <w:color w:val="auto"/>
          <w:sz w:val="44"/>
          <w:szCs w:val="44"/>
          <w:lang w:val="en-AU"/>
        </w:rPr>
        <w:t>Speech</w:t>
      </w:r>
      <w:r w:rsidRPr="00EB311B">
        <w:rPr>
          <w:color w:val="auto"/>
          <w:sz w:val="44"/>
          <w:szCs w:val="44"/>
        </w:rPr>
        <w:t xml:space="preserve"> (Repeal of S. 18C) Bill 2014</w:t>
      </w:r>
    </w:p>
    <w:p w:rsidR="006E0B4F" w:rsidRDefault="006E0B4F" w:rsidP="00EB311B">
      <w:pPr>
        <w:pStyle w:val="Footer"/>
        <w:spacing w:after="0"/>
        <w:jc w:val="center"/>
        <w:rPr>
          <w:color w:val="auto"/>
          <w:sz w:val="44"/>
          <w:szCs w:val="44"/>
          <w:lang w:val="en-AU"/>
        </w:rPr>
      </w:pPr>
    </w:p>
    <w:p w:rsidR="006E0B4F" w:rsidRPr="006E0B4F" w:rsidRDefault="006E0B4F" w:rsidP="00EB311B">
      <w:pPr>
        <w:pStyle w:val="Footer"/>
        <w:spacing w:after="0"/>
        <w:jc w:val="center"/>
        <w:rPr>
          <w:color w:val="auto"/>
          <w:sz w:val="44"/>
          <w:szCs w:val="44"/>
          <w:lang w:val="en-AU"/>
        </w:rPr>
      </w:pPr>
    </w:p>
    <w:p w:rsidR="00EB311B" w:rsidRPr="00EB311B" w:rsidRDefault="000968E5" w:rsidP="00EB311B">
      <w:pPr>
        <w:jc w:val="center"/>
        <w:rPr>
          <w:b/>
          <w:sz w:val="44"/>
          <w:szCs w:val="44"/>
        </w:rPr>
      </w:pPr>
      <w:r>
        <w:rPr>
          <w:b/>
          <w:sz w:val="44"/>
          <w:szCs w:val="44"/>
        </w:rPr>
        <w:t xml:space="preserve">30 </w:t>
      </w:r>
      <w:r w:rsidR="00EB311B">
        <w:rPr>
          <w:b/>
          <w:sz w:val="44"/>
          <w:szCs w:val="44"/>
        </w:rPr>
        <w:t>April 2014</w:t>
      </w:r>
    </w:p>
    <w:p w:rsidR="0060091B" w:rsidRDefault="0060091B" w:rsidP="003045B7">
      <w:pPr>
        <w:jc w:val="center"/>
      </w:pPr>
    </w:p>
    <w:p w:rsidR="003045B7" w:rsidRPr="003045B7" w:rsidRDefault="003045B7" w:rsidP="003045B7">
      <w:pPr>
        <w:spacing w:before="0" w:after="200" w:line="276" w:lineRule="auto"/>
        <w:jc w:val="center"/>
        <w:rPr>
          <w:rFonts w:eastAsia="Times New Roman" w:cs="Arial"/>
          <w:b/>
          <w:lang w:eastAsia="en-US" w:bidi="en-US"/>
        </w:rPr>
      </w:pPr>
    </w:p>
    <w:p w:rsidR="00A87113" w:rsidRDefault="00A87113" w:rsidP="00E26B28"/>
    <w:p w:rsidR="00A87113" w:rsidRDefault="00A87113" w:rsidP="00E26B28">
      <w:pPr>
        <w:sectPr w:rsidR="00A87113" w:rsidSect="00B24B1D">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p>
    <w:p w:rsidR="00730174" w:rsidRDefault="00730174" w:rsidP="00F10BCC">
      <w:pPr>
        <w:rPr>
          <w:b/>
          <w:sz w:val="28"/>
          <w:szCs w:val="28"/>
        </w:rPr>
      </w:pPr>
      <w:bookmarkStart w:id="0" w:name="_Toc207761829"/>
    </w:p>
    <w:p w:rsidR="005E593A" w:rsidRDefault="00B63D24" w:rsidP="00F10BCC">
      <w:pPr>
        <w:rPr>
          <w:noProof/>
        </w:rPr>
      </w:pPr>
      <w:r w:rsidRPr="00907336">
        <w:rPr>
          <w:b/>
          <w:sz w:val="28"/>
          <w:szCs w:val="28"/>
        </w:rPr>
        <w:t>Table of Contents</w:t>
      </w:r>
      <w:bookmarkEnd w:id="0"/>
      <w:r w:rsidR="00B810FA">
        <w:fldChar w:fldCharType="begin"/>
      </w:r>
      <w:r>
        <w:instrText xml:space="preserve"> TOC \o "1-4" \h \z \u </w:instrText>
      </w:r>
      <w:r w:rsidR="00B810FA">
        <w:fldChar w:fldCharType="separate"/>
      </w:r>
    </w:p>
    <w:p w:rsidR="005E593A" w:rsidRDefault="005E593A">
      <w:pPr>
        <w:pStyle w:val="TOC1"/>
        <w:rPr>
          <w:rFonts w:asciiTheme="minorHAnsi" w:eastAsiaTheme="minorEastAsia" w:hAnsiTheme="minorHAnsi" w:cstheme="minorBidi"/>
          <w:b w:val="0"/>
          <w:szCs w:val="22"/>
        </w:rPr>
      </w:pPr>
      <w:hyperlink w:anchor="_Toc386556834" w:history="1">
        <w:r w:rsidRPr="00B61BF0">
          <w:rPr>
            <w:rStyle w:val="Hyperlink"/>
          </w:rPr>
          <w:t>1</w:t>
        </w:r>
        <w:r>
          <w:rPr>
            <w:rFonts w:asciiTheme="minorHAnsi" w:eastAsiaTheme="minorEastAsia" w:hAnsiTheme="minorHAnsi" w:cstheme="minorBidi"/>
            <w:b w:val="0"/>
            <w:szCs w:val="22"/>
          </w:rPr>
          <w:tab/>
        </w:r>
        <w:r w:rsidRPr="00B61BF0">
          <w:rPr>
            <w:rStyle w:val="Hyperlink"/>
          </w:rPr>
          <w:t>Introduction</w:t>
        </w:r>
        <w:r>
          <w:rPr>
            <w:webHidden/>
          </w:rPr>
          <w:tab/>
        </w:r>
        <w:r>
          <w:rPr>
            <w:webHidden/>
          </w:rPr>
          <w:fldChar w:fldCharType="begin"/>
        </w:r>
        <w:r>
          <w:rPr>
            <w:webHidden/>
          </w:rPr>
          <w:instrText xml:space="preserve"> PAGEREF _Toc386556834 \h </w:instrText>
        </w:r>
        <w:r>
          <w:rPr>
            <w:webHidden/>
          </w:rPr>
        </w:r>
        <w:r>
          <w:rPr>
            <w:webHidden/>
          </w:rPr>
          <w:fldChar w:fldCharType="separate"/>
        </w:r>
        <w:r w:rsidR="002B27DA">
          <w:rPr>
            <w:webHidden/>
          </w:rPr>
          <w:t>3</w:t>
        </w:r>
        <w:r>
          <w:rPr>
            <w:webHidden/>
          </w:rPr>
          <w:fldChar w:fldCharType="end"/>
        </w:r>
      </w:hyperlink>
    </w:p>
    <w:p w:rsidR="005E593A" w:rsidRDefault="005E593A">
      <w:pPr>
        <w:pStyle w:val="TOC1"/>
        <w:rPr>
          <w:rFonts w:asciiTheme="minorHAnsi" w:eastAsiaTheme="minorEastAsia" w:hAnsiTheme="minorHAnsi" w:cstheme="minorBidi"/>
          <w:b w:val="0"/>
          <w:szCs w:val="22"/>
        </w:rPr>
      </w:pPr>
      <w:hyperlink w:anchor="_Toc386556835" w:history="1">
        <w:r w:rsidRPr="00B61BF0">
          <w:rPr>
            <w:rStyle w:val="Hyperlink"/>
          </w:rPr>
          <w:t>2</w:t>
        </w:r>
        <w:r>
          <w:rPr>
            <w:rFonts w:asciiTheme="minorHAnsi" w:eastAsiaTheme="minorEastAsia" w:hAnsiTheme="minorHAnsi" w:cstheme="minorBidi"/>
            <w:b w:val="0"/>
            <w:szCs w:val="22"/>
          </w:rPr>
          <w:tab/>
        </w:r>
        <w:r w:rsidRPr="00B61BF0">
          <w:rPr>
            <w:rStyle w:val="Hyperlink"/>
          </w:rPr>
          <w:t>Recommendations</w:t>
        </w:r>
        <w:r>
          <w:rPr>
            <w:webHidden/>
          </w:rPr>
          <w:tab/>
        </w:r>
        <w:r>
          <w:rPr>
            <w:webHidden/>
          </w:rPr>
          <w:fldChar w:fldCharType="begin"/>
        </w:r>
        <w:r>
          <w:rPr>
            <w:webHidden/>
          </w:rPr>
          <w:instrText xml:space="preserve"> PAGEREF _Toc386556835 \h </w:instrText>
        </w:r>
        <w:r>
          <w:rPr>
            <w:webHidden/>
          </w:rPr>
        </w:r>
        <w:r>
          <w:rPr>
            <w:webHidden/>
          </w:rPr>
          <w:fldChar w:fldCharType="separate"/>
        </w:r>
        <w:r w:rsidR="002B27DA">
          <w:rPr>
            <w:webHidden/>
          </w:rPr>
          <w:t>3</w:t>
        </w:r>
        <w:r>
          <w:rPr>
            <w:webHidden/>
          </w:rPr>
          <w:fldChar w:fldCharType="end"/>
        </w:r>
      </w:hyperlink>
    </w:p>
    <w:p w:rsidR="005E593A" w:rsidRDefault="005E593A">
      <w:pPr>
        <w:pStyle w:val="TOC1"/>
        <w:rPr>
          <w:rFonts w:asciiTheme="minorHAnsi" w:eastAsiaTheme="minorEastAsia" w:hAnsiTheme="minorHAnsi" w:cstheme="minorBidi"/>
          <w:b w:val="0"/>
          <w:szCs w:val="22"/>
        </w:rPr>
      </w:pPr>
      <w:hyperlink w:anchor="_Toc386556836" w:history="1">
        <w:r w:rsidRPr="00B61BF0">
          <w:rPr>
            <w:rStyle w:val="Hyperlink"/>
          </w:rPr>
          <w:t>3</w:t>
        </w:r>
        <w:r>
          <w:rPr>
            <w:rFonts w:asciiTheme="minorHAnsi" w:eastAsiaTheme="minorEastAsia" w:hAnsiTheme="minorHAnsi" w:cstheme="minorBidi"/>
            <w:b w:val="0"/>
            <w:szCs w:val="22"/>
          </w:rPr>
          <w:tab/>
        </w:r>
        <w:r w:rsidRPr="00B61BF0">
          <w:rPr>
            <w:rStyle w:val="Hyperlink"/>
          </w:rPr>
          <w:t>Racism as a key determinant of health</w:t>
        </w:r>
        <w:r>
          <w:rPr>
            <w:webHidden/>
          </w:rPr>
          <w:tab/>
        </w:r>
        <w:r>
          <w:rPr>
            <w:webHidden/>
          </w:rPr>
          <w:fldChar w:fldCharType="begin"/>
        </w:r>
        <w:r>
          <w:rPr>
            <w:webHidden/>
          </w:rPr>
          <w:instrText xml:space="preserve"> PAGEREF _Toc386556836 \h </w:instrText>
        </w:r>
        <w:r>
          <w:rPr>
            <w:webHidden/>
          </w:rPr>
        </w:r>
        <w:r>
          <w:rPr>
            <w:webHidden/>
          </w:rPr>
          <w:fldChar w:fldCharType="separate"/>
        </w:r>
        <w:r w:rsidR="002B27DA">
          <w:rPr>
            <w:webHidden/>
          </w:rPr>
          <w:t>4</w:t>
        </w:r>
        <w:r>
          <w:rPr>
            <w:webHidden/>
          </w:rPr>
          <w:fldChar w:fldCharType="end"/>
        </w:r>
      </w:hyperlink>
    </w:p>
    <w:p w:rsidR="005E593A" w:rsidRDefault="005E593A">
      <w:pPr>
        <w:pStyle w:val="TOC3"/>
        <w:rPr>
          <w:rFonts w:asciiTheme="minorHAnsi" w:eastAsiaTheme="minorEastAsia" w:hAnsiTheme="minorHAnsi" w:cstheme="minorBidi"/>
          <w:i w:val="0"/>
          <w:sz w:val="22"/>
          <w:szCs w:val="22"/>
        </w:rPr>
      </w:pPr>
      <w:hyperlink w:anchor="_Toc386556837" w:history="1">
        <w:r w:rsidRPr="00B61BF0">
          <w:rPr>
            <w:rStyle w:val="Hyperlink"/>
          </w:rPr>
          <w:t>(a)</w:t>
        </w:r>
        <w:r>
          <w:rPr>
            <w:rFonts w:asciiTheme="minorHAnsi" w:eastAsiaTheme="minorEastAsia" w:hAnsiTheme="minorHAnsi" w:cstheme="minorBidi"/>
            <w:i w:val="0"/>
            <w:sz w:val="22"/>
            <w:szCs w:val="22"/>
          </w:rPr>
          <w:tab/>
        </w:r>
        <w:r w:rsidRPr="00B61BF0">
          <w:rPr>
            <w:rStyle w:val="Hyperlink"/>
          </w:rPr>
          <w:t>Experiences of racism</w:t>
        </w:r>
        <w:r>
          <w:rPr>
            <w:webHidden/>
          </w:rPr>
          <w:tab/>
        </w:r>
        <w:r>
          <w:rPr>
            <w:webHidden/>
          </w:rPr>
          <w:fldChar w:fldCharType="begin"/>
        </w:r>
        <w:r>
          <w:rPr>
            <w:webHidden/>
          </w:rPr>
          <w:instrText xml:space="preserve"> PAGEREF _Toc386556837 \h </w:instrText>
        </w:r>
        <w:r>
          <w:rPr>
            <w:webHidden/>
          </w:rPr>
        </w:r>
        <w:r>
          <w:rPr>
            <w:webHidden/>
          </w:rPr>
          <w:fldChar w:fldCharType="separate"/>
        </w:r>
        <w:r w:rsidR="002B27DA">
          <w:rPr>
            <w:webHidden/>
          </w:rPr>
          <w:t>4</w:t>
        </w:r>
        <w:r>
          <w:rPr>
            <w:webHidden/>
          </w:rPr>
          <w:fldChar w:fldCharType="end"/>
        </w:r>
      </w:hyperlink>
    </w:p>
    <w:p w:rsidR="005E593A" w:rsidRDefault="005E593A">
      <w:pPr>
        <w:pStyle w:val="TOC4"/>
        <w:rPr>
          <w:rFonts w:asciiTheme="minorHAnsi" w:eastAsiaTheme="minorEastAsia" w:hAnsiTheme="minorHAnsi" w:cstheme="minorBidi"/>
          <w:sz w:val="22"/>
          <w:szCs w:val="22"/>
        </w:rPr>
      </w:pPr>
      <w:hyperlink w:anchor="_Toc386556838" w:history="1">
        <w:r w:rsidRPr="00B61BF0">
          <w:rPr>
            <w:rStyle w:val="Hyperlink"/>
          </w:rPr>
          <w:t>(i)</w:t>
        </w:r>
        <w:r>
          <w:rPr>
            <w:rFonts w:asciiTheme="minorHAnsi" w:eastAsiaTheme="minorEastAsia" w:hAnsiTheme="minorHAnsi" w:cstheme="minorBidi"/>
            <w:sz w:val="22"/>
            <w:szCs w:val="22"/>
          </w:rPr>
          <w:tab/>
        </w:r>
        <w:r w:rsidRPr="00B61BF0">
          <w:rPr>
            <w:rStyle w:val="Hyperlink"/>
          </w:rPr>
          <w:t>Interpersonal racism</w:t>
        </w:r>
        <w:r>
          <w:rPr>
            <w:webHidden/>
          </w:rPr>
          <w:tab/>
        </w:r>
        <w:r>
          <w:rPr>
            <w:webHidden/>
          </w:rPr>
          <w:fldChar w:fldCharType="begin"/>
        </w:r>
        <w:r>
          <w:rPr>
            <w:webHidden/>
          </w:rPr>
          <w:instrText xml:space="preserve"> PAGEREF _Toc386556838 \h </w:instrText>
        </w:r>
        <w:r>
          <w:rPr>
            <w:webHidden/>
          </w:rPr>
        </w:r>
        <w:r>
          <w:rPr>
            <w:webHidden/>
          </w:rPr>
          <w:fldChar w:fldCharType="separate"/>
        </w:r>
        <w:r w:rsidR="002B27DA">
          <w:rPr>
            <w:webHidden/>
          </w:rPr>
          <w:t>4</w:t>
        </w:r>
        <w:r>
          <w:rPr>
            <w:webHidden/>
          </w:rPr>
          <w:fldChar w:fldCharType="end"/>
        </w:r>
      </w:hyperlink>
    </w:p>
    <w:p w:rsidR="005E593A" w:rsidRDefault="005E593A">
      <w:pPr>
        <w:pStyle w:val="TOC4"/>
        <w:rPr>
          <w:rFonts w:asciiTheme="minorHAnsi" w:eastAsiaTheme="minorEastAsia" w:hAnsiTheme="minorHAnsi" w:cstheme="minorBidi"/>
          <w:sz w:val="22"/>
          <w:szCs w:val="22"/>
        </w:rPr>
      </w:pPr>
      <w:hyperlink w:anchor="_Toc386556839" w:history="1">
        <w:r w:rsidRPr="00B61BF0">
          <w:rPr>
            <w:rStyle w:val="Hyperlink"/>
          </w:rPr>
          <w:t>(ii)</w:t>
        </w:r>
        <w:r>
          <w:rPr>
            <w:rFonts w:asciiTheme="minorHAnsi" w:eastAsiaTheme="minorEastAsia" w:hAnsiTheme="minorHAnsi" w:cstheme="minorBidi"/>
            <w:sz w:val="22"/>
            <w:szCs w:val="22"/>
          </w:rPr>
          <w:tab/>
        </w:r>
        <w:r w:rsidRPr="00B61BF0">
          <w:rPr>
            <w:rStyle w:val="Hyperlink"/>
          </w:rPr>
          <w:t>Systemic racism</w:t>
        </w:r>
        <w:r>
          <w:rPr>
            <w:webHidden/>
          </w:rPr>
          <w:tab/>
        </w:r>
        <w:r>
          <w:rPr>
            <w:webHidden/>
          </w:rPr>
          <w:fldChar w:fldCharType="begin"/>
        </w:r>
        <w:r>
          <w:rPr>
            <w:webHidden/>
          </w:rPr>
          <w:instrText xml:space="preserve"> PAGEREF _Toc386556839 \h </w:instrText>
        </w:r>
        <w:r>
          <w:rPr>
            <w:webHidden/>
          </w:rPr>
        </w:r>
        <w:r>
          <w:rPr>
            <w:webHidden/>
          </w:rPr>
          <w:fldChar w:fldCharType="separate"/>
        </w:r>
        <w:r w:rsidR="002B27DA">
          <w:rPr>
            <w:webHidden/>
          </w:rPr>
          <w:t>5</w:t>
        </w:r>
        <w:r>
          <w:rPr>
            <w:webHidden/>
          </w:rPr>
          <w:fldChar w:fldCharType="end"/>
        </w:r>
      </w:hyperlink>
    </w:p>
    <w:p w:rsidR="005E593A" w:rsidRDefault="005E593A">
      <w:pPr>
        <w:pStyle w:val="TOC3"/>
        <w:rPr>
          <w:rFonts w:asciiTheme="minorHAnsi" w:eastAsiaTheme="minorEastAsia" w:hAnsiTheme="minorHAnsi" w:cstheme="minorBidi"/>
          <w:i w:val="0"/>
          <w:sz w:val="22"/>
          <w:szCs w:val="22"/>
        </w:rPr>
      </w:pPr>
      <w:hyperlink w:anchor="_Toc386556840" w:history="1">
        <w:r w:rsidRPr="00B61BF0">
          <w:rPr>
            <w:rStyle w:val="Hyperlink"/>
          </w:rPr>
          <w:t>(b)</w:t>
        </w:r>
        <w:r>
          <w:rPr>
            <w:rFonts w:asciiTheme="minorHAnsi" w:eastAsiaTheme="minorEastAsia" w:hAnsiTheme="minorHAnsi" w:cstheme="minorBidi"/>
            <w:i w:val="0"/>
            <w:sz w:val="22"/>
            <w:szCs w:val="22"/>
          </w:rPr>
          <w:tab/>
        </w:r>
        <w:r w:rsidRPr="00B61BF0">
          <w:rPr>
            <w:rStyle w:val="Hyperlink"/>
          </w:rPr>
          <w:t>Negative impacts of racism</w:t>
        </w:r>
        <w:r>
          <w:rPr>
            <w:webHidden/>
          </w:rPr>
          <w:tab/>
        </w:r>
        <w:r>
          <w:rPr>
            <w:webHidden/>
          </w:rPr>
          <w:fldChar w:fldCharType="begin"/>
        </w:r>
        <w:r>
          <w:rPr>
            <w:webHidden/>
          </w:rPr>
          <w:instrText xml:space="preserve"> PAGEREF _Toc386556840 \h </w:instrText>
        </w:r>
        <w:r>
          <w:rPr>
            <w:webHidden/>
          </w:rPr>
        </w:r>
        <w:r>
          <w:rPr>
            <w:webHidden/>
          </w:rPr>
          <w:fldChar w:fldCharType="separate"/>
        </w:r>
        <w:r w:rsidR="002B27DA">
          <w:rPr>
            <w:webHidden/>
          </w:rPr>
          <w:t>6</w:t>
        </w:r>
        <w:r>
          <w:rPr>
            <w:webHidden/>
          </w:rPr>
          <w:fldChar w:fldCharType="end"/>
        </w:r>
      </w:hyperlink>
    </w:p>
    <w:p w:rsidR="005E593A" w:rsidRDefault="005E593A">
      <w:pPr>
        <w:pStyle w:val="TOC4"/>
        <w:rPr>
          <w:rFonts w:asciiTheme="minorHAnsi" w:eastAsiaTheme="minorEastAsia" w:hAnsiTheme="minorHAnsi" w:cstheme="minorBidi"/>
          <w:sz w:val="22"/>
          <w:szCs w:val="22"/>
        </w:rPr>
      </w:pPr>
      <w:hyperlink w:anchor="_Toc386556841" w:history="1">
        <w:r w:rsidRPr="00B61BF0">
          <w:rPr>
            <w:rStyle w:val="Hyperlink"/>
          </w:rPr>
          <w:t>(i)</w:t>
        </w:r>
        <w:r>
          <w:rPr>
            <w:rFonts w:asciiTheme="minorHAnsi" w:eastAsiaTheme="minorEastAsia" w:hAnsiTheme="minorHAnsi" w:cstheme="minorBidi"/>
            <w:sz w:val="22"/>
            <w:szCs w:val="22"/>
          </w:rPr>
          <w:tab/>
        </w:r>
        <w:r w:rsidRPr="00B61BF0">
          <w:rPr>
            <w:rStyle w:val="Hyperlink"/>
          </w:rPr>
          <w:t>Social cohesion and social isolation</w:t>
        </w:r>
        <w:r>
          <w:rPr>
            <w:webHidden/>
          </w:rPr>
          <w:tab/>
        </w:r>
        <w:r>
          <w:rPr>
            <w:webHidden/>
          </w:rPr>
          <w:fldChar w:fldCharType="begin"/>
        </w:r>
        <w:r>
          <w:rPr>
            <w:webHidden/>
          </w:rPr>
          <w:instrText xml:space="preserve"> PAGEREF _Toc386556841 \h </w:instrText>
        </w:r>
        <w:r>
          <w:rPr>
            <w:webHidden/>
          </w:rPr>
        </w:r>
        <w:r>
          <w:rPr>
            <w:webHidden/>
          </w:rPr>
          <w:fldChar w:fldCharType="separate"/>
        </w:r>
        <w:r w:rsidR="002B27DA">
          <w:rPr>
            <w:webHidden/>
          </w:rPr>
          <w:t>6</w:t>
        </w:r>
        <w:r>
          <w:rPr>
            <w:webHidden/>
          </w:rPr>
          <w:fldChar w:fldCharType="end"/>
        </w:r>
      </w:hyperlink>
    </w:p>
    <w:p w:rsidR="005E593A" w:rsidRDefault="005E593A">
      <w:pPr>
        <w:pStyle w:val="TOC4"/>
        <w:rPr>
          <w:rFonts w:asciiTheme="minorHAnsi" w:eastAsiaTheme="minorEastAsia" w:hAnsiTheme="minorHAnsi" w:cstheme="minorBidi"/>
          <w:sz w:val="22"/>
          <w:szCs w:val="22"/>
        </w:rPr>
      </w:pPr>
      <w:hyperlink w:anchor="_Toc386556842" w:history="1">
        <w:r w:rsidRPr="00B61BF0">
          <w:rPr>
            <w:rStyle w:val="Hyperlink"/>
          </w:rPr>
          <w:t>(ii)</w:t>
        </w:r>
        <w:r>
          <w:rPr>
            <w:rFonts w:asciiTheme="minorHAnsi" w:eastAsiaTheme="minorEastAsia" w:hAnsiTheme="minorHAnsi" w:cstheme="minorBidi"/>
            <w:sz w:val="22"/>
            <w:szCs w:val="22"/>
          </w:rPr>
          <w:tab/>
        </w:r>
        <w:r w:rsidRPr="00B61BF0">
          <w:rPr>
            <w:rStyle w:val="Hyperlink"/>
          </w:rPr>
          <w:t>Health impacts</w:t>
        </w:r>
        <w:bookmarkStart w:id="1" w:name="_GoBack"/>
        <w:bookmarkEnd w:id="1"/>
        <w:r>
          <w:rPr>
            <w:webHidden/>
          </w:rPr>
          <w:tab/>
        </w:r>
        <w:r>
          <w:rPr>
            <w:webHidden/>
          </w:rPr>
          <w:fldChar w:fldCharType="begin"/>
        </w:r>
        <w:r>
          <w:rPr>
            <w:webHidden/>
          </w:rPr>
          <w:instrText xml:space="preserve"> PAGEREF _Toc386556842 \h </w:instrText>
        </w:r>
        <w:r>
          <w:rPr>
            <w:webHidden/>
          </w:rPr>
        </w:r>
        <w:r>
          <w:rPr>
            <w:webHidden/>
          </w:rPr>
          <w:fldChar w:fldCharType="separate"/>
        </w:r>
        <w:r w:rsidR="002B27DA">
          <w:rPr>
            <w:webHidden/>
          </w:rPr>
          <w:t>7</w:t>
        </w:r>
        <w:r>
          <w:rPr>
            <w:webHidden/>
          </w:rPr>
          <w:fldChar w:fldCharType="end"/>
        </w:r>
      </w:hyperlink>
    </w:p>
    <w:p w:rsidR="005E593A" w:rsidRDefault="005E593A">
      <w:pPr>
        <w:pStyle w:val="TOC1"/>
        <w:rPr>
          <w:rFonts w:asciiTheme="minorHAnsi" w:eastAsiaTheme="minorEastAsia" w:hAnsiTheme="minorHAnsi" w:cstheme="minorBidi"/>
          <w:b w:val="0"/>
          <w:szCs w:val="22"/>
        </w:rPr>
      </w:pPr>
      <w:hyperlink w:anchor="_Toc386556843" w:history="1">
        <w:r w:rsidRPr="00B61BF0">
          <w:rPr>
            <w:rStyle w:val="Hyperlink"/>
          </w:rPr>
          <w:t>4</w:t>
        </w:r>
        <w:r>
          <w:rPr>
            <w:rFonts w:asciiTheme="minorHAnsi" w:eastAsiaTheme="minorEastAsia" w:hAnsiTheme="minorHAnsi" w:cstheme="minorBidi"/>
            <w:b w:val="0"/>
            <w:szCs w:val="22"/>
          </w:rPr>
          <w:tab/>
        </w:r>
        <w:r w:rsidRPr="00B61BF0">
          <w:rPr>
            <w:rStyle w:val="Hyperlink"/>
          </w:rPr>
          <w:t>Part IIA of the Racial Discrimination Act</w:t>
        </w:r>
        <w:r>
          <w:rPr>
            <w:webHidden/>
          </w:rPr>
          <w:tab/>
        </w:r>
        <w:r>
          <w:rPr>
            <w:webHidden/>
          </w:rPr>
          <w:fldChar w:fldCharType="begin"/>
        </w:r>
        <w:r>
          <w:rPr>
            <w:webHidden/>
          </w:rPr>
          <w:instrText xml:space="preserve"> PAGEREF _Toc386556843 \h </w:instrText>
        </w:r>
        <w:r>
          <w:rPr>
            <w:webHidden/>
          </w:rPr>
        </w:r>
        <w:r>
          <w:rPr>
            <w:webHidden/>
          </w:rPr>
          <w:fldChar w:fldCharType="separate"/>
        </w:r>
        <w:r w:rsidR="002B27DA">
          <w:rPr>
            <w:webHidden/>
          </w:rPr>
          <w:t>8</w:t>
        </w:r>
        <w:r>
          <w:rPr>
            <w:webHidden/>
          </w:rPr>
          <w:fldChar w:fldCharType="end"/>
        </w:r>
      </w:hyperlink>
    </w:p>
    <w:p w:rsidR="005E593A" w:rsidRDefault="005E593A">
      <w:pPr>
        <w:pStyle w:val="TOC3"/>
        <w:rPr>
          <w:rFonts w:asciiTheme="minorHAnsi" w:eastAsiaTheme="minorEastAsia" w:hAnsiTheme="minorHAnsi" w:cstheme="minorBidi"/>
          <w:i w:val="0"/>
          <w:sz w:val="22"/>
          <w:szCs w:val="22"/>
        </w:rPr>
      </w:pPr>
      <w:hyperlink w:anchor="_Toc386556844" w:history="1">
        <w:r w:rsidRPr="00B61BF0">
          <w:rPr>
            <w:rStyle w:val="Hyperlink"/>
          </w:rPr>
          <w:t>(a)</w:t>
        </w:r>
        <w:r>
          <w:rPr>
            <w:rFonts w:asciiTheme="minorHAnsi" w:eastAsiaTheme="minorEastAsia" w:hAnsiTheme="minorHAnsi" w:cstheme="minorBidi"/>
            <w:i w:val="0"/>
            <w:sz w:val="22"/>
            <w:szCs w:val="22"/>
          </w:rPr>
          <w:tab/>
        </w:r>
        <w:r w:rsidRPr="00B61BF0">
          <w:rPr>
            <w:rStyle w:val="Hyperlink"/>
          </w:rPr>
          <w:t>Background</w:t>
        </w:r>
        <w:r>
          <w:rPr>
            <w:webHidden/>
          </w:rPr>
          <w:tab/>
        </w:r>
        <w:r>
          <w:rPr>
            <w:webHidden/>
          </w:rPr>
          <w:fldChar w:fldCharType="begin"/>
        </w:r>
        <w:r>
          <w:rPr>
            <w:webHidden/>
          </w:rPr>
          <w:instrText xml:space="preserve"> PAGEREF _Toc386556844 \h </w:instrText>
        </w:r>
        <w:r>
          <w:rPr>
            <w:webHidden/>
          </w:rPr>
        </w:r>
        <w:r>
          <w:rPr>
            <w:webHidden/>
          </w:rPr>
          <w:fldChar w:fldCharType="separate"/>
        </w:r>
        <w:r w:rsidR="002B27DA">
          <w:rPr>
            <w:webHidden/>
          </w:rPr>
          <w:t>8</w:t>
        </w:r>
        <w:r>
          <w:rPr>
            <w:webHidden/>
          </w:rPr>
          <w:fldChar w:fldCharType="end"/>
        </w:r>
      </w:hyperlink>
    </w:p>
    <w:p w:rsidR="005E593A" w:rsidRDefault="005E593A">
      <w:pPr>
        <w:pStyle w:val="TOC3"/>
        <w:rPr>
          <w:rFonts w:asciiTheme="minorHAnsi" w:eastAsiaTheme="minorEastAsia" w:hAnsiTheme="minorHAnsi" w:cstheme="minorBidi"/>
          <w:i w:val="0"/>
          <w:sz w:val="22"/>
          <w:szCs w:val="22"/>
        </w:rPr>
      </w:pPr>
      <w:hyperlink w:anchor="_Toc386556845" w:history="1">
        <w:r w:rsidRPr="00B61BF0">
          <w:rPr>
            <w:rStyle w:val="Hyperlink"/>
          </w:rPr>
          <w:t>(b)</w:t>
        </w:r>
        <w:r>
          <w:rPr>
            <w:rFonts w:asciiTheme="minorHAnsi" w:eastAsiaTheme="minorEastAsia" w:hAnsiTheme="minorHAnsi" w:cstheme="minorBidi"/>
            <w:i w:val="0"/>
            <w:sz w:val="22"/>
            <w:szCs w:val="22"/>
          </w:rPr>
          <w:tab/>
        </w:r>
        <w:r w:rsidRPr="00B61BF0">
          <w:rPr>
            <w:rStyle w:val="Hyperlink"/>
          </w:rPr>
          <w:t>Operation of the provisions</w:t>
        </w:r>
        <w:r>
          <w:rPr>
            <w:webHidden/>
          </w:rPr>
          <w:tab/>
        </w:r>
        <w:r>
          <w:rPr>
            <w:webHidden/>
          </w:rPr>
          <w:fldChar w:fldCharType="begin"/>
        </w:r>
        <w:r>
          <w:rPr>
            <w:webHidden/>
          </w:rPr>
          <w:instrText xml:space="preserve"> PAGEREF _Toc386556845 \h </w:instrText>
        </w:r>
        <w:r>
          <w:rPr>
            <w:webHidden/>
          </w:rPr>
        </w:r>
        <w:r>
          <w:rPr>
            <w:webHidden/>
          </w:rPr>
          <w:fldChar w:fldCharType="separate"/>
        </w:r>
        <w:r w:rsidR="002B27DA">
          <w:rPr>
            <w:webHidden/>
          </w:rPr>
          <w:t>9</w:t>
        </w:r>
        <w:r>
          <w:rPr>
            <w:webHidden/>
          </w:rPr>
          <w:fldChar w:fldCharType="end"/>
        </w:r>
      </w:hyperlink>
    </w:p>
    <w:p w:rsidR="005E593A" w:rsidRDefault="005E593A">
      <w:pPr>
        <w:pStyle w:val="TOC3"/>
        <w:rPr>
          <w:rFonts w:asciiTheme="minorHAnsi" w:eastAsiaTheme="minorEastAsia" w:hAnsiTheme="minorHAnsi" w:cstheme="minorBidi"/>
          <w:i w:val="0"/>
          <w:sz w:val="22"/>
          <w:szCs w:val="22"/>
        </w:rPr>
      </w:pPr>
      <w:hyperlink w:anchor="_Toc386556846" w:history="1">
        <w:r w:rsidRPr="00B61BF0">
          <w:rPr>
            <w:rStyle w:val="Hyperlink"/>
          </w:rPr>
          <w:t>(c)</w:t>
        </w:r>
        <w:r>
          <w:rPr>
            <w:rFonts w:asciiTheme="minorHAnsi" w:eastAsiaTheme="minorEastAsia" w:hAnsiTheme="minorHAnsi" w:cstheme="minorBidi"/>
            <w:i w:val="0"/>
            <w:sz w:val="22"/>
            <w:szCs w:val="22"/>
          </w:rPr>
          <w:tab/>
        </w:r>
        <w:r w:rsidRPr="00B61BF0">
          <w:rPr>
            <w:rStyle w:val="Hyperlink"/>
          </w:rPr>
          <w:t xml:space="preserve">Complaints under the current provisions </w:t>
        </w:r>
        <w:r>
          <w:rPr>
            <w:webHidden/>
          </w:rPr>
          <w:tab/>
        </w:r>
        <w:r>
          <w:rPr>
            <w:webHidden/>
          </w:rPr>
          <w:fldChar w:fldCharType="begin"/>
        </w:r>
        <w:r>
          <w:rPr>
            <w:webHidden/>
          </w:rPr>
          <w:instrText xml:space="preserve"> PAGEREF _Toc386556846 \h </w:instrText>
        </w:r>
        <w:r>
          <w:rPr>
            <w:webHidden/>
          </w:rPr>
        </w:r>
        <w:r>
          <w:rPr>
            <w:webHidden/>
          </w:rPr>
          <w:fldChar w:fldCharType="separate"/>
        </w:r>
        <w:r w:rsidR="002B27DA">
          <w:rPr>
            <w:webHidden/>
          </w:rPr>
          <w:t>9</w:t>
        </w:r>
        <w:r>
          <w:rPr>
            <w:webHidden/>
          </w:rPr>
          <w:fldChar w:fldCharType="end"/>
        </w:r>
      </w:hyperlink>
    </w:p>
    <w:p w:rsidR="005E593A" w:rsidRDefault="005E593A">
      <w:pPr>
        <w:pStyle w:val="TOC1"/>
        <w:rPr>
          <w:rFonts w:asciiTheme="minorHAnsi" w:eastAsiaTheme="minorEastAsia" w:hAnsiTheme="minorHAnsi" w:cstheme="minorBidi"/>
          <w:b w:val="0"/>
          <w:szCs w:val="22"/>
        </w:rPr>
      </w:pPr>
      <w:hyperlink w:anchor="_Toc386556847" w:history="1">
        <w:r w:rsidRPr="00B61BF0">
          <w:rPr>
            <w:rStyle w:val="Hyperlink"/>
          </w:rPr>
          <w:t>5</w:t>
        </w:r>
        <w:r>
          <w:rPr>
            <w:rFonts w:asciiTheme="minorHAnsi" w:eastAsiaTheme="minorEastAsia" w:hAnsiTheme="minorHAnsi" w:cstheme="minorBidi"/>
            <w:b w:val="0"/>
            <w:szCs w:val="22"/>
          </w:rPr>
          <w:tab/>
        </w:r>
        <w:r w:rsidRPr="00B61BF0">
          <w:rPr>
            <w:rStyle w:val="Hyperlink"/>
          </w:rPr>
          <w:t>Proposed amendments to the Racial Discrimination Act</w:t>
        </w:r>
        <w:r>
          <w:rPr>
            <w:webHidden/>
          </w:rPr>
          <w:tab/>
        </w:r>
        <w:r>
          <w:rPr>
            <w:webHidden/>
          </w:rPr>
          <w:fldChar w:fldCharType="begin"/>
        </w:r>
        <w:r>
          <w:rPr>
            <w:webHidden/>
          </w:rPr>
          <w:instrText xml:space="preserve"> PAGEREF _Toc386556847 \h </w:instrText>
        </w:r>
        <w:r>
          <w:rPr>
            <w:webHidden/>
          </w:rPr>
        </w:r>
        <w:r>
          <w:rPr>
            <w:webHidden/>
          </w:rPr>
          <w:fldChar w:fldCharType="separate"/>
        </w:r>
        <w:r w:rsidR="002B27DA">
          <w:rPr>
            <w:webHidden/>
          </w:rPr>
          <w:t>10</w:t>
        </w:r>
        <w:r>
          <w:rPr>
            <w:webHidden/>
          </w:rPr>
          <w:fldChar w:fldCharType="end"/>
        </w:r>
      </w:hyperlink>
    </w:p>
    <w:p w:rsidR="005E593A" w:rsidRDefault="005E593A">
      <w:pPr>
        <w:pStyle w:val="TOC3"/>
        <w:rPr>
          <w:rFonts w:asciiTheme="minorHAnsi" w:eastAsiaTheme="minorEastAsia" w:hAnsiTheme="minorHAnsi" w:cstheme="minorBidi"/>
          <w:i w:val="0"/>
          <w:sz w:val="22"/>
          <w:szCs w:val="22"/>
        </w:rPr>
      </w:pPr>
      <w:hyperlink w:anchor="_Toc386556848" w:history="1">
        <w:r w:rsidRPr="00B61BF0">
          <w:rPr>
            <w:rStyle w:val="Hyperlink"/>
          </w:rPr>
          <w:t>(a)</w:t>
        </w:r>
        <w:r>
          <w:rPr>
            <w:rFonts w:asciiTheme="minorHAnsi" w:eastAsiaTheme="minorEastAsia" w:hAnsiTheme="minorHAnsi" w:cstheme="minorBidi"/>
            <w:i w:val="0"/>
            <w:sz w:val="22"/>
            <w:szCs w:val="22"/>
          </w:rPr>
          <w:tab/>
        </w:r>
        <w:r w:rsidRPr="00B61BF0">
          <w:rPr>
            <w:rStyle w:val="Hyperlink"/>
          </w:rPr>
          <w:t>Removal of offend, insult and humiliate</w:t>
        </w:r>
        <w:r>
          <w:rPr>
            <w:webHidden/>
          </w:rPr>
          <w:tab/>
        </w:r>
        <w:r>
          <w:rPr>
            <w:webHidden/>
          </w:rPr>
          <w:fldChar w:fldCharType="begin"/>
        </w:r>
        <w:r>
          <w:rPr>
            <w:webHidden/>
          </w:rPr>
          <w:instrText xml:space="preserve"> PAGEREF _Toc386556848 \h </w:instrText>
        </w:r>
        <w:r>
          <w:rPr>
            <w:webHidden/>
          </w:rPr>
        </w:r>
        <w:r>
          <w:rPr>
            <w:webHidden/>
          </w:rPr>
          <w:fldChar w:fldCharType="separate"/>
        </w:r>
        <w:r w:rsidR="002B27DA">
          <w:rPr>
            <w:webHidden/>
          </w:rPr>
          <w:t>10</w:t>
        </w:r>
        <w:r>
          <w:rPr>
            <w:webHidden/>
          </w:rPr>
          <w:fldChar w:fldCharType="end"/>
        </w:r>
      </w:hyperlink>
    </w:p>
    <w:p w:rsidR="005E593A" w:rsidRDefault="005E593A">
      <w:pPr>
        <w:pStyle w:val="TOC3"/>
        <w:rPr>
          <w:rFonts w:asciiTheme="minorHAnsi" w:eastAsiaTheme="minorEastAsia" w:hAnsiTheme="minorHAnsi" w:cstheme="minorBidi"/>
          <w:i w:val="0"/>
          <w:sz w:val="22"/>
          <w:szCs w:val="22"/>
        </w:rPr>
      </w:pPr>
      <w:hyperlink w:anchor="_Toc386556849" w:history="1">
        <w:r w:rsidRPr="00B61BF0">
          <w:rPr>
            <w:rStyle w:val="Hyperlink"/>
          </w:rPr>
          <w:t>(b)</w:t>
        </w:r>
        <w:r>
          <w:rPr>
            <w:rFonts w:asciiTheme="minorHAnsi" w:eastAsiaTheme="minorEastAsia" w:hAnsiTheme="minorHAnsi" w:cstheme="minorBidi"/>
            <w:i w:val="0"/>
            <w:sz w:val="22"/>
            <w:szCs w:val="22"/>
          </w:rPr>
          <w:tab/>
        </w:r>
        <w:r w:rsidRPr="00B61BF0">
          <w:rPr>
            <w:rStyle w:val="Hyperlink"/>
          </w:rPr>
          <w:t>Vilification</w:t>
        </w:r>
        <w:r>
          <w:rPr>
            <w:webHidden/>
          </w:rPr>
          <w:tab/>
        </w:r>
        <w:r>
          <w:rPr>
            <w:webHidden/>
          </w:rPr>
          <w:fldChar w:fldCharType="begin"/>
        </w:r>
        <w:r>
          <w:rPr>
            <w:webHidden/>
          </w:rPr>
          <w:instrText xml:space="preserve"> PAGEREF _Toc386556849 \h </w:instrText>
        </w:r>
        <w:r>
          <w:rPr>
            <w:webHidden/>
          </w:rPr>
        </w:r>
        <w:r>
          <w:rPr>
            <w:webHidden/>
          </w:rPr>
          <w:fldChar w:fldCharType="separate"/>
        </w:r>
        <w:r w:rsidR="002B27DA">
          <w:rPr>
            <w:webHidden/>
          </w:rPr>
          <w:t>11</w:t>
        </w:r>
        <w:r>
          <w:rPr>
            <w:webHidden/>
          </w:rPr>
          <w:fldChar w:fldCharType="end"/>
        </w:r>
      </w:hyperlink>
    </w:p>
    <w:p w:rsidR="005E593A" w:rsidRDefault="005E593A">
      <w:pPr>
        <w:pStyle w:val="TOC3"/>
        <w:rPr>
          <w:rFonts w:asciiTheme="minorHAnsi" w:eastAsiaTheme="minorEastAsia" w:hAnsiTheme="minorHAnsi" w:cstheme="minorBidi"/>
          <w:i w:val="0"/>
          <w:sz w:val="22"/>
          <w:szCs w:val="22"/>
        </w:rPr>
      </w:pPr>
      <w:hyperlink w:anchor="_Toc386556850" w:history="1">
        <w:r w:rsidRPr="00B61BF0">
          <w:rPr>
            <w:rStyle w:val="Hyperlink"/>
          </w:rPr>
          <w:t>(c)</w:t>
        </w:r>
        <w:r>
          <w:rPr>
            <w:rFonts w:asciiTheme="minorHAnsi" w:eastAsiaTheme="minorEastAsia" w:hAnsiTheme="minorHAnsi" w:cstheme="minorBidi"/>
            <w:i w:val="0"/>
            <w:sz w:val="22"/>
            <w:szCs w:val="22"/>
          </w:rPr>
          <w:tab/>
        </w:r>
        <w:r w:rsidRPr="00B61BF0">
          <w:rPr>
            <w:rStyle w:val="Hyperlink"/>
          </w:rPr>
          <w:t>Intimidation</w:t>
        </w:r>
        <w:r>
          <w:rPr>
            <w:webHidden/>
          </w:rPr>
          <w:tab/>
        </w:r>
        <w:r>
          <w:rPr>
            <w:webHidden/>
          </w:rPr>
          <w:fldChar w:fldCharType="begin"/>
        </w:r>
        <w:r>
          <w:rPr>
            <w:webHidden/>
          </w:rPr>
          <w:instrText xml:space="preserve"> PAGEREF _Toc386556850 \h </w:instrText>
        </w:r>
        <w:r>
          <w:rPr>
            <w:webHidden/>
          </w:rPr>
        </w:r>
        <w:r>
          <w:rPr>
            <w:webHidden/>
          </w:rPr>
          <w:fldChar w:fldCharType="separate"/>
        </w:r>
        <w:r w:rsidR="002B27DA">
          <w:rPr>
            <w:webHidden/>
          </w:rPr>
          <w:t>11</w:t>
        </w:r>
        <w:r>
          <w:rPr>
            <w:webHidden/>
          </w:rPr>
          <w:fldChar w:fldCharType="end"/>
        </w:r>
      </w:hyperlink>
    </w:p>
    <w:p w:rsidR="005E593A" w:rsidRDefault="005E593A">
      <w:pPr>
        <w:pStyle w:val="TOC3"/>
        <w:rPr>
          <w:rFonts w:asciiTheme="minorHAnsi" w:eastAsiaTheme="minorEastAsia" w:hAnsiTheme="minorHAnsi" w:cstheme="minorBidi"/>
          <w:i w:val="0"/>
          <w:sz w:val="22"/>
          <w:szCs w:val="22"/>
        </w:rPr>
      </w:pPr>
      <w:hyperlink w:anchor="_Toc386556851" w:history="1">
        <w:r w:rsidRPr="00B61BF0">
          <w:rPr>
            <w:rStyle w:val="Hyperlink"/>
          </w:rPr>
          <w:t>(d)</w:t>
        </w:r>
        <w:r>
          <w:rPr>
            <w:rFonts w:asciiTheme="minorHAnsi" w:eastAsiaTheme="minorEastAsia" w:hAnsiTheme="minorHAnsi" w:cstheme="minorBidi"/>
            <w:i w:val="0"/>
            <w:sz w:val="22"/>
            <w:szCs w:val="22"/>
          </w:rPr>
          <w:tab/>
        </w:r>
        <w:r w:rsidRPr="00B61BF0">
          <w:rPr>
            <w:rStyle w:val="Hyperlink"/>
          </w:rPr>
          <w:t>Reasonable person test</w:t>
        </w:r>
        <w:r>
          <w:rPr>
            <w:webHidden/>
          </w:rPr>
          <w:tab/>
        </w:r>
        <w:r>
          <w:rPr>
            <w:webHidden/>
          </w:rPr>
          <w:fldChar w:fldCharType="begin"/>
        </w:r>
        <w:r>
          <w:rPr>
            <w:webHidden/>
          </w:rPr>
          <w:instrText xml:space="preserve"> PAGEREF _Toc386556851 \h </w:instrText>
        </w:r>
        <w:r>
          <w:rPr>
            <w:webHidden/>
          </w:rPr>
        </w:r>
        <w:r>
          <w:rPr>
            <w:webHidden/>
          </w:rPr>
          <w:fldChar w:fldCharType="separate"/>
        </w:r>
        <w:r w:rsidR="002B27DA">
          <w:rPr>
            <w:webHidden/>
          </w:rPr>
          <w:t>12</w:t>
        </w:r>
        <w:r>
          <w:rPr>
            <w:webHidden/>
          </w:rPr>
          <w:fldChar w:fldCharType="end"/>
        </w:r>
      </w:hyperlink>
    </w:p>
    <w:p w:rsidR="005E593A" w:rsidRDefault="005E593A">
      <w:pPr>
        <w:pStyle w:val="TOC3"/>
        <w:rPr>
          <w:rFonts w:asciiTheme="minorHAnsi" w:eastAsiaTheme="minorEastAsia" w:hAnsiTheme="minorHAnsi" w:cstheme="minorBidi"/>
          <w:i w:val="0"/>
          <w:sz w:val="22"/>
          <w:szCs w:val="22"/>
        </w:rPr>
      </w:pPr>
      <w:hyperlink w:anchor="_Toc386556852" w:history="1">
        <w:r w:rsidRPr="00B61BF0">
          <w:rPr>
            <w:rStyle w:val="Hyperlink"/>
          </w:rPr>
          <w:t>(e)</w:t>
        </w:r>
        <w:r>
          <w:rPr>
            <w:rFonts w:asciiTheme="minorHAnsi" w:eastAsiaTheme="minorEastAsia" w:hAnsiTheme="minorHAnsi" w:cstheme="minorBidi"/>
            <w:i w:val="0"/>
            <w:sz w:val="22"/>
            <w:szCs w:val="22"/>
          </w:rPr>
          <w:tab/>
        </w:r>
        <w:r w:rsidRPr="00B61BF0">
          <w:rPr>
            <w:rStyle w:val="Hyperlink"/>
          </w:rPr>
          <w:t>Exemption</w:t>
        </w:r>
        <w:r>
          <w:rPr>
            <w:webHidden/>
          </w:rPr>
          <w:tab/>
        </w:r>
        <w:r>
          <w:rPr>
            <w:webHidden/>
          </w:rPr>
          <w:fldChar w:fldCharType="begin"/>
        </w:r>
        <w:r>
          <w:rPr>
            <w:webHidden/>
          </w:rPr>
          <w:instrText xml:space="preserve"> PAGEREF _Toc386556852 \h </w:instrText>
        </w:r>
        <w:r>
          <w:rPr>
            <w:webHidden/>
          </w:rPr>
        </w:r>
        <w:r>
          <w:rPr>
            <w:webHidden/>
          </w:rPr>
          <w:fldChar w:fldCharType="separate"/>
        </w:r>
        <w:r w:rsidR="002B27DA">
          <w:rPr>
            <w:webHidden/>
          </w:rPr>
          <w:t>12</w:t>
        </w:r>
        <w:r>
          <w:rPr>
            <w:webHidden/>
          </w:rPr>
          <w:fldChar w:fldCharType="end"/>
        </w:r>
      </w:hyperlink>
    </w:p>
    <w:p w:rsidR="005E593A" w:rsidRDefault="005E593A">
      <w:pPr>
        <w:pStyle w:val="TOC3"/>
        <w:rPr>
          <w:rFonts w:asciiTheme="minorHAnsi" w:eastAsiaTheme="minorEastAsia" w:hAnsiTheme="minorHAnsi" w:cstheme="minorBidi"/>
          <w:i w:val="0"/>
          <w:sz w:val="22"/>
          <w:szCs w:val="22"/>
        </w:rPr>
      </w:pPr>
      <w:hyperlink w:anchor="_Toc386556853" w:history="1">
        <w:r w:rsidRPr="00B61BF0">
          <w:rPr>
            <w:rStyle w:val="Hyperlink"/>
          </w:rPr>
          <w:t>(f)</w:t>
        </w:r>
        <w:r>
          <w:rPr>
            <w:rFonts w:asciiTheme="minorHAnsi" w:eastAsiaTheme="minorEastAsia" w:hAnsiTheme="minorHAnsi" w:cstheme="minorBidi"/>
            <w:i w:val="0"/>
            <w:sz w:val="22"/>
            <w:szCs w:val="22"/>
          </w:rPr>
          <w:tab/>
        </w:r>
        <w:r w:rsidRPr="00B61BF0">
          <w:rPr>
            <w:rStyle w:val="Hyperlink"/>
          </w:rPr>
          <w:t>Other changes</w:t>
        </w:r>
        <w:r>
          <w:rPr>
            <w:webHidden/>
          </w:rPr>
          <w:tab/>
        </w:r>
        <w:r>
          <w:rPr>
            <w:webHidden/>
          </w:rPr>
          <w:fldChar w:fldCharType="begin"/>
        </w:r>
        <w:r>
          <w:rPr>
            <w:webHidden/>
          </w:rPr>
          <w:instrText xml:space="preserve"> PAGEREF _Toc386556853 \h </w:instrText>
        </w:r>
        <w:r>
          <w:rPr>
            <w:webHidden/>
          </w:rPr>
        </w:r>
        <w:r>
          <w:rPr>
            <w:webHidden/>
          </w:rPr>
          <w:fldChar w:fldCharType="separate"/>
        </w:r>
        <w:r w:rsidR="002B27DA">
          <w:rPr>
            <w:webHidden/>
          </w:rPr>
          <w:t>14</w:t>
        </w:r>
        <w:r>
          <w:rPr>
            <w:webHidden/>
          </w:rPr>
          <w:fldChar w:fldCharType="end"/>
        </w:r>
      </w:hyperlink>
    </w:p>
    <w:p w:rsidR="005E593A" w:rsidRDefault="005E593A">
      <w:pPr>
        <w:pStyle w:val="TOC3"/>
        <w:rPr>
          <w:rFonts w:asciiTheme="minorHAnsi" w:eastAsiaTheme="minorEastAsia" w:hAnsiTheme="minorHAnsi" w:cstheme="minorBidi"/>
          <w:i w:val="0"/>
          <w:sz w:val="22"/>
          <w:szCs w:val="22"/>
        </w:rPr>
      </w:pPr>
      <w:hyperlink w:anchor="_Toc386556854" w:history="1">
        <w:r w:rsidRPr="00B61BF0">
          <w:rPr>
            <w:rStyle w:val="Hyperlink"/>
          </w:rPr>
          <w:t>(g)</w:t>
        </w:r>
        <w:r>
          <w:rPr>
            <w:rFonts w:asciiTheme="minorHAnsi" w:eastAsiaTheme="minorEastAsia" w:hAnsiTheme="minorHAnsi" w:cstheme="minorBidi"/>
            <w:i w:val="0"/>
            <w:sz w:val="22"/>
            <w:szCs w:val="22"/>
          </w:rPr>
          <w:tab/>
        </w:r>
        <w:r w:rsidRPr="00B61BF0">
          <w:rPr>
            <w:rStyle w:val="Hyperlink"/>
          </w:rPr>
          <w:t>Concluding views on the proposed amendments</w:t>
        </w:r>
        <w:r>
          <w:rPr>
            <w:webHidden/>
          </w:rPr>
          <w:tab/>
        </w:r>
        <w:r>
          <w:rPr>
            <w:webHidden/>
          </w:rPr>
          <w:fldChar w:fldCharType="begin"/>
        </w:r>
        <w:r>
          <w:rPr>
            <w:webHidden/>
          </w:rPr>
          <w:instrText xml:space="preserve"> PAGEREF _Toc386556854 \h </w:instrText>
        </w:r>
        <w:r>
          <w:rPr>
            <w:webHidden/>
          </w:rPr>
        </w:r>
        <w:r>
          <w:rPr>
            <w:webHidden/>
          </w:rPr>
          <w:fldChar w:fldCharType="separate"/>
        </w:r>
        <w:r w:rsidR="002B27DA">
          <w:rPr>
            <w:webHidden/>
          </w:rPr>
          <w:t>14</w:t>
        </w:r>
        <w:r>
          <w:rPr>
            <w:webHidden/>
          </w:rPr>
          <w:fldChar w:fldCharType="end"/>
        </w:r>
      </w:hyperlink>
    </w:p>
    <w:p w:rsidR="005E593A" w:rsidRDefault="005E593A">
      <w:pPr>
        <w:pStyle w:val="TOC1"/>
        <w:rPr>
          <w:rFonts w:asciiTheme="minorHAnsi" w:eastAsiaTheme="minorEastAsia" w:hAnsiTheme="minorHAnsi" w:cstheme="minorBidi"/>
          <w:b w:val="0"/>
          <w:szCs w:val="22"/>
        </w:rPr>
      </w:pPr>
      <w:hyperlink w:anchor="_Toc386556855" w:history="1">
        <w:r w:rsidRPr="00B61BF0">
          <w:rPr>
            <w:rStyle w:val="Hyperlink"/>
            <w:rFonts w:cs="Arial"/>
          </w:rPr>
          <w:t>6</w:t>
        </w:r>
        <w:r>
          <w:rPr>
            <w:rFonts w:asciiTheme="minorHAnsi" w:eastAsiaTheme="minorEastAsia" w:hAnsiTheme="minorHAnsi" w:cstheme="minorBidi"/>
            <w:b w:val="0"/>
            <w:szCs w:val="22"/>
          </w:rPr>
          <w:tab/>
        </w:r>
        <w:r w:rsidRPr="00B61BF0">
          <w:rPr>
            <w:rStyle w:val="Hyperlink"/>
            <w:rFonts w:cs="Arial"/>
          </w:rPr>
          <w:t>Conclusion</w:t>
        </w:r>
        <w:r>
          <w:rPr>
            <w:webHidden/>
          </w:rPr>
          <w:tab/>
        </w:r>
        <w:r>
          <w:rPr>
            <w:webHidden/>
          </w:rPr>
          <w:fldChar w:fldCharType="begin"/>
        </w:r>
        <w:r>
          <w:rPr>
            <w:webHidden/>
          </w:rPr>
          <w:instrText xml:space="preserve"> PAGEREF _Toc386556855 \h </w:instrText>
        </w:r>
        <w:r>
          <w:rPr>
            <w:webHidden/>
          </w:rPr>
        </w:r>
        <w:r>
          <w:rPr>
            <w:webHidden/>
          </w:rPr>
          <w:fldChar w:fldCharType="separate"/>
        </w:r>
        <w:r w:rsidR="002B27DA">
          <w:rPr>
            <w:webHidden/>
          </w:rPr>
          <w:t>14</w:t>
        </w:r>
        <w:r>
          <w:rPr>
            <w:webHidden/>
          </w:rPr>
          <w:fldChar w:fldCharType="end"/>
        </w:r>
      </w:hyperlink>
    </w:p>
    <w:p w:rsidR="005E593A" w:rsidRDefault="005E593A">
      <w:pPr>
        <w:pStyle w:val="TOC1"/>
        <w:rPr>
          <w:rFonts w:asciiTheme="minorHAnsi" w:eastAsiaTheme="minorEastAsia" w:hAnsiTheme="minorHAnsi" w:cstheme="minorBidi"/>
          <w:b w:val="0"/>
          <w:szCs w:val="22"/>
        </w:rPr>
      </w:pPr>
      <w:hyperlink w:anchor="_Toc386556856" w:history="1">
        <w:r w:rsidRPr="00B61BF0">
          <w:rPr>
            <w:rStyle w:val="Hyperlink"/>
          </w:rPr>
          <w:t>Appendix 1: Membership and a brief history of the Close the Gap Campaign Steering Committee</w:t>
        </w:r>
        <w:r>
          <w:rPr>
            <w:webHidden/>
          </w:rPr>
          <w:tab/>
        </w:r>
        <w:r>
          <w:rPr>
            <w:webHidden/>
          </w:rPr>
          <w:fldChar w:fldCharType="begin"/>
        </w:r>
        <w:r>
          <w:rPr>
            <w:webHidden/>
          </w:rPr>
          <w:instrText xml:space="preserve"> PAGEREF _Toc386556856 \h </w:instrText>
        </w:r>
        <w:r>
          <w:rPr>
            <w:webHidden/>
          </w:rPr>
        </w:r>
        <w:r>
          <w:rPr>
            <w:webHidden/>
          </w:rPr>
          <w:fldChar w:fldCharType="separate"/>
        </w:r>
        <w:r w:rsidR="002B27DA">
          <w:rPr>
            <w:webHidden/>
          </w:rPr>
          <w:t>16</w:t>
        </w:r>
        <w:r>
          <w:rPr>
            <w:webHidden/>
          </w:rPr>
          <w:fldChar w:fldCharType="end"/>
        </w:r>
      </w:hyperlink>
    </w:p>
    <w:p w:rsidR="005E593A" w:rsidRDefault="005E593A">
      <w:pPr>
        <w:pStyle w:val="TOC1"/>
        <w:rPr>
          <w:rFonts w:asciiTheme="minorHAnsi" w:eastAsiaTheme="minorEastAsia" w:hAnsiTheme="minorHAnsi" w:cstheme="minorBidi"/>
          <w:b w:val="0"/>
          <w:szCs w:val="22"/>
        </w:rPr>
      </w:pPr>
      <w:hyperlink w:anchor="_Toc386556857" w:history="1">
        <w:r w:rsidRPr="00B61BF0">
          <w:rPr>
            <w:rStyle w:val="Hyperlink"/>
          </w:rPr>
          <w:t>Appendix 2: Examples of racial hatred complaints</w:t>
        </w:r>
        <w:r>
          <w:rPr>
            <w:webHidden/>
          </w:rPr>
          <w:tab/>
        </w:r>
        <w:r>
          <w:rPr>
            <w:webHidden/>
          </w:rPr>
          <w:fldChar w:fldCharType="begin"/>
        </w:r>
        <w:r>
          <w:rPr>
            <w:webHidden/>
          </w:rPr>
          <w:instrText xml:space="preserve"> PAGEREF _Toc386556857 \h </w:instrText>
        </w:r>
        <w:r>
          <w:rPr>
            <w:webHidden/>
          </w:rPr>
        </w:r>
        <w:r>
          <w:rPr>
            <w:webHidden/>
          </w:rPr>
          <w:fldChar w:fldCharType="separate"/>
        </w:r>
        <w:r w:rsidR="002B27DA">
          <w:rPr>
            <w:webHidden/>
          </w:rPr>
          <w:t>19</w:t>
        </w:r>
        <w:r>
          <w:rPr>
            <w:webHidden/>
          </w:rPr>
          <w:fldChar w:fldCharType="end"/>
        </w:r>
      </w:hyperlink>
    </w:p>
    <w:p w:rsidR="005E593A" w:rsidRDefault="005E593A">
      <w:pPr>
        <w:pStyle w:val="TOC1"/>
        <w:rPr>
          <w:rFonts w:asciiTheme="minorHAnsi" w:eastAsiaTheme="minorEastAsia" w:hAnsiTheme="minorHAnsi" w:cstheme="minorBidi"/>
          <w:b w:val="0"/>
          <w:szCs w:val="22"/>
        </w:rPr>
      </w:pPr>
      <w:hyperlink w:anchor="_Toc386556858" w:history="1">
        <w:r w:rsidRPr="00B61BF0">
          <w:rPr>
            <w:rStyle w:val="Hyperlink"/>
          </w:rPr>
          <w:t>Appendix 3: Case studies on the impact of the Exposure Draft on current protections</w:t>
        </w:r>
        <w:r>
          <w:rPr>
            <w:webHidden/>
          </w:rPr>
          <w:tab/>
        </w:r>
        <w:r>
          <w:rPr>
            <w:webHidden/>
          </w:rPr>
          <w:fldChar w:fldCharType="begin"/>
        </w:r>
        <w:r>
          <w:rPr>
            <w:webHidden/>
          </w:rPr>
          <w:instrText xml:space="preserve"> PAGEREF _Toc386556858 \h </w:instrText>
        </w:r>
        <w:r>
          <w:rPr>
            <w:webHidden/>
          </w:rPr>
        </w:r>
        <w:r>
          <w:rPr>
            <w:webHidden/>
          </w:rPr>
          <w:fldChar w:fldCharType="separate"/>
        </w:r>
        <w:r w:rsidR="002B27DA">
          <w:rPr>
            <w:webHidden/>
          </w:rPr>
          <w:t>20</w:t>
        </w:r>
        <w:r>
          <w:rPr>
            <w:webHidden/>
          </w:rPr>
          <w:fldChar w:fldCharType="end"/>
        </w:r>
      </w:hyperlink>
    </w:p>
    <w:p w:rsidR="00730174" w:rsidRDefault="00B810FA" w:rsidP="000B5E4C">
      <w:r>
        <w:fldChar w:fldCharType="end"/>
      </w:r>
    </w:p>
    <w:p w:rsidR="00730174" w:rsidRDefault="00730174">
      <w:pPr>
        <w:spacing w:before="0" w:after="0"/>
      </w:pPr>
      <w:r>
        <w:br w:type="page"/>
      </w:r>
    </w:p>
    <w:p w:rsidR="00B34946" w:rsidRPr="001E1304" w:rsidRDefault="00B34946" w:rsidP="00F32A50">
      <w:pPr>
        <w:pStyle w:val="Heading1"/>
        <w:numPr>
          <w:ilvl w:val="0"/>
          <w:numId w:val="16"/>
        </w:numPr>
        <w:tabs>
          <w:tab w:val="clear" w:pos="851"/>
        </w:tabs>
      </w:pPr>
      <w:bookmarkStart w:id="2" w:name="_Toc207761830"/>
      <w:bookmarkStart w:id="3" w:name="_Toc209578266"/>
      <w:bookmarkStart w:id="4" w:name="_Toc386556834"/>
      <w:r w:rsidRPr="001E1304">
        <w:lastRenderedPageBreak/>
        <w:t>Introduction</w:t>
      </w:r>
      <w:bookmarkEnd w:id="2"/>
      <w:bookmarkEnd w:id="3"/>
      <w:bookmarkEnd w:id="4"/>
      <w:r w:rsidRPr="001E1304">
        <w:t xml:space="preserve"> </w:t>
      </w:r>
    </w:p>
    <w:p w:rsidR="00AD3397" w:rsidRPr="00E456CA" w:rsidRDefault="00B34946" w:rsidP="00E456CA">
      <w:pPr>
        <w:pStyle w:val="SubmissionNormal"/>
        <w:ind w:hanging="720"/>
      </w:pPr>
      <w:r w:rsidRPr="00C5786C">
        <w:t xml:space="preserve">The </w:t>
      </w:r>
      <w:r w:rsidR="00AD3397" w:rsidRPr="00AD3397">
        <w:t>Close the Gap Campaign Steering Committee (</w:t>
      </w:r>
      <w:r w:rsidR="00252B69">
        <w:t>Campaign</w:t>
      </w:r>
      <w:r w:rsidR="00AD3397" w:rsidRPr="00AD3397">
        <w:t xml:space="preserve"> Steering Committee) </w:t>
      </w:r>
      <w:r w:rsidR="00C87CB8" w:rsidRPr="00D00A4D">
        <w:rPr>
          <w:lang w:val="en-AU"/>
        </w:rPr>
        <w:t>makes this submission</w:t>
      </w:r>
      <w:r w:rsidR="00DF2AE8" w:rsidRPr="00D00A4D">
        <w:rPr>
          <w:lang w:val="en-AU"/>
        </w:rPr>
        <w:t xml:space="preserve"> on the </w:t>
      </w:r>
      <w:r w:rsidR="001A0710" w:rsidRPr="00D00A4D">
        <w:rPr>
          <w:lang w:val="en-AU"/>
        </w:rPr>
        <w:t xml:space="preserve">Exposure Draft of the Freedom of Speech (Repeal of S. 18C) Bill 2014 </w:t>
      </w:r>
      <w:r w:rsidR="008A061D" w:rsidRPr="00D00A4D">
        <w:rPr>
          <w:lang w:val="en-AU"/>
        </w:rPr>
        <w:t>(</w:t>
      </w:r>
      <w:r w:rsidR="0009688C" w:rsidRPr="00D00A4D">
        <w:rPr>
          <w:lang w:val="en-AU"/>
        </w:rPr>
        <w:t>Exposure Draft</w:t>
      </w:r>
      <w:r w:rsidR="008A061D" w:rsidRPr="00D00A4D">
        <w:rPr>
          <w:lang w:val="en-AU"/>
        </w:rPr>
        <w:t xml:space="preserve">) </w:t>
      </w:r>
      <w:r w:rsidR="001A0710" w:rsidRPr="00D00A4D">
        <w:rPr>
          <w:lang w:val="en-AU"/>
        </w:rPr>
        <w:t xml:space="preserve">which </w:t>
      </w:r>
      <w:r w:rsidR="00DF2AE8" w:rsidRPr="00D00A4D">
        <w:rPr>
          <w:lang w:val="en-AU"/>
        </w:rPr>
        <w:t>propose</w:t>
      </w:r>
      <w:r w:rsidR="001A0710" w:rsidRPr="00D00A4D">
        <w:rPr>
          <w:lang w:val="en-AU"/>
        </w:rPr>
        <w:t xml:space="preserve">s to </w:t>
      </w:r>
      <w:r w:rsidR="00A81AFF" w:rsidRPr="00D00A4D">
        <w:rPr>
          <w:lang w:val="en-AU"/>
        </w:rPr>
        <w:t>amend</w:t>
      </w:r>
      <w:r w:rsidR="00DF2AE8" w:rsidRPr="00D00A4D">
        <w:rPr>
          <w:lang w:val="en-AU"/>
        </w:rPr>
        <w:t xml:space="preserve"> </w:t>
      </w:r>
      <w:r w:rsidR="00D355B6" w:rsidRPr="00D00A4D">
        <w:rPr>
          <w:lang w:val="en-AU"/>
        </w:rPr>
        <w:t xml:space="preserve">Part IIA of </w:t>
      </w:r>
      <w:r w:rsidR="00DF2AE8" w:rsidRPr="00D00A4D">
        <w:rPr>
          <w:lang w:val="en-AU"/>
        </w:rPr>
        <w:t xml:space="preserve">the </w:t>
      </w:r>
      <w:r w:rsidR="00DF2AE8" w:rsidRPr="00D00A4D">
        <w:rPr>
          <w:i/>
          <w:lang w:val="en-AU"/>
        </w:rPr>
        <w:t>Racial Discrimination Act 1975</w:t>
      </w:r>
      <w:r w:rsidR="00D355B6" w:rsidRPr="00D00A4D">
        <w:rPr>
          <w:lang w:val="en-AU"/>
        </w:rPr>
        <w:t xml:space="preserve"> (Cth) (Racial Discrimination Act)</w:t>
      </w:r>
      <w:r w:rsidR="00C87CB8" w:rsidRPr="00D00A4D">
        <w:rPr>
          <w:lang w:val="en-AU"/>
        </w:rPr>
        <w:t>.</w:t>
      </w:r>
      <w:r w:rsidR="00E562E3" w:rsidRPr="00D00A4D">
        <w:rPr>
          <w:lang w:val="en-AU"/>
        </w:rPr>
        <w:t xml:space="preserve"> The Campaign Steering Committee </w:t>
      </w:r>
      <w:r w:rsidR="00D00A4D" w:rsidRPr="00D00A4D">
        <w:rPr>
          <w:lang w:val="en-AU"/>
        </w:rPr>
        <w:t xml:space="preserve">consents </w:t>
      </w:r>
      <w:r w:rsidR="000A7D70">
        <w:rPr>
          <w:lang w:val="en-AU"/>
        </w:rPr>
        <w:t>that this</w:t>
      </w:r>
      <w:r w:rsidR="00D00A4D" w:rsidRPr="00D00A4D">
        <w:rPr>
          <w:lang w:val="en-AU"/>
        </w:rPr>
        <w:t xml:space="preserve"> submission be made public. </w:t>
      </w:r>
    </w:p>
    <w:p w:rsidR="00E456CA" w:rsidRDefault="000A5E00" w:rsidP="00F113D6">
      <w:pPr>
        <w:pStyle w:val="SubmissionNormal"/>
        <w:ind w:hanging="720"/>
      </w:pPr>
      <w:r>
        <w:t xml:space="preserve">The heading of </w:t>
      </w:r>
      <w:r w:rsidR="00E456CA">
        <w:t xml:space="preserve">Part IIA of the Racial Discrimination </w:t>
      </w:r>
      <w:r>
        <w:t>Act is “</w:t>
      </w:r>
      <w:r w:rsidR="00F113D6">
        <w:rPr>
          <w:lang w:val="en-AU"/>
        </w:rPr>
        <w:t>[</w:t>
      </w:r>
      <w:r>
        <w:t>p</w:t>
      </w:r>
      <w:r w:rsidR="00F113D6">
        <w:rPr>
          <w:lang w:val="en-AU"/>
        </w:rPr>
        <w:t>]</w:t>
      </w:r>
      <w:proofErr w:type="spellStart"/>
      <w:r>
        <w:t>rohibition</w:t>
      </w:r>
      <w:proofErr w:type="spellEnd"/>
      <w:r>
        <w:t xml:space="preserve"> of offensive behaviour based on racial hatred”. </w:t>
      </w:r>
      <w:r w:rsidR="005B1FC7">
        <w:rPr>
          <w:lang w:val="en-AU"/>
        </w:rPr>
        <w:t>The</w:t>
      </w:r>
      <w:r>
        <w:t xml:space="preserve"> wording of the relevant provision, </w:t>
      </w:r>
      <w:r w:rsidRPr="00F113D6">
        <w:rPr>
          <w:lang w:val="en-AU"/>
        </w:rPr>
        <w:t>section</w:t>
      </w:r>
      <w:r>
        <w:t xml:space="preserve"> 18C</w:t>
      </w:r>
      <w:r w:rsidR="00F113D6">
        <w:rPr>
          <w:lang w:val="en-AU"/>
        </w:rPr>
        <w:t>,</w:t>
      </w:r>
      <w:r>
        <w:t xml:space="preserve"> makes it </w:t>
      </w:r>
      <w:r w:rsidRPr="000A5E00">
        <w:rPr>
          <w:lang w:val="en-AU"/>
        </w:rPr>
        <w:t>unlawful for someone to do an act that is reasonably likely to “offend, insult, humiliate or intimidate” someone because of their race or ethnicity</w:t>
      </w:r>
      <w:r>
        <w:rPr>
          <w:lang w:val="en-AU"/>
        </w:rPr>
        <w:t>.</w:t>
      </w:r>
      <w:r w:rsidR="008A061D">
        <w:rPr>
          <w:lang w:val="en-AU"/>
        </w:rPr>
        <w:t xml:space="preserve"> </w:t>
      </w:r>
      <w:r w:rsidR="009257FD">
        <w:rPr>
          <w:lang w:val="en-AU"/>
        </w:rPr>
        <w:t xml:space="preserve">For the purposes of this submission the Campaign Steering Committee will refer to these legislative protections as </w:t>
      </w:r>
      <w:r w:rsidR="00361014">
        <w:rPr>
          <w:lang w:val="en-AU"/>
        </w:rPr>
        <w:t>“</w:t>
      </w:r>
      <w:r w:rsidR="009257FD">
        <w:rPr>
          <w:lang w:val="en-AU"/>
        </w:rPr>
        <w:t>protections against racial hatred</w:t>
      </w:r>
      <w:r w:rsidR="00361014">
        <w:rPr>
          <w:lang w:val="en-AU"/>
        </w:rPr>
        <w:t>”</w:t>
      </w:r>
      <w:r w:rsidR="009257FD">
        <w:rPr>
          <w:lang w:val="en-AU"/>
        </w:rPr>
        <w:t xml:space="preserve">. </w:t>
      </w:r>
    </w:p>
    <w:p w:rsidR="007B47C9" w:rsidRDefault="003172FC" w:rsidP="003172FC">
      <w:pPr>
        <w:pStyle w:val="SubmissionNormal"/>
        <w:ind w:hanging="720"/>
      </w:pPr>
      <w:r w:rsidRPr="00AF57D1">
        <w:t>Australia's peak Aboriginal and Torres Strait Islander and non-Indigenous health bodies, health professional bodies and human rights organisations operate the Close the Gap Campaign.</w:t>
      </w:r>
      <w:r w:rsidR="00B03994">
        <w:rPr>
          <w:rStyle w:val="EndnoteReference"/>
          <w:lang w:val="en-AU"/>
        </w:rPr>
        <w:endnoteReference w:id="1"/>
      </w:r>
      <w:r w:rsidRPr="00AF57D1">
        <w:t xml:space="preserve"> </w:t>
      </w:r>
      <w:r w:rsidR="007E601B" w:rsidRPr="002A19DE">
        <w:t xml:space="preserve">See Appendix </w:t>
      </w:r>
      <w:r w:rsidR="00252B69" w:rsidRPr="002A19DE">
        <w:t xml:space="preserve">1 </w:t>
      </w:r>
      <w:r w:rsidR="007E601B" w:rsidRPr="002A19DE">
        <w:t>for the</w:t>
      </w:r>
      <w:r w:rsidR="007E601B">
        <w:t xml:space="preserve"> membership </w:t>
      </w:r>
      <w:r w:rsidR="00457EC0">
        <w:t xml:space="preserve">and </w:t>
      </w:r>
      <w:r w:rsidR="007B47C9">
        <w:t xml:space="preserve">a brief history </w:t>
      </w:r>
      <w:r w:rsidR="007E601B">
        <w:t>of the Close the Gap Campaign.</w:t>
      </w:r>
      <w:r w:rsidRPr="00AF57D1">
        <w:t xml:space="preserve"> </w:t>
      </w:r>
    </w:p>
    <w:p w:rsidR="00194067" w:rsidRPr="00194067" w:rsidRDefault="003565B3" w:rsidP="009E769E">
      <w:pPr>
        <w:pStyle w:val="SubmissionNormal"/>
        <w:ind w:hanging="720"/>
      </w:pPr>
      <w:r>
        <w:rPr>
          <w:lang w:val="en-AU"/>
        </w:rPr>
        <w:t xml:space="preserve">The Campaign Steering Committee </w:t>
      </w:r>
      <w:r w:rsidR="00C87CB8">
        <w:rPr>
          <w:lang w:val="en-AU"/>
        </w:rPr>
        <w:t>notes</w:t>
      </w:r>
      <w:r>
        <w:rPr>
          <w:lang w:val="en-AU"/>
        </w:rPr>
        <w:t xml:space="preserve"> </w:t>
      </w:r>
      <w:r w:rsidR="00D3314A">
        <w:rPr>
          <w:lang w:val="en-AU"/>
        </w:rPr>
        <w:t>that racism</w:t>
      </w:r>
      <w:r>
        <w:rPr>
          <w:lang w:val="en-AU"/>
        </w:rPr>
        <w:t xml:space="preserve"> is a key </w:t>
      </w:r>
      <w:r w:rsidR="00D3314A">
        <w:rPr>
          <w:lang w:val="en-AU"/>
        </w:rPr>
        <w:t xml:space="preserve">social </w:t>
      </w:r>
      <w:r w:rsidR="009C0490">
        <w:rPr>
          <w:lang w:val="en-AU"/>
        </w:rPr>
        <w:t>determinant</w:t>
      </w:r>
      <w:r w:rsidR="00D3314A">
        <w:rPr>
          <w:lang w:val="en-AU"/>
        </w:rPr>
        <w:t xml:space="preserve"> of health</w:t>
      </w:r>
      <w:r>
        <w:rPr>
          <w:lang w:val="en-AU"/>
        </w:rPr>
        <w:t xml:space="preserve">. </w:t>
      </w:r>
      <w:r w:rsidR="00194067">
        <w:rPr>
          <w:lang w:val="en-AU"/>
        </w:rPr>
        <w:t>In undertaking efforts to close the unacceptable health and life expectancy gap between Aboriginal and Torres Strait Islander people and other Australians</w:t>
      </w:r>
      <w:r w:rsidR="00E65EF8">
        <w:rPr>
          <w:lang w:val="en-AU"/>
        </w:rPr>
        <w:t>,</w:t>
      </w:r>
      <w:r w:rsidR="00194067">
        <w:rPr>
          <w:lang w:val="en-AU"/>
        </w:rPr>
        <w:t xml:space="preserve"> </w:t>
      </w:r>
      <w:r w:rsidR="00FB15AC">
        <w:rPr>
          <w:lang w:val="en-AU"/>
        </w:rPr>
        <w:t xml:space="preserve">racism must be </w:t>
      </w:r>
      <w:r w:rsidR="00036739">
        <w:rPr>
          <w:lang w:val="en-AU"/>
        </w:rPr>
        <w:t>addressed</w:t>
      </w:r>
      <w:r w:rsidR="00FB15AC">
        <w:rPr>
          <w:lang w:val="en-AU"/>
        </w:rPr>
        <w:t xml:space="preserve">. </w:t>
      </w:r>
    </w:p>
    <w:p w:rsidR="003565B3" w:rsidRPr="00747F59" w:rsidRDefault="003565B3" w:rsidP="00E65EF8">
      <w:pPr>
        <w:pStyle w:val="SubmissionNormal"/>
        <w:ind w:hanging="720"/>
      </w:pPr>
      <w:r>
        <w:t xml:space="preserve">The Campaign Steering Committee believes that </w:t>
      </w:r>
      <w:r w:rsidR="00D84F7A">
        <w:t>legislative</w:t>
      </w:r>
      <w:r>
        <w:t xml:space="preserve"> </w:t>
      </w:r>
      <w:r w:rsidR="00C4671C">
        <w:t xml:space="preserve">protections </w:t>
      </w:r>
      <w:r w:rsidR="00D84F7A">
        <w:t xml:space="preserve">are an essential </w:t>
      </w:r>
      <w:r w:rsidR="00D84F7A" w:rsidRPr="00E65EF8">
        <w:rPr>
          <w:lang w:val="en-AU"/>
        </w:rPr>
        <w:t>component</w:t>
      </w:r>
      <w:r w:rsidR="00D84F7A">
        <w:t xml:space="preserve"> </w:t>
      </w:r>
      <w:r w:rsidR="00A81AFF">
        <w:rPr>
          <w:lang w:val="en-AU"/>
        </w:rPr>
        <w:t>in</w:t>
      </w:r>
      <w:r w:rsidR="00D84F7A">
        <w:t xml:space="preserve"> </w:t>
      </w:r>
      <w:r w:rsidR="00036739">
        <w:rPr>
          <w:lang w:val="en-AU"/>
        </w:rPr>
        <w:t>addressing</w:t>
      </w:r>
      <w:r w:rsidR="00C4671C">
        <w:t xml:space="preserve"> </w:t>
      </w:r>
      <w:r w:rsidR="00D84F7A" w:rsidRPr="00D84F7A">
        <w:rPr>
          <w:lang w:val="en-AU"/>
        </w:rPr>
        <w:t>racism and racial discrimination</w:t>
      </w:r>
      <w:r w:rsidR="00665508">
        <w:rPr>
          <w:lang w:val="en-AU"/>
        </w:rPr>
        <w:t xml:space="preserve">. </w:t>
      </w:r>
      <w:r w:rsidR="00E62656">
        <w:rPr>
          <w:lang w:val="en-AU"/>
        </w:rPr>
        <w:t>Legislative protections against racial discrimination play a</w:t>
      </w:r>
      <w:r w:rsidR="000B40D4">
        <w:rPr>
          <w:lang w:val="en-AU"/>
        </w:rPr>
        <w:t>n</w:t>
      </w:r>
      <w:r w:rsidR="00E62656">
        <w:rPr>
          <w:lang w:val="en-AU"/>
        </w:rPr>
        <w:t xml:space="preserve"> </w:t>
      </w:r>
      <w:r w:rsidR="00500505">
        <w:rPr>
          <w:lang w:val="en-AU"/>
        </w:rPr>
        <w:t>important</w:t>
      </w:r>
      <w:r w:rsidR="00E62656">
        <w:rPr>
          <w:lang w:val="en-AU"/>
        </w:rPr>
        <w:t xml:space="preserve"> role in shaping acceptable social norms. </w:t>
      </w:r>
      <w:r w:rsidR="00427A2E">
        <w:rPr>
          <w:lang w:val="en-AU"/>
        </w:rPr>
        <w:t>The</w:t>
      </w:r>
      <w:r w:rsidR="00665508">
        <w:rPr>
          <w:lang w:val="en-AU"/>
        </w:rPr>
        <w:t xml:space="preserve"> protections against </w:t>
      </w:r>
      <w:r w:rsidR="00665508">
        <w:t xml:space="preserve">racial hatred </w:t>
      </w:r>
      <w:r w:rsidR="00665508">
        <w:rPr>
          <w:lang w:val="en-AU"/>
        </w:rPr>
        <w:t xml:space="preserve">contained </w:t>
      </w:r>
      <w:r w:rsidR="00665508">
        <w:t xml:space="preserve">in the Part IIA </w:t>
      </w:r>
      <w:r w:rsidR="00665508">
        <w:rPr>
          <w:lang w:val="en-AU"/>
        </w:rPr>
        <w:t>of the</w:t>
      </w:r>
      <w:r w:rsidR="00665508">
        <w:t xml:space="preserve"> </w:t>
      </w:r>
      <w:r w:rsidR="00C4671C" w:rsidRPr="00D355B6">
        <w:t xml:space="preserve">Racial Discrimination Act </w:t>
      </w:r>
      <w:r w:rsidR="00665508">
        <w:rPr>
          <w:lang w:val="en-AU"/>
        </w:rPr>
        <w:t xml:space="preserve">are </w:t>
      </w:r>
      <w:r w:rsidR="00036739">
        <w:rPr>
          <w:lang w:val="en-AU"/>
        </w:rPr>
        <w:t xml:space="preserve">a </w:t>
      </w:r>
      <w:r w:rsidR="00194067">
        <w:t xml:space="preserve">particularly </w:t>
      </w:r>
      <w:r w:rsidR="00665508">
        <w:rPr>
          <w:lang w:val="en-AU"/>
        </w:rPr>
        <w:t>important</w:t>
      </w:r>
      <w:r w:rsidR="00E62656">
        <w:rPr>
          <w:lang w:val="en-AU"/>
        </w:rPr>
        <w:t xml:space="preserve"> in this regard</w:t>
      </w:r>
      <w:r w:rsidR="008B49B8">
        <w:rPr>
          <w:lang w:val="en-AU"/>
        </w:rPr>
        <w:t xml:space="preserve">. </w:t>
      </w:r>
    </w:p>
    <w:p w:rsidR="00747F59" w:rsidRPr="00F9392D" w:rsidRDefault="00747F59" w:rsidP="00747F59">
      <w:pPr>
        <w:pStyle w:val="SubmissionNormal"/>
        <w:ind w:hanging="720"/>
      </w:pPr>
      <w:r w:rsidRPr="00747F59">
        <w:t xml:space="preserve">The Campaign Steering Committee values the importance of free speech in a liberal </w:t>
      </w:r>
      <w:r w:rsidRPr="00747F59">
        <w:rPr>
          <w:lang w:val="en-AU"/>
        </w:rPr>
        <w:t>democratic</w:t>
      </w:r>
      <w:r w:rsidRPr="00747F59">
        <w:t xml:space="preserve"> society. However</w:t>
      </w:r>
      <w:r w:rsidR="008B49B8">
        <w:rPr>
          <w:lang w:val="en-AU"/>
        </w:rPr>
        <w:t>,</w:t>
      </w:r>
      <w:r w:rsidRPr="00747F59">
        <w:t xml:space="preserve"> free speech </w:t>
      </w:r>
      <w:r w:rsidR="00B8729D">
        <w:rPr>
          <w:lang w:val="en-AU"/>
        </w:rPr>
        <w:t>must be</w:t>
      </w:r>
      <w:r w:rsidRPr="00747F59">
        <w:t xml:space="preserve"> balanced with other </w:t>
      </w:r>
      <w:r w:rsidR="008B49B8">
        <w:rPr>
          <w:lang w:val="en-AU"/>
        </w:rPr>
        <w:t xml:space="preserve">human </w:t>
      </w:r>
      <w:r w:rsidRPr="00747F59">
        <w:t>rights</w:t>
      </w:r>
      <w:r w:rsidR="00B8729D">
        <w:rPr>
          <w:lang w:val="en-AU"/>
        </w:rPr>
        <w:t xml:space="preserve">. </w:t>
      </w:r>
      <w:r w:rsidR="00F113D6">
        <w:rPr>
          <w:lang w:val="en-AU"/>
        </w:rPr>
        <w:t xml:space="preserve">The right to free speech can be subject </w:t>
      </w:r>
      <w:r w:rsidR="008B49B8">
        <w:rPr>
          <w:lang w:val="en-AU"/>
        </w:rPr>
        <w:t xml:space="preserve">to </w:t>
      </w:r>
      <w:r w:rsidR="00F113D6">
        <w:rPr>
          <w:lang w:val="en-AU"/>
        </w:rPr>
        <w:t xml:space="preserve">limitations reasonably necessary to protect the rights of others. </w:t>
      </w:r>
      <w:r w:rsidR="00B8729D">
        <w:rPr>
          <w:lang w:val="en-AU"/>
        </w:rPr>
        <w:t xml:space="preserve">There </w:t>
      </w:r>
      <w:r w:rsidR="00F113D6">
        <w:rPr>
          <w:lang w:val="en-AU"/>
        </w:rPr>
        <w:t>are</w:t>
      </w:r>
      <w:r w:rsidRPr="00747F59">
        <w:t xml:space="preserve"> many current </w:t>
      </w:r>
      <w:r w:rsidR="00B8729D">
        <w:rPr>
          <w:lang w:val="en-AU"/>
        </w:rPr>
        <w:t xml:space="preserve">legitimate </w:t>
      </w:r>
      <w:r w:rsidRPr="00747F59">
        <w:t xml:space="preserve">limitations on free speech such as defamation laws. </w:t>
      </w:r>
      <w:r w:rsidR="00663384">
        <w:rPr>
          <w:lang w:val="en-AU"/>
        </w:rPr>
        <w:t>See the Austr</w:t>
      </w:r>
      <w:r w:rsidR="008B49B8">
        <w:rPr>
          <w:lang w:val="en-AU"/>
        </w:rPr>
        <w:t>alian Human Rights Commission’s</w:t>
      </w:r>
      <w:r w:rsidR="000D2DEB">
        <w:rPr>
          <w:lang w:val="en-AU"/>
        </w:rPr>
        <w:t xml:space="preserve"> </w:t>
      </w:r>
      <w:r w:rsidR="00663384">
        <w:rPr>
          <w:lang w:val="en-AU"/>
        </w:rPr>
        <w:t xml:space="preserve">submission for </w:t>
      </w:r>
      <w:r w:rsidR="00515948">
        <w:rPr>
          <w:lang w:val="en-AU"/>
        </w:rPr>
        <w:t xml:space="preserve">detailed </w:t>
      </w:r>
      <w:r w:rsidR="00663384">
        <w:rPr>
          <w:lang w:val="en-AU"/>
        </w:rPr>
        <w:t xml:space="preserve">analysis of the balancing of the right to free speech and the prohibition of </w:t>
      </w:r>
      <w:r w:rsidR="00515948">
        <w:rPr>
          <w:lang w:val="en-AU"/>
        </w:rPr>
        <w:t>racial hatred</w:t>
      </w:r>
      <w:r w:rsidR="00663384">
        <w:rPr>
          <w:lang w:val="en-AU"/>
        </w:rPr>
        <w:t>.</w:t>
      </w:r>
      <w:r w:rsidR="00663384">
        <w:rPr>
          <w:rStyle w:val="EndnoteReference"/>
          <w:lang w:val="en-AU"/>
        </w:rPr>
        <w:endnoteReference w:id="2"/>
      </w:r>
    </w:p>
    <w:p w:rsidR="00B34946" w:rsidRDefault="00B34946" w:rsidP="006263B4">
      <w:pPr>
        <w:pStyle w:val="Heading1"/>
        <w:numPr>
          <w:ilvl w:val="0"/>
          <w:numId w:val="16"/>
        </w:numPr>
      </w:pPr>
      <w:bookmarkStart w:id="5" w:name="_Toc162769291"/>
      <w:bookmarkStart w:id="6" w:name="_Toc207761832"/>
      <w:bookmarkStart w:id="7" w:name="_Toc209578268"/>
      <w:bookmarkStart w:id="8" w:name="_Toc386556835"/>
      <w:r w:rsidRPr="001E1304">
        <w:t>Recommendations</w:t>
      </w:r>
      <w:bookmarkEnd w:id="5"/>
      <w:bookmarkEnd w:id="6"/>
      <w:bookmarkEnd w:id="7"/>
      <w:bookmarkEnd w:id="8"/>
    </w:p>
    <w:p w:rsidR="00B86CCD" w:rsidRPr="00B86CCD" w:rsidRDefault="00B86CCD" w:rsidP="00FA2DB8">
      <w:pPr>
        <w:pStyle w:val="SubmissionNormal"/>
        <w:ind w:hanging="720"/>
      </w:pPr>
      <w:r>
        <w:t xml:space="preserve">The Campaign Steering Committee recommends: </w:t>
      </w:r>
    </w:p>
    <w:p w:rsidR="00C87CB8" w:rsidRDefault="00A506D7" w:rsidP="00515948">
      <w:pPr>
        <w:pStyle w:val="SubmissionNormal"/>
        <w:numPr>
          <w:ilvl w:val="0"/>
          <w:numId w:val="0"/>
        </w:numPr>
        <w:spacing w:before="120" w:after="120"/>
        <w:ind w:left="720"/>
        <w:rPr>
          <w:lang w:val="en-AU"/>
        </w:rPr>
      </w:pPr>
      <w:r w:rsidRPr="00383A7F">
        <w:rPr>
          <w:b/>
        </w:rPr>
        <w:t>Recommendation 1:</w:t>
      </w:r>
      <w:r>
        <w:t xml:space="preserve"> </w:t>
      </w:r>
      <w:r w:rsidR="00BA0168" w:rsidRPr="00BA0168">
        <w:rPr>
          <w:lang w:val="en-AU"/>
        </w:rPr>
        <w:t xml:space="preserve">That the </w:t>
      </w:r>
      <w:r w:rsidR="00D3314A">
        <w:rPr>
          <w:lang w:val="en-AU"/>
        </w:rPr>
        <w:t xml:space="preserve">Australian Government </w:t>
      </w:r>
      <w:r w:rsidR="00383A7F">
        <w:rPr>
          <w:lang w:val="en-AU"/>
        </w:rPr>
        <w:t xml:space="preserve">does not proceed with introducing the Freedom of Speech (Repeal of S. </w:t>
      </w:r>
      <w:proofErr w:type="gramStart"/>
      <w:r w:rsidR="00383A7F">
        <w:rPr>
          <w:lang w:val="en-AU"/>
        </w:rPr>
        <w:t xml:space="preserve">18C) Bill 2014 </w:t>
      </w:r>
      <w:r w:rsidR="00515948">
        <w:rPr>
          <w:lang w:val="en-AU"/>
        </w:rPr>
        <w:t xml:space="preserve">(Cth) </w:t>
      </w:r>
      <w:r w:rsidR="00B87D8A">
        <w:rPr>
          <w:lang w:val="en-AU"/>
        </w:rPr>
        <w:t>in</w:t>
      </w:r>
      <w:r w:rsidR="00383A7F">
        <w:rPr>
          <w:lang w:val="en-AU"/>
        </w:rPr>
        <w:t>to parliament.</w:t>
      </w:r>
      <w:proofErr w:type="gramEnd"/>
      <w:r w:rsidR="00383A7F">
        <w:rPr>
          <w:lang w:val="en-AU"/>
        </w:rPr>
        <w:t xml:space="preserve"> </w:t>
      </w:r>
    </w:p>
    <w:p w:rsidR="003506A4" w:rsidRDefault="00383A7F" w:rsidP="00515948">
      <w:pPr>
        <w:pStyle w:val="SubmissionNormal"/>
        <w:numPr>
          <w:ilvl w:val="0"/>
          <w:numId w:val="0"/>
        </w:numPr>
        <w:spacing w:before="120" w:after="120"/>
        <w:ind w:left="720"/>
        <w:rPr>
          <w:lang w:val="en-AU"/>
        </w:rPr>
      </w:pPr>
      <w:r w:rsidRPr="00383A7F">
        <w:rPr>
          <w:b/>
          <w:lang w:val="en-AU"/>
        </w:rPr>
        <w:t>Recommendation 2:</w:t>
      </w:r>
      <w:r>
        <w:rPr>
          <w:lang w:val="en-AU"/>
        </w:rPr>
        <w:t xml:space="preserve"> </w:t>
      </w:r>
      <w:r w:rsidR="00AB061C" w:rsidRPr="00AB061C">
        <w:rPr>
          <w:lang w:val="en-AU"/>
        </w:rPr>
        <w:t xml:space="preserve">That prior to introducing an amendment to Part IIA of the </w:t>
      </w:r>
      <w:r w:rsidR="00AB061C" w:rsidRPr="00D355B6">
        <w:rPr>
          <w:i/>
          <w:lang w:val="en-AU"/>
        </w:rPr>
        <w:t>Racial Discrimination Act 1975</w:t>
      </w:r>
      <w:r w:rsidR="00AB061C">
        <w:rPr>
          <w:lang w:val="en-AU"/>
        </w:rPr>
        <w:t xml:space="preserve"> (Cth)</w:t>
      </w:r>
      <w:r w:rsidR="00AB061C" w:rsidRPr="00AB061C">
        <w:rPr>
          <w:lang w:val="en-AU"/>
        </w:rPr>
        <w:t xml:space="preserve">, the Australian Government, utilising the existing evidence base, assess the impacts the proposed changes could </w:t>
      </w:r>
      <w:r w:rsidR="00AB061C" w:rsidRPr="00AB061C">
        <w:rPr>
          <w:lang w:val="en-AU"/>
        </w:rPr>
        <w:lastRenderedPageBreak/>
        <w:t xml:space="preserve">have to the physical and mental health of Aboriginal and Torres Strait Islander people and that this assessment </w:t>
      </w:r>
      <w:r w:rsidR="00AB061C">
        <w:rPr>
          <w:lang w:val="en-AU"/>
        </w:rPr>
        <w:t>be made publicly available</w:t>
      </w:r>
      <w:r w:rsidR="00796AAC">
        <w:rPr>
          <w:lang w:val="en-AU"/>
        </w:rPr>
        <w:t xml:space="preserve">. </w:t>
      </w:r>
    </w:p>
    <w:p w:rsidR="00AC0B88" w:rsidRPr="00F55236" w:rsidRDefault="00AC0B88" w:rsidP="00F32A50">
      <w:pPr>
        <w:pStyle w:val="Heading1"/>
        <w:numPr>
          <w:ilvl w:val="0"/>
          <w:numId w:val="16"/>
        </w:numPr>
        <w:tabs>
          <w:tab w:val="clear" w:pos="851"/>
        </w:tabs>
      </w:pPr>
      <w:bookmarkStart w:id="9" w:name="_Toc386556836"/>
      <w:r>
        <w:rPr>
          <w:lang w:val="en-AU"/>
        </w:rPr>
        <w:t>Racism as a key determinant of health</w:t>
      </w:r>
      <w:bookmarkEnd w:id="9"/>
      <w:r>
        <w:rPr>
          <w:lang w:val="en-AU"/>
        </w:rPr>
        <w:t xml:space="preserve"> </w:t>
      </w:r>
    </w:p>
    <w:p w:rsidR="00AC0B88" w:rsidRPr="004F6DE1" w:rsidRDefault="00AC0B88" w:rsidP="00AC0B88">
      <w:pPr>
        <w:pStyle w:val="SubmissionNormal"/>
        <w:tabs>
          <w:tab w:val="clear" w:pos="360"/>
        </w:tabs>
        <w:ind w:hanging="720"/>
        <w:rPr>
          <w:rFonts w:cs="Arial"/>
        </w:rPr>
      </w:pPr>
      <w:r>
        <w:rPr>
          <w:rFonts w:cs="Arial"/>
          <w:lang w:val="en-AU"/>
        </w:rPr>
        <w:t xml:space="preserve">Evidence demonstrates that Aboriginal and Torres Strait Islander people experience </w:t>
      </w:r>
      <w:r w:rsidR="00A3204B">
        <w:rPr>
          <w:rFonts w:cs="Arial"/>
          <w:lang w:val="en-AU"/>
        </w:rPr>
        <w:t>significant</w:t>
      </w:r>
      <w:r>
        <w:rPr>
          <w:rFonts w:cs="Arial"/>
          <w:lang w:val="en-AU"/>
        </w:rPr>
        <w:t xml:space="preserve"> levels of racism and racial discrimination and that these experiences have negative physical and mental</w:t>
      </w:r>
      <w:r w:rsidRPr="005D2BBF">
        <w:rPr>
          <w:rFonts w:cs="Arial"/>
        </w:rPr>
        <w:t xml:space="preserve"> health impacts</w:t>
      </w:r>
      <w:r>
        <w:rPr>
          <w:rFonts w:cs="Arial"/>
        </w:rPr>
        <w:t>.</w:t>
      </w:r>
      <w:r>
        <w:rPr>
          <w:rFonts w:cs="Arial"/>
          <w:lang w:val="en-AU"/>
        </w:rPr>
        <w:t xml:space="preserve"> </w:t>
      </w:r>
    </w:p>
    <w:p w:rsidR="00AC0B88" w:rsidRDefault="00AC0B88" w:rsidP="00F32A50">
      <w:pPr>
        <w:pStyle w:val="Heading3"/>
        <w:numPr>
          <w:ilvl w:val="2"/>
          <w:numId w:val="20"/>
        </w:numPr>
        <w:tabs>
          <w:tab w:val="clear" w:pos="851"/>
        </w:tabs>
        <w:rPr>
          <w:lang w:val="en-AU"/>
        </w:rPr>
      </w:pPr>
      <w:bookmarkStart w:id="10" w:name="_Toc386556837"/>
      <w:r>
        <w:rPr>
          <w:lang w:val="en-AU"/>
        </w:rPr>
        <w:t>Experiences of racism</w:t>
      </w:r>
      <w:bookmarkEnd w:id="10"/>
    </w:p>
    <w:p w:rsidR="00AC0B88" w:rsidRPr="00CE5A7D" w:rsidRDefault="00AC0B88" w:rsidP="00F32A50">
      <w:pPr>
        <w:pStyle w:val="Heading4"/>
        <w:tabs>
          <w:tab w:val="clear" w:pos="851"/>
        </w:tabs>
      </w:pPr>
      <w:bookmarkStart w:id="11" w:name="_Toc386556838"/>
      <w:r>
        <w:rPr>
          <w:lang w:val="en-AU"/>
        </w:rPr>
        <w:t>Interpersonal racism</w:t>
      </w:r>
      <w:bookmarkEnd w:id="11"/>
    </w:p>
    <w:p w:rsidR="00AC0B88" w:rsidRPr="00286CF2" w:rsidRDefault="00AC0B88" w:rsidP="00AC0B88">
      <w:pPr>
        <w:pStyle w:val="SubmissionNormal"/>
        <w:tabs>
          <w:tab w:val="clear" w:pos="360"/>
        </w:tabs>
        <w:ind w:hanging="720"/>
        <w:rPr>
          <w:rFonts w:cs="Arial"/>
        </w:rPr>
      </w:pPr>
      <w:r>
        <w:rPr>
          <w:rFonts w:cs="Arial"/>
          <w:lang w:val="en-AU"/>
        </w:rPr>
        <w:t xml:space="preserve">A significant proportion of Australians continue to experience racism and discrimination. </w:t>
      </w:r>
      <w:r w:rsidRPr="00286CF2">
        <w:rPr>
          <w:lang w:val="en-AU" w:eastAsia="en-AU"/>
        </w:rPr>
        <w:t>In 2013, 19 per cent of Australians surveyed said they had experienced discrimination because of their skin colour or background.</w:t>
      </w:r>
      <w:r w:rsidRPr="00286CF2">
        <w:rPr>
          <w:sz w:val="20"/>
          <w:vertAlign w:val="superscript"/>
          <w:lang w:val="en-AU" w:eastAsia="en-AU"/>
        </w:rPr>
        <w:endnoteReference w:id="3"/>
      </w:r>
      <w:r>
        <w:rPr>
          <w:lang w:val="en-AU" w:eastAsia="en-AU"/>
        </w:rPr>
        <w:t xml:space="preserve"> </w:t>
      </w:r>
      <w:r w:rsidRPr="008C217C">
        <w:rPr>
          <w:lang w:val="en-AU" w:eastAsia="en-AU"/>
        </w:rPr>
        <w:t xml:space="preserve">Around one in five Australians </w:t>
      </w:r>
      <w:proofErr w:type="gramStart"/>
      <w:r w:rsidRPr="008C217C">
        <w:rPr>
          <w:lang w:val="en-AU" w:eastAsia="en-AU"/>
        </w:rPr>
        <w:t>say</w:t>
      </w:r>
      <w:proofErr w:type="gramEnd"/>
      <w:r w:rsidRPr="008C217C">
        <w:rPr>
          <w:lang w:val="en-AU" w:eastAsia="en-AU"/>
        </w:rPr>
        <w:t xml:space="preserve"> they have experienced race-hate talk, such as verbal abuse, racial slurs or name-calling.</w:t>
      </w:r>
      <w:r w:rsidRPr="008C217C">
        <w:rPr>
          <w:sz w:val="20"/>
          <w:vertAlign w:val="superscript"/>
          <w:lang w:val="en-AU" w:eastAsia="en-AU"/>
        </w:rPr>
        <w:endnoteReference w:id="4"/>
      </w:r>
      <w:r>
        <w:rPr>
          <w:lang w:val="en-AU" w:eastAsia="en-AU"/>
        </w:rPr>
        <w:t xml:space="preserve"> </w:t>
      </w:r>
      <w:r w:rsidRPr="008C217C">
        <w:rPr>
          <w:lang w:val="en-AU" w:eastAsia="en-AU"/>
        </w:rPr>
        <w:t xml:space="preserve">Around one in ten Australians </w:t>
      </w:r>
      <w:proofErr w:type="gramStart"/>
      <w:r w:rsidRPr="008C217C">
        <w:rPr>
          <w:lang w:val="en-AU" w:eastAsia="en-AU"/>
        </w:rPr>
        <w:t>say</w:t>
      </w:r>
      <w:proofErr w:type="gramEnd"/>
      <w:r w:rsidRPr="008C217C">
        <w:rPr>
          <w:lang w:val="en-AU" w:eastAsia="en-AU"/>
        </w:rPr>
        <w:t xml:space="preserve"> they have experienced race-based exclusion in the workplace or at social events.</w:t>
      </w:r>
      <w:r w:rsidRPr="008C217C">
        <w:rPr>
          <w:sz w:val="20"/>
          <w:vertAlign w:val="superscript"/>
          <w:lang w:val="en-AU" w:eastAsia="en-AU"/>
        </w:rPr>
        <w:endnoteReference w:id="5"/>
      </w:r>
      <w:r>
        <w:rPr>
          <w:lang w:val="en-AU" w:eastAsia="en-AU"/>
        </w:rPr>
        <w:t xml:space="preserve"> </w:t>
      </w:r>
      <w:r w:rsidRPr="008C217C">
        <w:rPr>
          <w:lang w:val="en-AU" w:eastAsia="en-AU"/>
        </w:rPr>
        <w:t xml:space="preserve">More than one in 20 Australians </w:t>
      </w:r>
      <w:proofErr w:type="gramStart"/>
      <w:r w:rsidRPr="008C217C">
        <w:rPr>
          <w:lang w:val="en-AU" w:eastAsia="en-AU"/>
        </w:rPr>
        <w:t>say</w:t>
      </w:r>
      <w:proofErr w:type="gramEnd"/>
      <w:r w:rsidRPr="008C217C">
        <w:rPr>
          <w:lang w:val="en-AU" w:eastAsia="en-AU"/>
        </w:rPr>
        <w:t xml:space="preserve"> they have been physically attacked because of their race.</w:t>
      </w:r>
      <w:r w:rsidRPr="008C217C">
        <w:rPr>
          <w:sz w:val="20"/>
          <w:vertAlign w:val="superscript"/>
          <w:lang w:val="en-AU" w:eastAsia="en-AU"/>
        </w:rPr>
        <w:endnoteReference w:id="6"/>
      </w:r>
    </w:p>
    <w:p w:rsidR="00826511" w:rsidRPr="00826511" w:rsidRDefault="00826511" w:rsidP="00AC0B88">
      <w:pPr>
        <w:pStyle w:val="SubmissionNormal"/>
        <w:tabs>
          <w:tab w:val="clear" w:pos="360"/>
        </w:tabs>
        <w:ind w:hanging="720"/>
        <w:rPr>
          <w:rFonts w:cs="Arial"/>
        </w:rPr>
      </w:pPr>
      <w:r>
        <w:rPr>
          <w:lang w:val="en-AU"/>
        </w:rPr>
        <w:t>Across a number of</w:t>
      </w:r>
      <w:r w:rsidR="00A3204B">
        <w:rPr>
          <w:lang w:val="en-AU"/>
        </w:rPr>
        <w:t xml:space="preserve"> studies </w:t>
      </w:r>
      <w:r>
        <w:rPr>
          <w:lang w:val="en-AU"/>
        </w:rPr>
        <w:t>the prevalence rates of racism experienced by Aboriginal and Torres Strait Islander people varies. However, e</w:t>
      </w:r>
      <w:r w:rsidR="00AC0B88">
        <w:rPr>
          <w:lang w:val="en-AU"/>
        </w:rPr>
        <w:t xml:space="preserve">vidence </w:t>
      </w:r>
      <w:r>
        <w:rPr>
          <w:lang w:val="en-AU"/>
        </w:rPr>
        <w:t xml:space="preserve">clearly </w:t>
      </w:r>
      <w:r w:rsidR="00AC0B88">
        <w:rPr>
          <w:lang w:val="en-AU"/>
        </w:rPr>
        <w:t>suggests that Aboriginal and Torres Islander people are particularly vulnerable to experiences of racism and discrimination.</w:t>
      </w:r>
    </w:p>
    <w:p w:rsidR="00AC0B88" w:rsidRPr="00E86F44" w:rsidRDefault="00AC0B88" w:rsidP="00AC0B88">
      <w:pPr>
        <w:pStyle w:val="SubmissionNormal"/>
        <w:tabs>
          <w:tab w:val="clear" w:pos="360"/>
        </w:tabs>
        <w:ind w:hanging="720"/>
        <w:rPr>
          <w:rFonts w:cs="Arial"/>
        </w:rPr>
      </w:pPr>
      <w:r>
        <w:rPr>
          <w:lang w:val="en-AU"/>
        </w:rPr>
        <w:t>In the</w:t>
      </w:r>
      <w:r w:rsidRPr="005D2BBF">
        <w:t xml:space="preserve"> </w:t>
      </w:r>
      <w:r w:rsidRPr="00302762">
        <w:rPr>
          <w:i/>
        </w:rPr>
        <w:t>National Aboriginal and Torres Strait Islander Social Survey</w:t>
      </w:r>
      <w:r>
        <w:rPr>
          <w:i/>
          <w:lang w:val="en-AU"/>
        </w:rPr>
        <w:t>, 2008</w:t>
      </w:r>
      <w:r w:rsidR="005B1FC7">
        <w:rPr>
          <w:i/>
          <w:lang w:val="en-AU"/>
        </w:rPr>
        <w:t xml:space="preserve"> </w:t>
      </w:r>
      <w:r w:rsidRPr="008C217C">
        <w:rPr>
          <w:rStyle w:val="EndnoteReference"/>
          <w:lang w:val="en-AU"/>
        </w:rPr>
        <w:endnoteReference w:id="7"/>
      </w:r>
      <w:r w:rsidRPr="008C217C">
        <w:t xml:space="preserve"> </w:t>
      </w:r>
      <w:r w:rsidRPr="005D2BBF">
        <w:t>Aboriginal and Torres Strait Islander peoples aged 15 years and over were asked whether they felt they had experienced racism</w:t>
      </w:r>
      <w:r w:rsidRPr="005D2BBF">
        <w:rPr>
          <w:rStyle w:val="EndnoteReference"/>
        </w:rPr>
        <w:endnoteReference w:id="8"/>
      </w:r>
      <w:r w:rsidRPr="005D2BBF">
        <w:t xml:space="preserve"> (in the 12 months prior to interview</w:t>
      </w:r>
      <w:r>
        <w:rPr>
          <w:lang w:val="en-AU"/>
        </w:rPr>
        <w:t>)</w:t>
      </w:r>
      <w:r w:rsidRPr="005D2BBF">
        <w:t>. Twenty seven per cent of respondents reported having experienced discrimination.</w:t>
      </w:r>
      <w:r w:rsidRPr="005D2BBF">
        <w:rPr>
          <w:rStyle w:val="EndnoteReference"/>
        </w:rPr>
        <w:endnoteReference w:id="9"/>
      </w:r>
      <w:r w:rsidRPr="005D2BBF">
        <w:t xml:space="preserve"> Rates of discrimination did not vary across characteristics in the population: including income, educational attainment and so forth.</w:t>
      </w:r>
      <w:r w:rsidRPr="005D2BBF">
        <w:rPr>
          <w:rStyle w:val="EndnoteReference"/>
        </w:rPr>
        <w:endnoteReference w:id="10"/>
      </w:r>
      <w:r w:rsidRPr="005D2BBF">
        <w:t xml:space="preserve"> </w:t>
      </w:r>
    </w:p>
    <w:p w:rsidR="00AC0B88" w:rsidRPr="00F92F56" w:rsidRDefault="00AC0B88" w:rsidP="00AC0B88">
      <w:pPr>
        <w:pStyle w:val="SubmissionNormal"/>
        <w:tabs>
          <w:tab w:val="clear" w:pos="360"/>
        </w:tabs>
        <w:ind w:hanging="720"/>
      </w:pPr>
      <w:r>
        <w:rPr>
          <w:lang w:val="en-AU"/>
        </w:rPr>
        <w:t>I</w:t>
      </w:r>
      <w:r>
        <w:t xml:space="preserve">n the </w:t>
      </w:r>
      <w:r w:rsidRPr="004B326B">
        <w:rPr>
          <w:i/>
        </w:rPr>
        <w:t>2012 Reconciliation Barometer</w:t>
      </w:r>
      <w:r>
        <w:rPr>
          <w:lang w:val="en-AU"/>
        </w:rPr>
        <w:t>,</w:t>
      </w:r>
      <w:r>
        <w:t xml:space="preserve"> 70 per cent </w:t>
      </w:r>
      <w:r>
        <w:rPr>
          <w:lang w:val="en-AU"/>
        </w:rPr>
        <w:t xml:space="preserve">of non-Indigenous participants </w:t>
      </w:r>
      <w:r>
        <w:t>acknowledge</w:t>
      </w:r>
      <w:r>
        <w:rPr>
          <w:lang w:val="en-AU"/>
        </w:rPr>
        <w:t>d</w:t>
      </w:r>
      <w:r>
        <w:t xml:space="preserve"> that the level of prejudice Australians hold towards Aboriginal and Torres Strait Islander people is very high or fairly high.</w:t>
      </w:r>
      <w:r>
        <w:rPr>
          <w:rStyle w:val="EndnoteReference"/>
          <w:rFonts w:cs="Arial"/>
          <w:lang w:val="en-AU"/>
        </w:rPr>
        <w:endnoteReference w:id="11"/>
      </w:r>
      <w:r>
        <w:t xml:space="preserve"> </w:t>
      </w:r>
    </w:p>
    <w:p w:rsidR="00AC0B88" w:rsidRPr="00731271" w:rsidRDefault="00D4026D" w:rsidP="00AC0B88">
      <w:pPr>
        <w:pStyle w:val="SubmissionNormal"/>
        <w:tabs>
          <w:tab w:val="clear" w:pos="360"/>
        </w:tabs>
        <w:ind w:hanging="720"/>
      </w:pPr>
      <w:r>
        <w:rPr>
          <w:lang w:val="en-AU"/>
        </w:rPr>
        <w:t xml:space="preserve">Recent </w:t>
      </w:r>
      <w:r w:rsidR="00AC0B88">
        <w:rPr>
          <w:lang w:val="en-AU"/>
        </w:rPr>
        <w:t xml:space="preserve">prevalence </w:t>
      </w:r>
      <w:r w:rsidR="00AC0B88">
        <w:t xml:space="preserve">data is </w:t>
      </w:r>
      <w:r w:rsidR="00AC0B88" w:rsidRPr="00F02682">
        <w:rPr>
          <w:lang w:val="en-AU"/>
        </w:rPr>
        <w:t xml:space="preserve">provided by </w:t>
      </w:r>
      <w:r w:rsidR="00AC0B88">
        <w:t>the Localities Embracing and Accepting Diversity (LEAD)</w:t>
      </w:r>
      <w:r w:rsidR="00AC0B88">
        <w:rPr>
          <w:lang w:val="en-AU"/>
        </w:rPr>
        <w:t xml:space="preserve"> </w:t>
      </w:r>
      <w:r w:rsidR="00AC0B88" w:rsidRPr="00560E4D">
        <w:t>Experiences</w:t>
      </w:r>
      <w:r w:rsidR="00AC0B88">
        <w:rPr>
          <w:rFonts w:cs="Arial"/>
          <w:lang w:val="en-AU"/>
        </w:rPr>
        <w:t xml:space="preserve"> of Racism s</w:t>
      </w:r>
      <w:r w:rsidR="00AC0B88" w:rsidRPr="00560E4D">
        <w:rPr>
          <w:rFonts w:cs="Arial"/>
          <w:lang w:val="en-AU"/>
        </w:rPr>
        <w:t>urvey</w:t>
      </w:r>
      <w:r w:rsidR="00AC0B88" w:rsidRPr="00F02682">
        <w:rPr>
          <w:rFonts w:cs="Arial"/>
          <w:lang w:val="en-AU"/>
        </w:rPr>
        <w:t xml:space="preserve"> </w:t>
      </w:r>
      <w:r w:rsidR="00AC0B88" w:rsidRPr="00F02682">
        <w:t>funded</w:t>
      </w:r>
      <w:r w:rsidR="00AC0B88" w:rsidRPr="00F02682">
        <w:rPr>
          <w:rFonts w:cs="Arial"/>
          <w:lang w:val="en-AU"/>
        </w:rPr>
        <w:t xml:space="preserve"> by </w:t>
      </w:r>
      <w:r w:rsidR="00AC0B88" w:rsidRPr="00F10BCC">
        <w:rPr>
          <w:rFonts w:cs="Arial"/>
          <w:lang w:val="en-AU"/>
        </w:rPr>
        <w:t xml:space="preserve">Campaign Steering </w:t>
      </w:r>
      <w:r w:rsidR="00AC0B88" w:rsidRPr="002E5E08">
        <w:t>Committee</w:t>
      </w:r>
      <w:r w:rsidR="00AC0B88" w:rsidRPr="00F02682">
        <w:rPr>
          <w:rFonts w:cs="Arial"/>
          <w:lang w:val="en-AU"/>
        </w:rPr>
        <w:t xml:space="preserve"> member the </w:t>
      </w:r>
      <w:r w:rsidR="00AC0B88">
        <w:t>Lowitja</w:t>
      </w:r>
      <w:r w:rsidR="00AC0B88">
        <w:rPr>
          <w:lang w:val="en-AU"/>
        </w:rPr>
        <w:t xml:space="preserve"> </w:t>
      </w:r>
      <w:r w:rsidR="00AC0B88">
        <w:t xml:space="preserve">Institute. </w:t>
      </w:r>
      <w:r w:rsidR="00AC0B88">
        <w:rPr>
          <w:lang w:val="en-AU"/>
        </w:rPr>
        <w:t>This project surveyed 755 Aboriginal people from four communities across Victoria.</w:t>
      </w:r>
      <w:r w:rsidR="00AC0B88">
        <w:rPr>
          <w:rStyle w:val="EndnoteReference"/>
          <w:lang w:val="en-AU"/>
        </w:rPr>
        <w:endnoteReference w:id="12"/>
      </w:r>
      <w:r w:rsidR="00AC0B88">
        <w:rPr>
          <w:lang w:val="en-AU"/>
        </w:rPr>
        <w:t xml:space="preserve"> This survey found that in the past 12 months:</w:t>
      </w:r>
    </w:p>
    <w:p w:rsidR="00AC0B88" w:rsidRDefault="00AC0B88" w:rsidP="00AC0B88">
      <w:pPr>
        <w:pStyle w:val="ListParagraph"/>
        <w:numPr>
          <w:ilvl w:val="0"/>
          <w:numId w:val="21"/>
        </w:numPr>
        <w:autoSpaceDE w:val="0"/>
        <w:autoSpaceDN w:val="0"/>
        <w:adjustRightInd w:val="0"/>
        <w:spacing w:before="120" w:after="120"/>
        <w:ind w:left="714" w:hanging="357"/>
        <w:contextualSpacing w:val="0"/>
      </w:pPr>
      <w:r>
        <w:t>97 per cent had experienced at least one racist incident</w:t>
      </w:r>
    </w:p>
    <w:p w:rsidR="00AC0B88" w:rsidRDefault="00AC0B88" w:rsidP="00AC0B88">
      <w:pPr>
        <w:pStyle w:val="ListParagraph"/>
        <w:numPr>
          <w:ilvl w:val="0"/>
          <w:numId w:val="21"/>
        </w:numPr>
        <w:autoSpaceDE w:val="0"/>
        <w:autoSpaceDN w:val="0"/>
        <w:adjustRightInd w:val="0"/>
        <w:spacing w:before="120" w:after="120"/>
        <w:ind w:left="714" w:hanging="357"/>
        <w:contextualSpacing w:val="0"/>
      </w:pPr>
      <w:r>
        <w:t>34 per cent had experienced 12 or more racist incidents</w:t>
      </w:r>
    </w:p>
    <w:p w:rsidR="00AC0B88" w:rsidRDefault="00AC0B88" w:rsidP="00AC0B88">
      <w:pPr>
        <w:pStyle w:val="ListParagraph"/>
        <w:numPr>
          <w:ilvl w:val="0"/>
          <w:numId w:val="21"/>
        </w:numPr>
        <w:autoSpaceDE w:val="0"/>
        <w:autoSpaceDN w:val="0"/>
        <w:adjustRightInd w:val="0"/>
        <w:spacing w:before="120" w:after="120"/>
        <w:ind w:left="714" w:hanging="357"/>
        <w:contextualSpacing w:val="0"/>
      </w:pPr>
      <w:r>
        <w:t xml:space="preserve">The average across the sample </w:t>
      </w:r>
      <w:r w:rsidR="00826511">
        <w:t>had</w:t>
      </w:r>
      <w:r>
        <w:t xml:space="preserve"> experienc</w:t>
      </w:r>
      <w:r w:rsidR="00826511">
        <w:t>ed</w:t>
      </w:r>
      <w:r>
        <w:t xml:space="preserve"> 13.7 racist incidents</w:t>
      </w:r>
    </w:p>
    <w:p w:rsidR="00AC0B88" w:rsidRDefault="00AC0B88" w:rsidP="00AC0B88">
      <w:pPr>
        <w:pStyle w:val="ListParagraph"/>
        <w:numPr>
          <w:ilvl w:val="0"/>
          <w:numId w:val="21"/>
        </w:numPr>
        <w:autoSpaceDE w:val="0"/>
        <w:autoSpaceDN w:val="0"/>
        <w:adjustRightInd w:val="0"/>
        <w:spacing w:before="120" w:after="120"/>
        <w:ind w:left="714" w:hanging="357"/>
        <w:contextualSpacing w:val="0"/>
      </w:pPr>
      <w:r>
        <w:t>92 per cent had experienced racist names, jokes, teasing or comments that rely on stereotypes</w:t>
      </w:r>
    </w:p>
    <w:p w:rsidR="00AC0B88" w:rsidRDefault="00AC0B88" w:rsidP="00AC0B88">
      <w:pPr>
        <w:pStyle w:val="ListParagraph"/>
        <w:numPr>
          <w:ilvl w:val="0"/>
          <w:numId w:val="21"/>
        </w:numPr>
        <w:autoSpaceDE w:val="0"/>
        <w:autoSpaceDN w:val="0"/>
        <w:adjustRightInd w:val="0"/>
        <w:spacing w:before="120" w:after="120"/>
        <w:ind w:left="714" w:hanging="357"/>
        <w:contextualSpacing w:val="0"/>
      </w:pPr>
      <w:r>
        <w:lastRenderedPageBreak/>
        <w:t>84 per cent had been sworn at or verbally abused</w:t>
      </w:r>
    </w:p>
    <w:p w:rsidR="00AC0B88" w:rsidRDefault="00AC0B88" w:rsidP="00AC0B88">
      <w:pPr>
        <w:pStyle w:val="ListParagraph"/>
        <w:numPr>
          <w:ilvl w:val="0"/>
          <w:numId w:val="21"/>
        </w:numPr>
        <w:autoSpaceDE w:val="0"/>
        <w:autoSpaceDN w:val="0"/>
        <w:adjustRightInd w:val="0"/>
        <w:spacing w:before="120" w:after="120"/>
        <w:ind w:left="714" w:hanging="357"/>
        <w:contextualSpacing w:val="0"/>
      </w:pPr>
      <w:r>
        <w:t>67 per cent had been spat at or had something thrown at them</w:t>
      </w:r>
    </w:p>
    <w:p w:rsidR="00AC0B88" w:rsidRDefault="00AC0B88" w:rsidP="00AC0B88">
      <w:pPr>
        <w:pStyle w:val="ListParagraph"/>
        <w:numPr>
          <w:ilvl w:val="0"/>
          <w:numId w:val="21"/>
        </w:numPr>
        <w:autoSpaceDE w:val="0"/>
        <w:autoSpaceDN w:val="0"/>
        <w:adjustRightInd w:val="0"/>
        <w:spacing w:before="120" w:after="120"/>
        <w:ind w:left="714" w:hanging="357"/>
        <w:contextualSpacing w:val="0"/>
      </w:pPr>
      <w:r>
        <w:t>66 per cent had been told they do not belong in Australia or that they should “get out” or “go home”</w:t>
      </w:r>
    </w:p>
    <w:p w:rsidR="00AC0B88" w:rsidRPr="00AC45FA" w:rsidRDefault="00AC0B88" w:rsidP="00AC0B88">
      <w:pPr>
        <w:pStyle w:val="ListParagraph"/>
        <w:numPr>
          <w:ilvl w:val="0"/>
          <w:numId w:val="21"/>
        </w:numPr>
        <w:autoSpaceDE w:val="0"/>
        <w:autoSpaceDN w:val="0"/>
        <w:adjustRightInd w:val="0"/>
        <w:spacing w:before="120" w:after="120"/>
        <w:ind w:left="714" w:hanging="357"/>
        <w:contextualSpacing w:val="0"/>
      </w:pPr>
      <w:r>
        <w:t>55 per cent reported having property vandalised.</w:t>
      </w:r>
      <w:r>
        <w:rPr>
          <w:rStyle w:val="EndnoteReference"/>
        </w:rPr>
        <w:endnoteReference w:id="13"/>
      </w:r>
    </w:p>
    <w:p w:rsidR="00AC0B88" w:rsidRPr="0079079A" w:rsidRDefault="00AC0B88" w:rsidP="00F32A50">
      <w:pPr>
        <w:pStyle w:val="Heading4"/>
        <w:tabs>
          <w:tab w:val="clear" w:pos="851"/>
        </w:tabs>
      </w:pPr>
      <w:bookmarkStart w:id="12" w:name="_Toc386556839"/>
      <w:r>
        <w:t>Systemic racism</w:t>
      </w:r>
      <w:bookmarkEnd w:id="12"/>
    </w:p>
    <w:p w:rsidR="00AC0B88" w:rsidRPr="00C55E6D" w:rsidRDefault="00AC0B88" w:rsidP="00AC0B88">
      <w:pPr>
        <w:pStyle w:val="SubmissionNormal"/>
        <w:tabs>
          <w:tab w:val="clear" w:pos="360"/>
        </w:tabs>
        <w:ind w:hanging="720"/>
      </w:pPr>
      <w:r>
        <w:rPr>
          <w:lang w:val="en-AU"/>
        </w:rPr>
        <w:t>Systemic racism has an impact on an affected individual’s or group’s ability to participate within society:</w:t>
      </w:r>
    </w:p>
    <w:p w:rsidR="00AC0B88" w:rsidRPr="00CF6022" w:rsidRDefault="00AC0B88" w:rsidP="00AC0B88">
      <w:pPr>
        <w:pStyle w:val="SubmissionNormal"/>
        <w:numPr>
          <w:ilvl w:val="0"/>
          <w:numId w:val="0"/>
        </w:numPr>
        <w:ind w:left="720"/>
        <w:rPr>
          <w:sz w:val="22"/>
          <w:szCs w:val="22"/>
          <w:lang w:val="en-AU" w:eastAsia="en-AU"/>
        </w:rPr>
      </w:pPr>
      <w:r w:rsidRPr="00C55E6D">
        <w:rPr>
          <w:sz w:val="22"/>
          <w:szCs w:val="22"/>
          <w:lang w:val="en-AU" w:eastAsia="en-AU"/>
        </w:rPr>
        <w:t xml:space="preserve">By limiting an </w:t>
      </w:r>
      <w:r>
        <w:rPr>
          <w:sz w:val="22"/>
          <w:szCs w:val="22"/>
          <w:lang w:val="en-AU" w:eastAsia="en-AU"/>
        </w:rPr>
        <w:t>individual’s or group’s access [or equal access]</w:t>
      </w:r>
      <w:r w:rsidRPr="00C55E6D">
        <w:rPr>
          <w:sz w:val="22"/>
          <w:szCs w:val="22"/>
          <w:lang w:val="en-AU" w:eastAsia="en-AU"/>
        </w:rPr>
        <w:t xml:space="preserve"> to housing, healthcare, employment and ed</w:t>
      </w:r>
      <w:r>
        <w:rPr>
          <w:sz w:val="22"/>
          <w:szCs w:val="22"/>
          <w:lang w:val="en-AU" w:eastAsia="en-AU"/>
        </w:rPr>
        <w:t>ucation, [systemic racial discrimination]</w:t>
      </w:r>
      <w:r w:rsidRPr="00C55E6D">
        <w:rPr>
          <w:sz w:val="22"/>
          <w:szCs w:val="22"/>
          <w:lang w:val="en-AU" w:eastAsia="en-AU"/>
        </w:rPr>
        <w:t xml:space="preserve"> is a driver of social exclusion….</w:t>
      </w:r>
      <w:r>
        <w:rPr>
          <w:sz w:val="22"/>
          <w:szCs w:val="22"/>
          <w:lang w:val="en-AU" w:eastAsia="en-AU"/>
        </w:rPr>
        <w:t xml:space="preserve"> </w:t>
      </w:r>
      <w:r w:rsidRPr="00C55E6D">
        <w:rPr>
          <w:sz w:val="22"/>
          <w:szCs w:val="22"/>
          <w:lang w:val="en-AU" w:eastAsia="en-AU"/>
        </w:rPr>
        <w:t>Affected individuals encounter barriers resulting in incomplete citizenship, undervalued rights and a lack of recognition and participation.</w:t>
      </w:r>
      <w:r w:rsidRPr="00C55E6D">
        <w:rPr>
          <w:sz w:val="20"/>
          <w:szCs w:val="20"/>
          <w:vertAlign w:val="superscript"/>
          <w:lang w:val="en-AU" w:eastAsia="en-AU"/>
        </w:rPr>
        <w:endnoteReference w:id="14"/>
      </w:r>
    </w:p>
    <w:p w:rsidR="00AC0B88" w:rsidRPr="00492337" w:rsidRDefault="00AC0B88" w:rsidP="00AC0B88">
      <w:pPr>
        <w:pStyle w:val="SubmissionNormal"/>
        <w:tabs>
          <w:tab w:val="clear" w:pos="360"/>
        </w:tabs>
        <w:ind w:hanging="720"/>
      </w:pPr>
      <w:r>
        <w:rPr>
          <w:lang w:val="en-AU"/>
        </w:rPr>
        <w:t xml:space="preserve">Changing entrenched social norms is a fundamental component of addressing systemic racism. </w:t>
      </w:r>
      <w:r w:rsidR="00492337">
        <w:rPr>
          <w:lang w:val="en-AU"/>
        </w:rPr>
        <w:t xml:space="preserve">As stated in the </w:t>
      </w:r>
      <w:r w:rsidR="00492337" w:rsidRPr="00F419BD">
        <w:rPr>
          <w:i/>
          <w:lang w:val="en-AU"/>
        </w:rPr>
        <w:t>National Inquiry into Racist Violence</w:t>
      </w:r>
      <w:r w:rsidR="00492337">
        <w:rPr>
          <w:lang w:val="en-AU"/>
        </w:rPr>
        <w:t>:</w:t>
      </w:r>
    </w:p>
    <w:p w:rsidR="00492337" w:rsidRDefault="00D16A55" w:rsidP="00492337">
      <w:pPr>
        <w:pStyle w:val="SubmissionNormal"/>
        <w:numPr>
          <w:ilvl w:val="0"/>
          <w:numId w:val="0"/>
        </w:numPr>
        <w:ind w:left="720"/>
        <w:rPr>
          <w:sz w:val="22"/>
          <w:szCs w:val="22"/>
          <w:lang w:val="en-AU"/>
        </w:rPr>
      </w:pPr>
      <w:r w:rsidRPr="00D16A55">
        <w:rPr>
          <w:sz w:val="22"/>
          <w:szCs w:val="22"/>
        </w:rPr>
        <w:t>Legislating against incitement and vilification is an important way of addressing the problem directly and provides a strong statement from national leaders that racist violence and behaviour will not be tolerated in Australian society</w:t>
      </w:r>
      <w:r>
        <w:rPr>
          <w:sz w:val="22"/>
          <w:szCs w:val="22"/>
          <w:lang w:val="en-AU"/>
        </w:rPr>
        <w:t>.</w:t>
      </w:r>
      <w:r>
        <w:rPr>
          <w:rStyle w:val="EndnoteReference"/>
          <w:szCs w:val="22"/>
          <w:lang w:val="en-AU"/>
        </w:rPr>
        <w:endnoteReference w:id="15"/>
      </w:r>
    </w:p>
    <w:p w:rsidR="00F80214" w:rsidRPr="00D16A55" w:rsidRDefault="00F80214" w:rsidP="00F80214">
      <w:pPr>
        <w:pStyle w:val="SubmissionNormal"/>
        <w:numPr>
          <w:ilvl w:val="0"/>
          <w:numId w:val="0"/>
        </w:numPr>
        <w:ind w:left="360" w:hanging="360"/>
        <w:rPr>
          <w:sz w:val="22"/>
          <w:szCs w:val="22"/>
          <w:lang w:val="en-AU"/>
        </w:rPr>
      </w:pPr>
      <w:r>
        <w:rPr>
          <w:sz w:val="22"/>
          <w:szCs w:val="22"/>
          <w:lang w:val="en-AU"/>
        </w:rPr>
        <w:tab/>
      </w:r>
      <w:proofErr w:type="gramStart"/>
      <w:r>
        <w:rPr>
          <w:lang w:val="en-AU"/>
        </w:rPr>
        <w:t>Legislative protections against racial discrimination including protections against racial hated play an important role in shaping acceptable social norms.</w:t>
      </w:r>
      <w:proofErr w:type="gramEnd"/>
    </w:p>
    <w:p w:rsidR="00AC0B88" w:rsidRPr="003A4F3B" w:rsidRDefault="00AC0B88" w:rsidP="00AC0B88">
      <w:pPr>
        <w:pStyle w:val="SubmissionNormal"/>
        <w:tabs>
          <w:tab w:val="clear" w:pos="360"/>
        </w:tabs>
        <w:ind w:hanging="720"/>
      </w:pPr>
      <w:r>
        <w:t>Aboriginal and Torres Strait Islander people experience system</w:t>
      </w:r>
      <w:r w:rsidR="009D5D1C">
        <w:rPr>
          <w:lang w:val="en-AU"/>
        </w:rPr>
        <w:t>ic</w:t>
      </w:r>
      <w:r>
        <w:t xml:space="preserve"> </w:t>
      </w:r>
      <w:r w:rsidRPr="009F5AFE">
        <w:rPr>
          <w:rFonts w:cs="Arial"/>
          <w:lang w:val="en-AU"/>
        </w:rPr>
        <w:t>discrimination</w:t>
      </w:r>
      <w:r>
        <w:rPr>
          <w:rFonts w:cs="Arial"/>
          <w:lang w:val="en-AU"/>
        </w:rPr>
        <w:t xml:space="preserve"> within the health system which contributes to lower levels of access to health care services.</w:t>
      </w:r>
      <w:r>
        <w:rPr>
          <w:rStyle w:val="EndnoteReference"/>
          <w:rFonts w:cs="Arial"/>
          <w:lang w:val="en-AU"/>
        </w:rPr>
        <w:endnoteReference w:id="16"/>
      </w:r>
      <w:r>
        <w:rPr>
          <w:rFonts w:cs="Arial"/>
          <w:lang w:val="en-AU"/>
        </w:rPr>
        <w:t xml:space="preserve"> A member survey conducted by Campaign Steering Committee member the National Congress of Australia’</w:t>
      </w:r>
      <w:r w:rsidR="009D5D1C">
        <w:rPr>
          <w:rFonts w:cs="Arial"/>
          <w:lang w:val="en-AU"/>
        </w:rPr>
        <w:t>s First Peoples found that 39.6 per cent</w:t>
      </w:r>
      <w:r>
        <w:rPr>
          <w:rFonts w:cs="Arial"/>
          <w:lang w:val="en-AU"/>
        </w:rPr>
        <w:t xml:space="preserve"> of respondents indicated that they had experienced racial discrimination when accessing a health service.</w:t>
      </w:r>
      <w:r>
        <w:rPr>
          <w:rStyle w:val="EndnoteReference"/>
          <w:rFonts w:cs="Arial"/>
          <w:lang w:val="en-AU"/>
        </w:rPr>
        <w:endnoteReference w:id="17"/>
      </w:r>
    </w:p>
    <w:p w:rsidR="00AC0B88" w:rsidRPr="00AB65EB" w:rsidRDefault="00AC0B88" w:rsidP="00AC0B88">
      <w:pPr>
        <w:pStyle w:val="SubmissionNormal"/>
        <w:tabs>
          <w:tab w:val="clear" w:pos="360"/>
        </w:tabs>
        <w:ind w:hanging="720"/>
      </w:pPr>
      <w:r>
        <w:rPr>
          <w:rFonts w:cs="Arial"/>
          <w:lang w:val="en-AU"/>
        </w:rPr>
        <w:t>C</w:t>
      </w:r>
      <w:r w:rsidRPr="009F5AFE">
        <w:rPr>
          <w:lang w:val="en-AU"/>
        </w:rPr>
        <w:t xml:space="preserve">ompared to </w:t>
      </w:r>
      <w:r>
        <w:rPr>
          <w:rFonts w:cs="Arial"/>
          <w:lang w:val="en-AU"/>
        </w:rPr>
        <w:t>other Australian</w:t>
      </w:r>
      <w:r w:rsidRPr="009F5AFE">
        <w:rPr>
          <w:rFonts w:cs="Arial"/>
          <w:lang w:val="en-AU"/>
        </w:rPr>
        <w:t xml:space="preserve"> patients with similar characteristics, Aboriginal and Torres Strait Islander patients are about one-third less likely to receive appropriate medical care across all conditions.</w:t>
      </w:r>
      <w:r>
        <w:rPr>
          <w:rStyle w:val="EndnoteReference"/>
          <w:rFonts w:cs="Arial"/>
          <w:lang w:val="en-AU"/>
        </w:rPr>
        <w:endnoteReference w:id="18"/>
      </w:r>
      <w:r w:rsidRPr="009F5AFE">
        <w:rPr>
          <w:rFonts w:cs="Arial"/>
          <w:lang w:val="en-AU"/>
        </w:rPr>
        <w:t xml:space="preserve"> Similar rates exist for accessing care for cancer</w:t>
      </w:r>
      <w:r>
        <w:rPr>
          <w:rStyle w:val="EndnoteReference"/>
          <w:rFonts w:cs="Arial"/>
          <w:lang w:val="en-AU"/>
        </w:rPr>
        <w:endnoteReference w:id="19"/>
      </w:r>
      <w:r w:rsidRPr="009F5AFE">
        <w:rPr>
          <w:rFonts w:cs="Arial"/>
          <w:lang w:val="en-AU"/>
        </w:rPr>
        <w:t xml:space="preserve"> </w:t>
      </w:r>
      <w:r>
        <w:rPr>
          <w:rFonts w:cs="Arial"/>
          <w:lang w:val="en-AU"/>
        </w:rPr>
        <w:t xml:space="preserve">and </w:t>
      </w:r>
      <w:r w:rsidRPr="009F5AFE">
        <w:rPr>
          <w:rFonts w:cs="Arial"/>
          <w:lang w:val="en-AU"/>
        </w:rPr>
        <w:t>coronary procedures</w:t>
      </w:r>
      <w:r>
        <w:rPr>
          <w:rFonts w:cs="Arial"/>
          <w:lang w:val="en-AU"/>
        </w:rPr>
        <w:t>.</w:t>
      </w:r>
      <w:r>
        <w:rPr>
          <w:rStyle w:val="EndnoteReference"/>
          <w:rFonts w:cs="Arial"/>
          <w:lang w:val="en-AU"/>
        </w:rPr>
        <w:endnoteReference w:id="20"/>
      </w:r>
      <w:r w:rsidRPr="009F5AFE">
        <w:rPr>
          <w:rFonts w:cs="Arial"/>
          <w:lang w:val="en-AU"/>
        </w:rPr>
        <w:t xml:space="preserve"> </w:t>
      </w:r>
      <w:r>
        <w:rPr>
          <w:rFonts w:cs="Arial"/>
          <w:lang w:val="en-AU"/>
        </w:rPr>
        <w:t xml:space="preserve">In addition to this </w:t>
      </w:r>
      <w:r w:rsidRPr="009F5AFE">
        <w:rPr>
          <w:rFonts w:cs="Arial"/>
          <w:lang w:val="en-AU"/>
        </w:rPr>
        <w:t>Aboriginal Torres Strait Islander people are three times less likely to receive kidney transplants compared to other Australians with the same level of need.</w:t>
      </w:r>
      <w:r>
        <w:rPr>
          <w:rStyle w:val="EndnoteReference"/>
          <w:rFonts w:cs="Arial"/>
          <w:lang w:val="en-AU"/>
        </w:rPr>
        <w:endnoteReference w:id="21"/>
      </w:r>
    </w:p>
    <w:p w:rsidR="00AC0B88" w:rsidRPr="00A376AB" w:rsidRDefault="00AC0B88" w:rsidP="00AC0B88">
      <w:pPr>
        <w:pStyle w:val="SubmissionNormal"/>
        <w:tabs>
          <w:tab w:val="clear" w:pos="360"/>
        </w:tabs>
        <w:ind w:hanging="720"/>
      </w:pPr>
      <w:r>
        <w:rPr>
          <w:lang w:val="en-AU"/>
        </w:rPr>
        <w:t xml:space="preserve">Evidence also demonstrates systemic racism occurs in </w:t>
      </w:r>
      <w:r w:rsidR="00F419BD">
        <w:rPr>
          <w:lang w:val="en-AU"/>
        </w:rPr>
        <w:t xml:space="preserve">a </w:t>
      </w:r>
      <w:r>
        <w:rPr>
          <w:lang w:val="en-AU"/>
        </w:rPr>
        <w:t>variety of different fields including but not limited to the criminal justice system,</w:t>
      </w:r>
      <w:r>
        <w:rPr>
          <w:rStyle w:val="EndnoteReference"/>
          <w:lang w:val="en-AU"/>
        </w:rPr>
        <w:endnoteReference w:id="22"/>
      </w:r>
      <w:r>
        <w:rPr>
          <w:lang w:val="en-AU"/>
        </w:rPr>
        <w:t xml:space="preserve"> employment</w:t>
      </w:r>
      <w:r>
        <w:rPr>
          <w:rStyle w:val="EndnoteReference"/>
          <w:lang w:val="en-AU"/>
        </w:rPr>
        <w:endnoteReference w:id="23"/>
      </w:r>
      <w:r>
        <w:rPr>
          <w:lang w:val="en-AU"/>
        </w:rPr>
        <w:t xml:space="preserve"> and education.</w:t>
      </w:r>
      <w:r>
        <w:rPr>
          <w:rStyle w:val="EndnoteReference"/>
          <w:lang w:val="en-AU"/>
        </w:rPr>
        <w:endnoteReference w:id="24"/>
      </w:r>
    </w:p>
    <w:p w:rsidR="00AC0B88" w:rsidRPr="00CE5A7D" w:rsidRDefault="00AC0B88" w:rsidP="00AC0B88">
      <w:pPr>
        <w:pStyle w:val="SubmissionNormal"/>
        <w:tabs>
          <w:tab w:val="clear" w:pos="360"/>
          <w:tab w:val="num" w:pos="-72"/>
        </w:tabs>
        <w:ind w:hanging="720"/>
      </w:pPr>
      <w:r>
        <w:rPr>
          <w:rFonts w:cs="Arial"/>
          <w:lang w:val="en-AU"/>
        </w:rPr>
        <w:t xml:space="preserve">Systemic racism </w:t>
      </w:r>
      <w:r w:rsidR="00826511">
        <w:rPr>
          <w:rFonts w:cs="Arial"/>
          <w:lang w:val="en-AU"/>
        </w:rPr>
        <w:t xml:space="preserve">does not necessarily </w:t>
      </w:r>
      <w:r>
        <w:rPr>
          <w:rFonts w:cs="Arial"/>
          <w:lang w:val="en-AU"/>
        </w:rPr>
        <w:t xml:space="preserve">reflect </w:t>
      </w:r>
      <w:r w:rsidR="00826511">
        <w:rPr>
          <w:rFonts w:cs="Arial"/>
          <w:lang w:val="en-AU"/>
        </w:rPr>
        <w:t xml:space="preserve">deliberate ill-will of service providers and others, but rather </w:t>
      </w:r>
      <w:r w:rsidR="00492337">
        <w:rPr>
          <w:rFonts w:cs="Arial"/>
          <w:lang w:val="en-AU"/>
        </w:rPr>
        <w:t>involves</w:t>
      </w:r>
      <w:r w:rsidR="00826511">
        <w:rPr>
          <w:rFonts w:cs="Arial"/>
          <w:lang w:val="en-AU"/>
        </w:rPr>
        <w:t xml:space="preserve"> </w:t>
      </w:r>
      <w:r>
        <w:rPr>
          <w:rFonts w:cs="Arial"/>
          <w:lang w:val="en-AU"/>
        </w:rPr>
        <w:t xml:space="preserve">how systems are designed and implemented. It </w:t>
      </w:r>
      <w:r w:rsidR="00F419BD">
        <w:rPr>
          <w:rFonts w:cs="Arial"/>
          <w:lang w:val="en-AU"/>
        </w:rPr>
        <w:t xml:space="preserve">involves </w:t>
      </w:r>
      <w:r>
        <w:rPr>
          <w:rFonts w:cs="Arial"/>
          <w:lang w:val="en-AU"/>
        </w:rPr>
        <w:t>inappropriate assumptions made about Aboriginal and Torres Strait Islander people that are built into the operation of systems.</w:t>
      </w:r>
      <w:r>
        <w:rPr>
          <w:rStyle w:val="EndnoteReference"/>
          <w:rFonts w:cs="Arial"/>
          <w:lang w:val="en-AU"/>
        </w:rPr>
        <w:endnoteReference w:id="25"/>
      </w:r>
      <w:r>
        <w:rPr>
          <w:rFonts w:cs="Arial"/>
          <w:lang w:val="en-AU"/>
        </w:rPr>
        <w:t xml:space="preserve"> In this regard public messaging and speech play an indirect role i</w:t>
      </w:r>
      <w:r w:rsidR="000E6D0C">
        <w:rPr>
          <w:rFonts w:cs="Arial"/>
          <w:lang w:val="en-AU"/>
        </w:rPr>
        <w:t>n perpetuating systemic racism.</w:t>
      </w:r>
    </w:p>
    <w:p w:rsidR="00AC0B88" w:rsidRDefault="00AC0B88" w:rsidP="00F32A50">
      <w:pPr>
        <w:pStyle w:val="Heading3"/>
        <w:tabs>
          <w:tab w:val="clear" w:pos="851"/>
        </w:tabs>
        <w:rPr>
          <w:lang w:val="en-AU"/>
        </w:rPr>
      </w:pPr>
      <w:bookmarkStart w:id="13" w:name="_Toc386556840"/>
      <w:r>
        <w:rPr>
          <w:lang w:val="en-AU"/>
        </w:rPr>
        <w:lastRenderedPageBreak/>
        <w:t>Negative impacts of racism</w:t>
      </w:r>
      <w:bookmarkEnd w:id="13"/>
    </w:p>
    <w:p w:rsidR="00AC0B88" w:rsidRDefault="00AC0B88" w:rsidP="00F32A50">
      <w:pPr>
        <w:pStyle w:val="Heading4"/>
        <w:tabs>
          <w:tab w:val="clear" w:pos="851"/>
        </w:tabs>
      </w:pPr>
      <w:bookmarkStart w:id="14" w:name="_Toc386556841"/>
      <w:r>
        <w:t xml:space="preserve">Social cohesion </w:t>
      </w:r>
      <w:r>
        <w:rPr>
          <w:lang w:val="en-AU"/>
        </w:rPr>
        <w:t>and social isolation</w:t>
      </w:r>
      <w:bookmarkEnd w:id="14"/>
    </w:p>
    <w:p w:rsidR="00AC0B88" w:rsidRPr="00A344A4" w:rsidRDefault="00AC0B88" w:rsidP="00AC0B88">
      <w:pPr>
        <w:pStyle w:val="SubmissionNormal"/>
        <w:tabs>
          <w:tab w:val="clear" w:pos="360"/>
        </w:tabs>
        <w:ind w:hanging="720"/>
      </w:pPr>
      <w:r>
        <w:rPr>
          <w:lang w:val="en-AU" w:eastAsia="en-AU"/>
        </w:rPr>
        <w:t>Experiences of r</w:t>
      </w:r>
      <w:r w:rsidRPr="00026174">
        <w:rPr>
          <w:lang w:val="en-AU" w:eastAsia="en-AU"/>
        </w:rPr>
        <w:t xml:space="preserve">acism undermine trust </w:t>
      </w:r>
      <w:r>
        <w:rPr>
          <w:lang w:val="en-AU" w:eastAsia="en-AU"/>
        </w:rPr>
        <w:t>which is</w:t>
      </w:r>
      <w:r w:rsidRPr="00026174">
        <w:rPr>
          <w:lang w:val="en-AU" w:eastAsia="en-AU"/>
        </w:rPr>
        <w:t xml:space="preserve"> a key element of social cohesion.</w:t>
      </w:r>
      <w:r w:rsidRPr="00026174">
        <w:rPr>
          <w:sz w:val="20"/>
          <w:vertAlign w:val="superscript"/>
          <w:lang w:val="en-AU" w:eastAsia="en-AU"/>
        </w:rPr>
        <w:endnoteReference w:id="26"/>
      </w:r>
      <w:r w:rsidRPr="00026174">
        <w:rPr>
          <w:lang w:val="en-AU" w:eastAsia="en-AU"/>
        </w:rPr>
        <w:t xml:space="preserve"> </w:t>
      </w:r>
      <w:r w:rsidRPr="00026174">
        <w:rPr>
          <w:rFonts w:eastAsia="MS Mincho"/>
          <w:lang w:val="en-AU" w:eastAsia="en-AU"/>
        </w:rPr>
        <w:t xml:space="preserve">The </w:t>
      </w:r>
      <w:r w:rsidRPr="004B326B">
        <w:rPr>
          <w:i/>
        </w:rPr>
        <w:t>2012 Reconciliation Barometer</w:t>
      </w:r>
      <w:r>
        <w:t xml:space="preserve"> </w:t>
      </w:r>
      <w:r w:rsidRPr="00026174">
        <w:rPr>
          <w:rFonts w:eastAsia="MS Mincho"/>
          <w:lang w:val="en-AU" w:eastAsia="en-AU"/>
        </w:rPr>
        <w:t xml:space="preserve">demonstrated that both Aboriginal and Torres Strait Islander and non-Indigenous Australians believe there is a low level of </w:t>
      </w:r>
      <w:r w:rsidRPr="00026174">
        <w:rPr>
          <w:rFonts w:eastAsia="MS Mincho" w:cs="Arial"/>
          <w:lang w:val="en-AU" w:eastAsia="en-AU"/>
        </w:rPr>
        <w:t>trust between the two groups.</w:t>
      </w:r>
      <w:r w:rsidRPr="00026174">
        <w:rPr>
          <w:rFonts w:eastAsia="MS Mincho" w:cs="Arial"/>
          <w:sz w:val="20"/>
          <w:vertAlign w:val="superscript"/>
          <w:lang w:val="en-AU" w:eastAsia="en-AU"/>
        </w:rPr>
        <w:endnoteReference w:id="27"/>
      </w:r>
      <w:r w:rsidRPr="00026174">
        <w:rPr>
          <w:rFonts w:eastAsia="MS Mincho" w:cs="Arial"/>
          <w:lang w:val="en-AU" w:eastAsia="en-AU"/>
        </w:rPr>
        <w:t xml:space="preserve"> Evidence also indicates that Aboriginal and Torres Strait Islander people who have experienced racism are less likely to trust the police, their local school, their doctor and/or hospital and other people in general.</w:t>
      </w:r>
      <w:r w:rsidRPr="00026174">
        <w:rPr>
          <w:rFonts w:eastAsia="MS Mincho" w:cs="Arial"/>
          <w:sz w:val="20"/>
          <w:vertAlign w:val="superscript"/>
          <w:lang w:val="en-AU" w:eastAsia="en-AU"/>
        </w:rPr>
        <w:endnoteReference w:id="28"/>
      </w:r>
    </w:p>
    <w:p w:rsidR="00AC0B88" w:rsidRPr="00C03B34" w:rsidRDefault="00AC0B88" w:rsidP="00AC0B88">
      <w:pPr>
        <w:pStyle w:val="SubmissionNormal"/>
        <w:tabs>
          <w:tab w:val="clear" w:pos="360"/>
        </w:tabs>
        <w:ind w:hanging="720"/>
      </w:pPr>
      <w:r>
        <w:rPr>
          <w:rFonts w:eastAsia="MS Mincho" w:cs="Arial"/>
          <w:lang w:val="en-AU" w:eastAsia="en-AU"/>
        </w:rPr>
        <w:t xml:space="preserve">Data from the </w:t>
      </w:r>
      <w:r w:rsidRPr="00A344A4">
        <w:rPr>
          <w:rFonts w:eastAsia="MS Mincho" w:cs="Arial"/>
          <w:lang w:val="en-AU" w:eastAsia="en-AU"/>
        </w:rPr>
        <w:t xml:space="preserve">LEAD </w:t>
      </w:r>
      <w:r w:rsidRPr="00A344A4">
        <w:rPr>
          <w:rFonts w:eastAsia="MS Mincho"/>
          <w:lang w:val="en-AU" w:eastAsia="en-AU"/>
        </w:rPr>
        <w:t>Experiences</w:t>
      </w:r>
      <w:r w:rsidRPr="00A344A4">
        <w:rPr>
          <w:rFonts w:eastAsia="MS Mincho" w:cs="Arial"/>
          <w:lang w:val="en-AU" w:eastAsia="en-AU"/>
        </w:rPr>
        <w:t xml:space="preserve"> of Racism survey</w:t>
      </w:r>
      <w:r>
        <w:rPr>
          <w:rFonts w:eastAsia="MS Mincho" w:cs="Arial"/>
          <w:lang w:val="en-AU" w:eastAsia="en-AU"/>
        </w:rPr>
        <w:t xml:space="preserve"> indicates that racism was most commonly experienced in shops (reported by 67 per cent of participants) and in public spaces (59 per cent).</w:t>
      </w:r>
      <w:r>
        <w:rPr>
          <w:rStyle w:val="EndnoteReference"/>
          <w:rFonts w:eastAsia="MS Mincho" w:cs="Arial"/>
          <w:lang w:val="en-AU" w:eastAsia="en-AU"/>
        </w:rPr>
        <w:endnoteReference w:id="29"/>
      </w:r>
      <w:r>
        <w:rPr>
          <w:rFonts w:eastAsia="MS Mincho" w:cs="Arial"/>
          <w:lang w:val="en-AU" w:eastAsia="en-AU"/>
        </w:rPr>
        <w:t xml:space="preserve"> Nearly three-quarters of participants reported that they sometimes, often or very often anticipated experiences of racism. Almost 30 per cent reported avoiding situations in daily life often or very often because of racism. As noted in the survey report this can inhibit Aboriginal and Torres Strait Islander people</w:t>
      </w:r>
      <w:r w:rsidR="007A2C33">
        <w:rPr>
          <w:rFonts w:eastAsia="MS Mincho" w:cs="Arial"/>
          <w:lang w:val="en-AU" w:eastAsia="en-AU"/>
        </w:rPr>
        <w:t>’</w:t>
      </w:r>
      <w:r>
        <w:rPr>
          <w:rFonts w:eastAsia="MS Mincho" w:cs="Arial"/>
          <w:lang w:val="en-AU" w:eastAsia="en-AU"/>
        </w:rPr>
        <w:t>s freedom to participate in public life:</w:t>
      </w:r>
    </w:p>
    <w:p w:rsidR="009D5D1C" w:rsidRDefault="00AC0B88" w:rsidP="009D5D1C">
      <w:pPr>
        <w:autoSpaceDE w:val="0"/>
        <w:autoSpaceDN w:val="0"/>
        <w:adjustRightInd w:val="0"/>
        <w:spacing w:before="120" w:after="120"/>
        <w:ind w:left="720"/>
        <w:rPr>
          <w:rFonts w:eastAsia="Times New Roman" w:cs="Arial"/>
          <w:sz w:val="22"/>
          <w:szCs w:val="22"/>
        </w:rPr>
      </w:pPr>
      <w:r w:rsidRPr="00C03B34">
        <w:rPr>
          <w:rFonts w:eastAsia="Times New Roman" w:cs="Arial"/>
          <w:sz w:val="22"/>
          <w:szCs w:val="22"/>
        </w:rPr>
        <w:t>Experiencing racist incidents in these settings may limit the ability of Aboriginal community members to take part safely in some aspects of community life, including enjoyment of parks and recreation centres, interacting with other community members through sports clubs or events or attending community celebrations or festivals</w:t>
      </w:r>
      <w:r>
        <w:rPr>
          <w:rFonts w:eastAsia="Times New Roman" w:cs="Arial"/>
          <w:sz w:val="22"/>
          <w:szCs w:val="22"/>
        </w:rPr>
        <w:t xml:space="preserve">…. </w:t>
      </w:r>
      <w:r w:rsidRPr="00003794">
        <w:rPr>
          <w:rFonts w:eastAsia="Times New Roman" w:cs="Arial"/>
          <w:sz w:val="22"/>
          <w:szCs w:val="22"/>
        </w:rPr>
        <w:t>This has important</w:t>
      </w:r>
      <w:r>
        <w:rPr>
          <w:rFonts w:eastAsia="Times New Roman" w:cs="Arial"/>
          <w:sz w:val="22"/>
          <w:szCs w:val="22"/>
        </w:rPr>
        <w:t xml:space="preserve"> </w:t>
      </w:r>
      <w:r w:rsidRPr="00003794">
        <w:rPr>
          <w:rFonts w:eastAsia="Times New Roman" w:cs="Arial"/>
          <w:sz w:val="22"/>
          <w:szCs w:val="22"/>
        </w:rPr>
        <w:t>implications for the social connectedness of</w:t>
      </w:r>
      <w:r>
        <w:rPr>
          <w:rFonts w:eastAsia="Times New Roman" w:cs="Arial"/>
          <w:sz w:val="22"/>
          <w:szCs w:val="22"/>
        </w:rPr>
        <w:t xml:space="preserve"> </w:t>
      </w:r>
      <w:r w:rsidRPr="00003794">
        <w:rPr>
          <w:rFonts w:eastAsia="Times New Roman" w:cs="Arial"/>
          <w:sz w:val="22"/>
          <w:szCs w:val="22"/>
        </w:rPr>
        <w:t>Aboriginal Australians, particularly if these</w:t>
      </w:r>
      <w:r>
        <w:rPr>
          <w:rFonts w:eastAsia="Times New Roman" w:cs="Arial"/>
          <w:sz w:val="22"/>
          <w:szCs w:val="22"/>
        </w:rPr>
        <w:t xml:space="preserve"> </w:t>
      </w:r>
      <w:r w:rsidRPr="00003794">
        <w:rPr>
          <w:rFonts w:eastAsia="Times New Roman" w:cs="Arial"/>
          <w:sz w:val="22"/>
          <w:szCs w:val="22"/>
        </w:rPr>
        <w:t>settings are avoided in order to limit personal</w:t>
      </w:r>
      <w:r>
        <w:rPr>
          <w:rFonts w:eastAsia="Times New Roman" w:cs="Arial"/>
          <w:sz w:val="22"/>
          <w:szCs w:val="22"/>
        </w:rPr>
        <w:t xml:space="preserve"> </w:t>
      </w:r>
      <w:r w:rsidRPr="00003794">
        <w:rPr>
          <w:rFonts w:eastAsia="Times New Roman" w:cs="Arial"/>
          <w:sz w:val="22"/>
          <w:szCs w:val="22"/>
        </w:rPr>
        <w:t>exposure to racism.</w:t>
      </w:r>
      <w:r>
        <w:rPr>
          <w:rFonts w:eastAsia="Times New Roman" w:cs="Arial"/>
          <w:sz w:val="22"/>
          <w:szCs w:val="22"/>
        </w:rPr>
        <w:t>.</w:t>
      </w:r>
      <w:r w:rsidRPr="00003794">
        <w:rPr>
          <w:rFonts w:eastAsia="Times New Roman" w:cs="Arial"/>
          <w:sz w:val="22"/>
          <w:szCs w:val="22"/>
        </w:rPr>
        <w:t>.</w:t>
      </w:r>
      <w:r>
        <w:rPr>
          <w:rFonts w:eastAsia="Times New Roman" w:cs="Arial"/>
          <w:sz w:val="22"/>
          <w:szCs w:val="22"/>
        </w:rPr>
        <w:t xml:space="preserve"> </w:t>
      </w:r>
    </w:p>
    <w:p w:rsidR="009D5D1C" w:rsidRDefault="00AC0B88" w:rsidP="009D5D1C">
      <w:pPr>
        <w:autoSpaceDE w:val="0"/>
        <w:autoSpaceDN w:val="0"/>
        <w:adjustRightInd w:val="0"/>
        <w:spacing w:before="120" w:after="120"/>
        <w:ind w:left="720"/>
        <w:rPr>
          <w:rFonts w:eastAsia="Times New Roman" w:cs="Arial"/>
          <w:sz w:val="22"/>
          <w:szCs w:val="22"/>
        </w:rPr>
      </w:pPr>
      <w:r w:rsidRPr="00EF4E2B">
        <w:rPr>
          <w:rFonts w:eastAsia="Times New Roman" w:cs="Arial"/>
          <w:sz w:val="22"/>
          <w:szCs w:val="22"/>
        </w:rPr>
        <w:t>As a high proportion of reported</w:t>
      </w:r>
      <w:r>
        <w:rPr>
          <w:rFonts w:eastAsia="Times New Roman" w:cs="Arial"/>
          <w:sz w:val="22"/>
          <w:szCs w:val="22"/>
        </w:rPr>
        <w:t xml:space="preserve"> </w:t>
      </w:r>
      <w:r w:rsidRPr="00EF4E2B">
        <w:rPr>
          <w:rFonts w:eastAsia="Times New Roman" w:cs="Arial"/>
          <w:sz w:val="22"/>
          <w:szCs w:val="22"/>
        </w:rPr>
        <w:t>experiences occurred in public and community</w:t>
      </w:r>
      <w:r>
        <w:rPr>
          <w:rFonts w:eastAsia="Times New Roman" w:cs="Arial"/>
          <w:sz w:val="22"/>
          <w:szCs w:val="22"/>
        </w:rPr>
        <w:t xml:space="preserve"> </w:t>
      </w:r>
      <w:r w:rsidRPr="00EF4E2B">
        <w:rPr>
          <w:rFonts w:eastAsia="Times New Roman" w:cs="Arial"/>
          <w:sz w:val="22"/>
          <w:szCs w:val="22"/>
        </w:rPr>
        <w:t>spaces, strategies to promote social cohesion and</w:t>
      </w:r>
      <w:r>
        <w:rPr>
          <w:rFonts w:eastAsia="Times New Roman" w:cs="Arial"/>
          <w:sz w:val="22"/>
          <w:szCs w:val="22"/>
        </w:rPr>
        <w:t xml:space="preserve"> </w:t>
      </w:r>
      <w:r w:rsidRPr="00EF4E2B">
        <w:rPr>
          <w:rFonts w:eastAsia="Times New Roman" w:cs="Arial"/>
          <w:sz w:val="22"/>
          <w:szCs w:val="22"/>
        </w:rPr>
        <w:t>support social norms that curtail the expression</w:t>
      </w:r>
      <w:r>
        <w:rPr>
          <w:rFonts w:eastAsia="Times New Roman" w:cs="Arial"/>
          <w:sz w:val="22"/>
          <w:szCs w:val="22"/>
        </w:rPr>
        <w:t xml:space="preserve"> </w:t>
      </w:r>
      <w:r w:rsidRPr="00EF4E2B">
        <w:rPr>
          <w:rFonts w:eastAsia="Times New Roman" w:cs="Arial"/>
          <w:sz w:val="22"/>
          <w:szCs w:val="22"/>
        </w:rPr>
        <w:t>of racism may be effective in reducing Aboriginal</w:t>
      </w:r>
      <w:r>
        <w:rPr>
          <w:rFonts w:eastAsia="Times New Roman" w:cs="Arial"/>
          <w:sz w:val="22"/>
          <w:szCs w:val="22"/>
        </w:rPr>
        <w:t xml:space="preserve"> </w:t>
      </w:r>
      <w:r w:rsidRPr="00EF4E2B">
        <w:rPr>
          <w:rFonts w:eastAsia="Times New Roman" w:cs="Arial"/>
          <w:sz w:val="22"/>
          <w:szCs w:val="22"/>
        </w:rPr>
        <w:t>Australians’ experiences of racism</w:t>
      </w:r>
      <w:r>
        <w:rPr>
          <w:rFonts w:eastAsia="Times New Roman" w:cs="Arial"/>
          <w:sz w:val="22"/>
          <w:szCs w:val="22"/>
        </w:rPr>
        <w:t xml:space="preserve">… </w:t>
      </w:r>
    </w:p>
    <w:p w:rsidR="00AC0B88" w:rsidRPr="00C03B34" w:rsidRDefault="00AC0B88" w:rsidP="009D5D1C">
      <w:pPr>
        <w:autoSpaceDE w:val="0"/>
        <w:autoSpaceDN w:val="0"/>
        <w:adjustRightInd w:val="0"/>
        <w:spacing w:before="120" w:after="120"/>
        <w:ind w:left="720"/>
        <w:rPr>
          <w:rFonts w:cs="Arial"/>
          <w:sz w:val="22"/>
          <w:szCs w:val="22"/>
        </w:rPr>
      </w:pPr>
      <w:r w:rsidRPr="00034CEA">
        <w:rPr>
          <w:rFonts w:eastAsia="Times New Roman" w:cs="Arial"/>
          <w:sz w:val="22"/>
          <w:szCs w:val="22"/>
        </w:rPr>
        <w:t>Racism denies Aboriginal</w:t>
      </w:r>
      <w:r>
        <w:rPr>
          <w:rFonts w:eastAsia="Times New Roman" w:cs="Arial"/>
          <w:sz w:val="22"/>
          <w:szCs w:val="22"/>
        </w:rPr>
        <w:t xml:space="preserve"> </w:t>
      </w:r>
      <w:r w:rsidRPr="00034CEA">
        <w:rPr>
          <w:rFonts w:eastAsia="Times New Roman" w:cs="Arial"/>
          <w:sz w:val="22"/>
          <w:szCs w:val="22"/>
        </w:rPr>
        <w:t>Australians access to rights such as the ability</w:t>
      </w:r>
      <w:r>
        <w:rPr>
          <w:rFonts w:eastAsia="Times New Roman" w:cs="Arial"/>
          <w:sz w:val="22"/>
          <w:szCs w:val="22"/>
        </w:rPr>
        <w:t xml:space="preserve"> </w:t>
      </w:r>
      <w:r w:rsidRPr="00034CEA">
        <w:rPr>
          <w:rFonts w:eastAsia="Times New Roman" w:cs="Arial"/>
          <w:sz w:val="22"/>
          <w:szCs w:val="22"/>
        </w:rPr>
        <w:t>to participate equally and freely in community</w:t>
      </w:r>
      <w:r>
        <w:rPr>
          <w:rFonts w:eastAsia="Times New Roman" w:cs="Arial"/>
          <w:sz w:val="22"/>
          <w:szCs w:val="22"/>
        </w:rPr>
        <w:t xml:space="preserve"> </w:t>
      </w:r>
      <w:r w:rsidRPr="00034CEA">
        <w:rPr>
          <w:rFonts w:eastAsia="Times New Roman" w:cs="Arial"/>
          <w:sz w:val="22"/>
          <w:szCs w:val="22"/>
        </w:rPr>
        <w:t>and public life, equitable service provision and</w:t>
      </w:r>
      <w:r>
        <w:rPr>
          <w:rFonts w:eastAsia="Times New Roman" w:cs="Arial"/>
          <w:sz w:val="22"/>
          <w:szCs w:val="22"/>
        </w:rPr>
        <w:t xml:space="preserve"> </w:t>
      </w:r>
      <w:r w:rsidRPr="00034CEA">
        <w:rPr>
          <w:rFonts w:eastAsia="Times New Roman" w:cs="Arial"/>
          <w:sz w:val="22"/>
          <w:szCs w:val="22"/>
        </w:rPr>
        <w:t>freedom from violence.</w:t>
      </w:r>
      <w:r>
        <w:rPr>
          <w:rStyle w:val="EndnoteReference"/>
          <w:rFonts w:eastAsia="Times New Roman" w:cs="Arial"/>
          <w:szCs w:val="22"/>
        </w:rPr>
        <w:endnoteReference w:id="30"/>
      </w:r>
    </w:p>
    <w:p w:rsidR="00D83F0D" w:rsidRPr="00D83F0D" w:rsidRDefault="00AC0B88" w:rsidP="00AC0B88">
      <w:pPr>
        <w:pStyle w:val="SubmissionNormal"/>
        <w:tabs>
          <w:tab w:val="clear" w:pos="360"/>
        </w:tabs>
        <w:ind w:hanging="720"/>
      </w:pPr>
      <w:r w:rsidRPr="00E94428">
        <w:rPr>
          <w:rFonts w:eastAsia="MS Mincho"/>
          <w:lang w:val="en-AU" w:eastAsia="en-AU"/>
        </w:rPr>
        <w:t xml:space="preserve">Aboriginal and Torres Strait Islander as well as other students from </w:t>
      </w:r>
      <w:r w:rsidR="00F80214">
        <w:rPr>
          <w:rFonts w:eastAsia="MS Mincho"/>
          <w:lang w:val="en-AU" w:eastAsia="en-AU"/>
        </w:rPr>
        <w:t xml:space="preserve">culturally and linguistically diverse </w:t>
      </w:r>
      <w:r w:rsidRPr="00E94428">
        <w:rPr>
          <w:rFonts w:eastAsia="MS Mincho"/>
          <w:lang w:val="en-AU" w:eastAsia="en-AU"/>
        </w:rPr>
        <w:t xml:space="preserve">backgrounds </w:t>
      </w:r>
      <w:r>
        <w:rPr>
          <w:rFonts w:eastAsia="MS Mincho"/>
          <w:lang w:val="en-AU" w:eastAsia="en-AU"/>
        </w:rPr>
        <w:t>have significant experiences of racism at school. Evidence suggests that experiences of racism and bullying are linked to non-attendance at school.</w:t>
      </w:r>
      <w:r>
        <w:rPr>
          <w:rStyle w:val="EndnoteReference"/>
          <w:rFonts w:eastAsia="MS Mincho"/>
          <w:lang w:val="en-AU" w:eastAsia="en-AU"/>
        </w:rPr>
        <w:endnoteReference w:id="31"/>
      </w:r>
      <w:r>
        <w:rPr>
          <w:rFonts w:eastAsia="MS Mincho"/>
          <w:lang w:val="en-AU" w:eastAsia="en-AU"/>
        </w:rPr>
        <w:t xml:space="preserve"> </w:t>
      </w:r>
      <w:r w:rsidR="00D83F0D">
        <w:rPr>
          <w:rFonts w:eastAsia="MS Mincho"/>
          <w:lang w:val="en-AU" w:eastAsia="en-AU"/>
        </w:rPr>
        <w:t>Research also indicates that children whose carers felt they were discriminated against because they were an Aboriginal and/or Torres Strait Islander are significantly less likely to attend preschool than those who do not report discrimination.</w:t>
      </w:r>
      <w:r w:rsidR="00D83F0D">
        <w:rPr>
          <w:rStyle w:val="EndnoteReference"/>
          <w:rFonts w:eastAsia="MS Mincho"/>
          <w:lang w:val="en-AU" w:eastAsia="en-AU"/>
        </w:rPr>
        <w:endnoteReference w:id="32"/>
      </w:r>
    </w:p>
    <w:p w:rsidR="00AC0B88" w:rsidRPr="00E94428" w:rsidRDefault="00CA022F" w:rsidP="00AC0B88">
      <w:pPr>
        <w:pStyle w:val="SubmissionNormal"/>
        <w:tabs>
          <w:tab w:val="clear" w:pos="360"/>
        </w:tabs>
        <w:ind w:hanging="720"/>
      </w:pPr>
      <w:r>
        <w:rPr>
          <w:rFonts w:eastAsia="MS Mincho"/>
          <w:lang w:val="en-AU" w:eastAsia="en-AU"/>
        </w:rPr>
        <w:t>Therefore experiences of racism have</w:t>
      </w:r>
      <w:r w:rsidR="00AC0B88">
        <w:rPr>
          <w:rFonts w:eastAsia="MS Mincho"/>
          <w:lang w:val="en-AU" w:eastAsia="en-AU"/>
        </w:rPr>
        <w:t xml:space="preserve"> negative impacts on educational outcomes, a key social determinant of health and a</w:t>
      </w:r>
      <w:r w:rsidR="007A2C33">
        <w:rPr>
          <w:rFonts w:eastAsia="MS Mincho"/>
          <w:lang w:val="en-AU" w:eastAsia="en-AU"/>
        </w:rPr>
        <w:t>n</w:t>
      </w:r>
      <w:r>
        <w:rPr>
          <w:rFonts w:eastAsia="MS Mincho"/>
          <w:lang w:val="en-AU" w:eastAsia="en-AU"/>
        </w:rPr>
        <w:t xml:space="preserve"> </w:t>
      </w:r>
      <w:r w:rsidR="00AC0B88">
        <w:rPr>
          <w:rFonts w:eastAsia="MS Mincho"/>
          <w:lang w:val="en-AU" w:eastAsia="en-AU"/>
        </w:rPr>
        <w:t>Australian Government priority. It also further demonstrates how racism operates to impede participation</w:t>
      </w:r>
      <w:r w:rsidR="000E6D0C">
        <w:rPr>
          <w:rFonts w:eastAsia="MS Mincho"/>
          <w:lang w:val="en-AU" w:eastAsia="en-AU"/>
        </w:rPr>
        <w:t xml:space="preserve"> in key aspects of public life.</w:t>
      </w:r>
    </w:p>
    <w:p w:rsidR="00AC0B88" w:rsidRPr="005A6BEC" w:rsidRDefault="00AC0B88" w:rsidP="00AC0B88">
      <w:pPr>
        <w:pStyle w:val="SubmissionNormal"/>
        <w:tabs>
          <w:tab w:val="clear" w:pos="360"/>
        </w:tabs>
        <w:ind w:hanging="720"/>
      </w:pPr>
      <w:r>
        <w:rPr>
          <w:rFonts w:eastAsia="MS Mincho" w:cs="Arial"/>
          <w:lang w:val="en-AU" w:eastAsia="en-AU"/>
        </w:rPr>
        <w:t>R</w:t>
      </w:r>
      <w:r w:rsidRPr="00E00304">
        <w:rPr>
          <w:rFonts w:eastAsia="MS Mincho" w:cs="Arial"/>
          <w:lang w:val="en-AU" w:eastAsia="en-AU"/>
        </w:rPr>
        <w:t xml:space="preserve">acism </w:t>
      </w:r>
      <w:r w:rsidR="006D46EF">
        <w:rPr>
          <w:rFonts w:eastAsia="MS Mincho" w:cs="Arial"/>
          <w:lang w:val="en-AU" w:eastAsia="en-AU"/>
        </w:rPr>
        <w:t xml:space="preserve">also </w:t>
      </w:r>
      <w:r w:rsidRPr="00E00304">
        <w:rPr>
          <w:rFonts w:eastAsia="MS Mincho" w:cs="Arial"/>
          <w:lang w:val="en-AU" w:eastAsia="en-AU"/>
        </w:rPr>
        <w:t>has neg</w:t>
      </w:r>
      <w:r>
        <w:rPr>
          <w:rFonts w:eastAsia="MS Mincho" w:cs="Arial"/>
          <w:lang w:val="en-AU" w:eastAsia="en-AU"/>
        </w:rPr>
        <w:t xml:space="preserve">ative impacts on “civic health”; it excludes and marginalises people on the basis of their race. The protections contained in the Racial Discrimination Act including protections against racial hatred are an integral </w:t>
      </w:r>
      <w:r>
        <w:rPr>
          <w:rFonts w:eastAsia="MS Mincho" w:cs="Arial"/>
          <w:lang w:val="en-AU" w:eastAsia="en-AU"/>
        </w:rPr>
        <w:lastRenderedPageBreak/>
        <w:t>component of promoting a healthy civic culture where people are free from racial discrimination.</w:t>
      </w:r>
      <w:r>
        <w:rPr>
          <w:rStyle w:val="EndnoteReference"/>
          <w:rFonts w:eastAsia="MS Mincho" w:cs="Arial"/>
          <w:lang w:val="en-AU" w:eastAsia="en-AU"/>
        </w:rPr>
        <w:endnoteReference w:id="33"/>
      </w:r>
    </w:p>
    <w:p w:rsidR="00AC0B88" w:rsidRPr="00026174" w:rsidRDefault="00AC0B88" w:rsidP="00F32A50">
      <w:pPr>
        <w:pStyle w:val="Heading4"/>
        <w:tabs>
          <w:tab w:val="clear" w:pos="851"/>
        </w:tabs>
      </w:pPr>
      <w:bookmarkStart w:id="15" w:name="_Toc386556842"/>
      <w:r>
        <w:rPr>
          <w:lang w:val="en-AU"/>
        </w:rPr>
        <w:t>Health impacts</w:t>
      </w:r>
      <w:bookmarkEnd w:id="15"/>
    </w:p>
    <w:p w:rsidR="00AC0B88" w:rsidRPr="000621AA" w:rsidRDefault="00AC0B88" w:rsidP="00AC0B88">
      <w:pPr>
        <w:pStyle w:val="SubmissionNormal"/>
        <w:tabs>
          <w:tab w:val="clear" w:pos="360"/>
        </w:tabs>
        <w:ind w:hanging="720"/>
      </w:pPr>
      <w:r>
        <w:t>There is a significant body of evidence that demonstrates the</w:t>
      </w:r>
      <w:r>
        <w:rPr>
          <w:lang w:val="en-AU"/>
        </w:rPr>
        <w:t xml:space="preserve"> clear</w:t>
      </w:r>
      <w:r w:rsidRPr="002F5435">
        <w:t xml:space="preserve"> link</w:t>
      </w:r>
      <w:r>
        <w:t>s</w:t>
      </w:r>
      <w:r w:rsidRPr="002F5435">
        <w:t xml:space="preserve"> between </w:t>
      </w:r>
      <w:r>
        <w:t xml:space="preserve">racial discrimination and </w:t>
      </w:r>
      <w:r w:rsidR="00F419BD">
        <w:rPr>
          <w:lang w:val="en-AU"/>
        </w:rPr>
        <w:t>poorer</w:t>
      </w:r>
      <w:r>
        <w:t xml:space="preserve"> physical and mental</w:t>
      </w:r>
      <w:r w:rsidR="00F419BD">
        <w:rPr>
          <w:lang w:val="en-AU"/>
        </w:rPr>
        <w:t xml:space="preserve"> health outcomes</w:t>
      </w:r>
      <w:r>
        <w:t>.</w:t>
      </w:r>
      <w:r>
        <w:rPr>
          <w:rStyle w:val="EndnoteReference"/>
          <w:rFonts w:cs="Arial"/>
        </w:rPr>
        <w:endnoteReference w:id="34"/>
      </w:r>
      <w:r>
        <w:t xml:space="preserve"> The unacceptable health and life expectancy gap between Aboriginal and Torres Strait Islander people and the broader Australian population has instigated research into the negative health impacts of racism.</w:t>
      </w:r>
      <w:r>
        <w:rPr>
          <w:rStyle w:val="EndnoteReference"/>
        </w:rPr>
        <w:endnoteReference w:id="35"/>
      </w:r>
      <w:r>
        <w:t xml:space="preserve"> As noted in the </w:t>
      </w:r>
      <w:r w:rsidRPr="00387036">
        <w:rPr>
          <w:rFonts w:cs="Arial"/>
          <w:lang w:val="en-AU"/>
        </w:rPr>
        <w:t>LEAD Experiences of Racism survey</w:t>
      </w:r>
      <w:r w:rsidR="00C6075D">
        <w:rPr>
          <w:lang w:val="en-AU"/>
        </w:rPr>
        <w:t xml:space="preserve"> report “</w:t>
      </w:r>
      <w:r>
        <w:rPr>
          <w:lang w:val="en-AU"/>
        </w:rPr>
        <w:t>[c]</w:t>
      </w:r>
      <w:proofErr w:type="spellStart"/>
      <w:r w:rsidR="00160197">
        <w:t>ollectively</w:t>
      </w:r>
      <w:proofErr w:type="spellEnd"/>
      <w:r>
        <w:t>, these studies support</w:t>
      </w:r>
      <w:r w:rsidRPr="00387036">
        <w:rPr>
          <w:lang w:val="en-AU"/>
        </w:rPr>
        <w:t xml:space="preserve"> </w:t>
      </w:r>
      <w:r>
        <w:t>the correlation between experiencing racism</w:t>
      </w:r>
      <w:r w:rsidRPr="00387036">
        <w:rPr>
          <w:lang w:val="en-AU"/>
        </w:rPr>
        <w:t xml:space="preserve"> </w:t>
      </w:r>
      <w:r>
        <w:t>and poorer mental and physical health outcomes</w:t>
      </w:r>
      <w:r w:rsidRPr="00387036">
        <w:rPr>
          <w:lang w:val="en-AU"/>
        </w:rPr>
        <w:t xml:space="preserve"> </w:t>
      </w:r>
      <w:r>
        <w:t>for Aboriginal</w:t>
      </w:r>
      <w:r>
        <w:rPr>
          <w:lang w:val="en-AU"/>
        </w:rPr>
        <w:t xml:space="preserve"> [and Torres Strait Islander]</w:t>
      </w:r>
      <w:r>
        <w:t xml:space="preserve"> Australians</w:t>
      </w:r>
      <w:r w:rsidR="00C6075D">
        <w:rPr>
          <w:lang w:val="en-AU"/>
        </w:rPr>
        <w:t>”</w:t>
      </w:r>
      <w:r>
        <w:rPr>
          <w:lang w:val="en-AU"/>
        </w:rPr>
        <w:t>.</w:t>
      </w:r>
      <w:r>
        <w:rPr>
          <w:rStyle w:val="EndnoteReference"/>
          <w:lang w:val="en-AU"/>
        </w:rPr>
        <w:endnoteReference w:id="36"/>
      </w:r>
    </w:p>
    <w:p w:rsidR="00AC0B88" w:rsidRPr="000B1530" w:rsidRDefault="00AC0B88" w:rsidP="00AC0B88">
      <w:pPr>
        <w:pStyle w:val="SubmissionNormal"/>
        <w:tabs>
          <w:tab w:val="clear" w:pos="360"/>
        </w:tabs>
        <w:ind w:hanging="720"/>
      </w:pPr>
      <w:r>
        <w:rPr>
          <w:rFonts w:cs="Arial"/>
        </w:rPr>
        <w:t>Research has shown that</w:t>
      </w:r>
      <w:r>
        <w:rPr>
          <w:rFonts w:cs="Arial"/>
          <w:lang w:val="en-AU"/>
        </w:rPr>
        <w:t xml:space="preserve"> racial discrimination</w:t>
      </w:r>
      <w:r>
        <w:rPr>
          <w:rFonts w:cs="Arial"/>
        </w:rPr>
        <w:t>:</w:t>
      </w:r>
    </w:p>
    <w:p w:rsidR="00AC0B88" w:rsidRPr="00887DDE" w:rsidRDefault="00AC0B88" w:rsidP="00AC0B88">
      <w:pPr>
        <w:pStyle w:val="ListParagraph"/>
        <w:numPr>
          <w:ilvl w:val="0"/>
          <w:numId w:val="21"/>
        </w:numPr>
        <w:autoSpaceDE w:val="0"/>
        <w:autoSpaceDN w:val="0"/>
        <w:adjustRightInd w:val="0"/>
        <w:spacing w:before="120" w:after="120"/>
        <w:ind w:left="714" w:hanging="357"/>
        <w:contextualSpacing w:val="0"/>
        <w:rPr>
          <w:rFonts w:cs="Arial"/>
        </w:rPr>
      </w:pPr>
      <w:r>
        <w:rPr>
          <w:rFonts w:cs="Arial"/>
        </w:rPr>
        <w:t>r</w:t>
      </w:r>
      <w:r w:rsidRPr="00887DDE">
        <w:rPr>
          <w:rFonts w:cs="Arial"/>
        </w:rPr>
        <w:t>estricts access to resources required for good health, such as employment, housing and education, and increases exposure to risks to health such as contact with the criminal justice system</w:t>
      </w:r>
    </w:p>
    <w:p w:rsidR="00AC0B88" w:rsidRDefault="00AC0B88" w:rsidP="00AC0B88">
      <w:pPr>
        <w:pStyle w:val="ListParagraph"/>
        <w:numPr>
          <w:ilvl w:val="0"/>
          <w:numId w:val="21"/>
        </w:numPr>
        <w:autoSpaceDE w:val="0"/>
        <w:autoSpaceDN w:val="0"/>
        <w:adjustRightInd w:val="0"/>
        <w:spacing w:before="120" w:after="120"/>
        <w:ind w:left="714" w:hanging="357"/>
        <w:contextualSpacing w:val="0"/>
        <w:rPr>
          <w:rFonts w:cs="Arial"/>
        </w:rPr>
      </w:pPr>
      <w:r>
        <w:rPr>
          <w:rFonts w:cs="Arial"/>
        </w:rPr>
        <w:t xml:space="preserve">those affected </w:t>
      </w:r>
      <w:r w:rsidRPr="00887DDE">
        <w:rPr>
          <w:rFonts w:cs="Arial"/>
        </w:rPr>
        <w:t>internalise negative stereotypes of their own group, leading to poor self-worth, self</w:t>
      </w:r>
      <w:r>
        <w:rPr>
          <w:rFonts w:cs="Arial"/>
        </w:rPr>
        <w:t>-</w:t>
      </w:r>
      <w:r w:rsidRPr="00887DDE">
        <w:rPr>
          <w:rFonts w:cs="Arial"/>
        </w:rPr>
        <w:t>esteem</w:t>
      </w:r>
      <w:r>
        <w:rPr>
          <w:rFonts w:cs="Arial"/>
        </w:rPr>
        <w:t xml:space="preserve"> </w:t>
      </w:r>
      <w:r w:rsidRPr="00887DDE">
        <w:rPr>
          <w:rFonts w:cs="Arial"/>
        </w:rPr>
        <w:t>and psychological wellbeing</w:t>
      </w:r>
    </w:p>
    <w:p w:rsidR="00AC0B88" w:rsidRDefault="00AC0B88" w:rsidP="00AC0B88">
      <w:pPr>
        <w:pStyle w:val="ListParagraph"/>
        <w:numPr>
          <w:ilvl w:val="0"/>
          <w:numId w:val="21"/>
        </w:numPr>
        <w:autoSpaceDE w:val="0"/>
        <w:autoSpaceDN w:val="0"/>
        <w:adjustRightInd w:val="0"/>
        <w:spacing w:before="120" w:after="120"/>
        <w:ind w:left="714" w:hanging="357"/>
        <w:contextualSpacing w:val="0"/>
        <w:rPr>
          <w:rFonts w:cs="Arial"/>
        </w:rPr>
      </w:pPr>
      <w:r>
        <w:rPr>
          <w:rFonts w:cs="Arial"/>
        </w:rPr>
        <w:t xml:space="preserve">stress, negative </w:t>
      </w:r>
      <w:r w:rsidRPr="00887DDE">
        <w:rPr>
          <w:rFonts w:cs="Arial"/>
        </w:rPr>
        <w:t xml:space="preserve">thoughts </w:t>
      </w:r>
      <w:r>
        <w:rPr>
          <w:rFonts w:cs="Arial"/>
        </w:rPr>
        <w:t xml:space="preserve">and emotions </w:t>
      </w:r>
      <w:r w:rsidRPr="00887DDE">
        <w:rPr>
          <w:rFonts w:cs="Arial"/>
        </w:rPr>
        <w:t>produced may have negative psychological and physiological effects</w:t>
      </w:r>
    </w:p>
    <w:p w:rsidR="00AC0B88" w:rsidRDefault="00AC0B88" w:rsidP="00AC0B88">
      <w:pPr>
        <w:pStyle w:val="ListParagraph"/>
        <w:numPr>
          <w:ilvl w:val="0"/>
          <w:numId w:val="21"/>
        </w:numPr>
        <w:autoSpaceDE w:val="0"/>
        <w:autoSpaceDN w:val="0"/>
        <w:adjustRightInd w:val="0"/>
        <w:spacing w:before="120" w:after="120"/>
        <w:ind w:left="714" w:hanging="357"/>
        <w:contextualSpacing w:val="0"/>
        <w:rPr>
          <w:rFonts w:cs="Arial"/>
        </w:rPr>
      </w:pPr>
      <w:r>
        <w:rPr>
          <w:rFonts w:cs="Arial"/>
        </w:rPr>
        <w:t>i</w:t>
      </w:r>
      <w:r w:rsidRPr="00887DDE">
        <w:rPr>
          <w:rFonts w:cs="Arial"/>
        </w:rPr>
        <w:t>t can result in individuals disen</w:t>
      </w:r>
      <w:r>
        <w:rPr>
          <w:rFonts w:cs="Arial"/>
        </w:rPr>
        <w:t xml:space="preserve">gaging from healthy activities, </w:t>
      </w:r>
      <w:r w:rsidRPr="00887DDE">
        <w:rPr>
          <w:rFonts w:cs="Arial"/>
        </w:rPr>
        <w:t>such as exercise, taking medications and maintaining good</w:t>
      </w:r>
      <w:r>
        <w:rPr>
          <w:rFonts w:cs="Arial"/>
        </w:rPr>
        <w:t xml:space="preserve"> </w:t>
      </w:r>
      <w:r w:rsidRPr="00887DDE">
        <w:rPr>
          <w:rFonts w:cs="Arial"/>
        </w:rPr>
        <w:t>sleep patterns</w:t>
      </w:r>
      <w:r>
        <w:rPr>
          <w:rFonts w:cs="Arial"/>
        </w:rPr>
        <w:t>,</w:t>
      </w:r>
      <w:r w:rsidRPr="00887DDE">
        <w:rPr>
          <w:rFonts w:cs="Arial"/>
        </w:rPr>
        <w:t xml:space="preserve"> as well as attempting to cope by engaging in behaviours that imp</w:t>
      </w:r>
      <w:r>
        <w:rPr>
          <w:rFonts w:cs="Arial"/>
        </w:rPr>
        <w:t xml:space="preserve">act negatively on their health </w:t>
      </w:r>
      <w:r w:rsidRPr="00887DDE">
        <w:rPr>
          <w:rFonts w:cs="Arial"/>
        </w:rPr>
        <w:t>such as</w:t>
      </w:r>
      <w:r>
        <w:rPr>
          <w:rFonts w:cs="Arial"/>
        </w:rPr>
        <w:t xml:space="preserve"> </w:t>
      </w:r>
      <w:r w:rsidRPr="00887DDE">
        <w:rPr>
          <w:rFonts w:cs="Arial"/>
        </w:rPr>
        <w:t>smoking, excess alcohol consumption and drug use</w:t>
      </w:r>
    </w:p>
    <w:p w:rsidR="00AC0B88" w:rsidRPr="00887DDE" w:rsidRDefault="00AC0B88" w:rsidP="00AC0B88">
      <w:pPr>
        <w:pStyle w:val="ListParagraph"/>
        <w:numPr>
          <w:ilvl w:val="0"/>
          <w:numId w:val="21"/>
        </w:numPr>
        <w:autoSpaceDE w:val="0"/>
        <w:autoSpaceDN w:val="0"/>
        <w:adjustRightInd w:val="0"/>
        <w:spacing w:before="120" w:after="120"/>
        <w:ind w:left="714" w:hanging="357"/>
        <w:contextualSpacing w:val="0"/>
        <w:rPr>
          <w:rFonts w:cs="Arial"/>
        </w:rPr>
      </w:pPr>
      <w:proofErr w:type="gramStart"/>
      <w:r>
        <w:rPr>
          <w:rFonts w:cs="Arial"/>
        </w:rPr>
        <w:t>i</w:t>
      </w:r>
      <w:r w:rsidRPr="00887DDE">
        <w:rPr>
          <w:rFonts w:cs="Arial"/>
        </w:rPr>
        <w:t>t</w:t>
      </w:r>
      <w:proofErr w:type="gramEnd"/>
      <w:r w:rsidRPr="00887DDE">
        <w:rPr>
          <w:rFonts w:cs="Arial"/>
        </w:rPr>
        <w:t xml:space="preserve"> can lead to injury through racially motivated assault, resulting in negative physical and mental health outcomes.</w:t>
      </w:r>
      <w:r>
        <w:rPr>
          <w:rStyle w:val="EndnoteReference"/>
          <w:rFonts w:cs="Arial"/>
        </w:rPr>
        <w:endnoteReference w:id="37"/>
      </w:r>
    </w:p>
    <w:p w:rsidR="00AC0B88" w:rsidRPr="004A6823" w:rsidRDefault="00AC0B88" w:rsidP="00AC0B88">
      <w:pPr>
        <w:pStyle w:val="SubmissionNormal"/>
        <w:tabs>
          <w:tab w:val="clear" w:pos="360"/>
        </w:tabs>
        <w:ind w:hanging="720"/>
      </w:pPr>
      <w:r w:rsidRPr="00CE5A7D">
        <w:rPr>
          <w:rFonts w:eastAsia="MS Mincho"/>
          <w:lang w:val="en-AU" w:eastAsia="en-AU"/>
        </w:rPr>
        <w:t>Consistent with the broader literature, racism and discrimination was associated with poorer health outcomes in</w:t>
      </w:r>
      <w:r>
        <w:rPr>
          <w:rFonts w:eastAsia="MS Mincho"/>
          <w:lang w:val="en-AU" w:eastAsia="en-AU"/>
        </w:rPr>
        <w:t xml:space="preserve"> the</w:t>
      </w:r>
      <w:r w:rsidRPr="00CE5A7D">
        <w:rPr>
          <w:rFonts w:eastAsia="MS Mincho"/>
          <w:lang w:val="en-AU" w:eastAsia="en-AU"/>
        </w:rPr>
        <w:t xml:space="preserve"> </w:t>
      </w:r>
      <w:r w:rsidRPr="00302762">
        <w:rPr>
          <w:i/>
        </w:rPr>
        <w:t>National Aboriginal and Torres Strait Islander Social Survey</w:t>
      </w:r>
      <w:r>
        <w:rPr>
          <w:i/>
          <w:lang w:val="en-AU"/>
        </w:rPr>
        <w:t>, 2008</w:t>
      </w:r>
      <w:r w:rsidRPr="00CE5A7D">
        <w:rPr>
          <w:rFonts w:eastAsia="MS Mincho"/>
          <w:lang w:val="en-AU" w:eastAsia="en-AU"/>
        </w:rPr>
        <w:t>. Aboriginal and Torres Strait Islander people who had experienced discrimination were more likely than those who had not experience</w:t>
      </w:r>
      <w:r>
        <w:rPr>
          <w:rFonts w:eastAsia="MS Mincho"/>
          <w:lang w:val="en-AU" w:eastAsia="en-AU"/>
        </w:rPr>
        <w:t xml:space="preserve">d discrimination to report high or </w:t>
      </w:r>
      <w:r w:rsidRPr="00CE5A7D">
        <w:rPr>
          <w:rFonts w:eastAsia="MS Mincho"/>
          <w:lang w:val="en-AU" w:eastAsia="en-AU"/>
        </w:rPr>
        <w:t>very high levels of psychological distress (44</w:t>
      </w:r>
      <w:r>
        <w:rPr>
          <w:rFonts w:eastAsia="MS Mincho"/>
          <w:lang w:val="en-AU" w:eastAsia="en-AU"/>
        </w:rPr>
        <w:t xml:space="preserve"> per cent compared with 26 per cent</w:t>
      </w:r>
      <w:r w:rsidRPr="00CE5A7D">
        <w:rPr>
          <w:rFonts w:eastAsia="MS Mincho"/>
          <w:lang w:val="en-AU" w:eastAsia="en-AU"/>
        </w:rPr>
        <w:t>) and to be in f</w:t>
      </w:r>
      <w:r>
        <w:rPr>
          <w:rFonts w:eastAsia="MS Mincho"/>
          <w:lang w:val="en-AU" w:eastAsia="en-AU"/>
        </w:rPr>
        <w:t>air or poor health (28 per cent compared with 20 per cent</w:t>
      </w:r>
      <w:r w:rsidRPr="00CE5A7D">
        <w:rPr>
          <w:rFonts w:eastAsia="MS Mincho"/>
          <w:lang w:val="en-AU" w:eastAsia="en-AU"/>
        </w:rPr>
        <w:t xml:space="preserve">). They were also more likely </w:t>
      </w:r>
      <w:r>
        <w:rPr>
          <w:rFonts w:eastAsia="MS Mincho"/>
          <w:lang w:val="en-AU" w:eastAsia="en-AU"/>
        </w:rPr>
        <w:t>to engage in binge drinking (42 per cent compared with 35 per cent</w:t>
      </w:r>
      <w:r w:rsidRPr="00CE5A7D">
        <w:rPr>
          <w:rFonts w:eastAsia="MS Mincho"/>
          <w:lang w:val="en-AU" w:eastAsia="en-AU"/>
        </w:rPr>
        <w:t>) and to have recently used illicit substances (28</w:t>
      </w:r>
      <w:r>
        <w:rPr>
          <w:rFonts w:eastAsia="MS Mincho"/>
          <w:lang w:val="en-AU" w:eastAsia="en-AU"/>
        </w:rPr>
        <w:t xml:space="preserve"> per cent compared with 17 per cent</w:t>
      </w:r>
      <w:r w:rsidRPr="00CE5A7D">
        <w:rPr>
          <w:rFonts w:eastAsia="MS Mincho"/>
          <w:lang w:val="en-AU" w:eastAsia="en-AU"/>
        </w:rPr>
        <w:t>).</w:t>
      </w:r>
      <w:r w:rsidRPr="00CE5A7D">
        <w:rPr>
          <w:sz w:val="20"/>
          <w:vertAlign w:val="superscript"/>
          <w:lang w:val="en-AU" w:eastAsia="en-AU"/>
        </w:rPr>
        <w:endnoteReference w:id="38"/>
      </w:r>
    </w:p>
    <w:p w:rsidR="00AC0B88" w:rsidRPr="007D17F3" w:rsidRDefault="00AC0B88" w:rsidP="00AC0B88">
      <w:pPr>
        <w:pStyle w:val="SubmissionNormal"/>
        <w:tabs>
          <w:tab w:val="clear" w:pos="360"/>
        </w:tabs>
        <w:ind w:hanging="720"/>
      </w:pPr>
      <w:r>
        <w:rPr>
          <w:lang w:val="en-AU"/>
        </w:rPr>
        <w:t xml:space="preserve">Racism </w:t>
      </w:r>
      <w:r>
        <w:t xml:space="preserve">is linked to or associated with </w:t>
      </w:r>
      <w:r w:rsidRPr="00E60534">
        <w:t xml:space="preserve">poor self-assessed health status, </w:t>
      </w:r>
      <w:r>
        <w:t xml:space="preserve">anxiety, depression, poor mental health, </w:t>
      </w:r>
      <w:r w:rsidRPr="00E60534">
        <w:t>psychologi</w:t>
      </w:r>
      <w:r>
        <w:t xml:space="preserve">cal distress, </w:t>
      </w:r>
      <w:r w:rsidRPr="00A97C31">
        <w:rPr>
          <w:lang w:val="en-AU"/>
        </w:rPr>
        <w:t>suicide</w:t>
      </w:r>
      <w:r>
        <w:t xml:space="preserve"> risk, diabetes, smoking,</w:t>
      </w:r>
      <w:r w:rsidRPr="00E60534">
        <w:t xml:space="preserve"> alcohol and substance misuse</w:t>
      </w:r>
      <w:r>
        <w:t xml:space="preserve"> and emotional and behavioural difficulties.</w:t>
      </w:r>
      <w:r>
        <w:rPr>
          <w:rStyle w:val="EndnoteReference"/>
        </w:rPr>
        <w:endnoteReference w:id="39"/>
      </w:r>
      <w:r>
        <w:t xml:space="preserve"> </w:t>
      </w:r>
      <w:r>
        <w:rPr>
          <w:lang w:val="en-AU"/>
        </w:rPr>
        <w:t>Consequently</w:t>
      </w:r>
      <w:r>
        <w:t xml:space="preserve"> research indicates that </w:t>
      </w:r>
      <w:r>
        <w:rPr>
          <w:lang w:val="en-AU"/>
        </w:rPr>
        <w:t xml:space="preserve">experiences of </w:t>
      </w:r>
      <w:r>
        <w:t xml:space="preserve">racism </w:t>
      </w:r>
      <w:r>
        <w:rPr>
          <w:lang w:val="en-AU"/>
        </w:rPr>
        <w:t xml:space="preserve">are </w:t>
      </w:r>
      <w:r w:rsidRPr="00A97C31">
        <w:rPr>
          <w:lang w:val="en-AU"/>
        </w:rPr>
        <w:t xml:space="preserve">associated with </w:t>
      </w:r>
      <w:r>
        <w:rPr>
          <w:lang w:val="en-AU"/>
        </w:rPr>
        <w:t xml:space="preserve">both poor health outcomes and </w:t>
      </w:r>
      <w:r w:rsidRPr="00A97C31">
        <w:rPr>
          <w:lang w:val="en-AU"/>
        </w:rPr>
        <w:t>health risk behaviours</w:t>
      </w:r>
      <w:r>
        <w:rPr>
          <w:lang w:val="en-AU"/>
        </w:rPr>
        <w:t>.</w:t>
      </w:r>
    </w:p>
    <w:p w:rsidR="00AC0B88" w:rsidRPr="00F63B16" w:rsidRDefault="00AC0B88" w:rsidP="00AC0B88">
      <w:pPr>
        <w:pStyle w:val="SubmissionNormal"/>
        <w:tabs>
          <w:tab w:val="clear" w:pos="360"/>
        </w:tabs>
        <w:ind w:hanging="720"/>
      </w:pPr>
      <w:r>
        <w:rPr>
          <w:lang w:val="en-AU"/>
        </w:rPr>
        <w:t>The</w:t>
      </w:r>
      <w:r w:rsidRPr="00553008">
        <w:t xml:space="preserve"> </w:t>
      </w:r>
      <w:r w:rsidRPr="00553008">
        <w:rPr>
          <w:rFonts w:cs="Arial"/>
        </w:rPr>
        <w:t>LEAD</w:t>
      </w:r>
      <w:r w:rsidRPr="00553008">
        <w:t xml:space="preserve"> Experiences of Racism survey</w:t>
      </w:r>
      <w:r>
        <w:rPr>
          <w:lang w:val="en-AU"/>
        </w:rPr>
        <w:t xml:space="preserve"> suggests that the volume of racism being experienced can contribute to poorer mental health. In particular it found that:</w:t>
      </w:r>
    </w:p>
    <w:p w:rsidR="00AC0B88" w:rsidRDefault="00AC0B88" w:rsidP="00AC0B88">
      <w:pPr>
        <w:pStyle w:val="ListParagraph"/>
        <w:numPr>
          <w:ilvl w:val="0"/>
          <w:numId w:val="21"/>
        </w:numPr>
        <w:autoSpaceDE w:val="0"/>
        <w:autoSpaceDN w:val="0"/>
        <w:adjustRightInd w:val="0"/>
        <w:spacing w:before="120" w:after="120"/>
        <w:ind w:left="714" w:hanging="357"/>
        <w:contextualSpacing w:val="0"/>
      </w:pPr>
      <w:r>
        <w:lastRenderedPageBreak/>
        <w:t xml:space="preserve">racism at any level was associated with poorer mental health </w:t>
      </w:r>
    </w:p>
    <w:p w:rsidR="00AC0B88" w:rsidRDefault="00AC0B88" w:rsidP="00AC0B88">
      <w:pPr>
        <w:pStyle w:val="ListParagraph"/>
        <w:numPr>
          <w:ilvl w:val="0"/>
          <w:numId w:val="21"/>
        </w:numPr>
        <w:autoSpaceDE w:val="0"/>
        <w:autoSpaceDN w:val="0"/>
        <w:adjustRightInd w:val="0"/>
        <w:spacing w:before="120" w:after="120"/>
        <w:ind w:left="714" w:hanging="357"/>
        <w:contextualSpacing w:val="0"/>
      </w:pPr>
      <w:r>
        <w:t xml:space="preserve">mental health </w:t>
      </w:r>
      <w:r w:rsidRPr="00F63B16">
        <w:rPr>
          <w:rFonts w:cs="Arial"/>
        </w:rPr>
        <w:t>impacts</w:t>
      </w:r>
      <w:r>
        <w:t xml:space="preserve"> were most significant for those who reported more than 11 </w:t>
      </w:r>
      <w:r w:rsidRPr="005B27B3">
        <w:t>racist incident</w:t>
      </w:r>
      <w:r>
        <w:t>s in a year</w:t>
      </w:r>
    </w:p>
    <w:p w:rsidR="00AC0B88" w:rsidRDefault="00AC0B88" w:rsidP="00AC0B88">
      <w:pPr>
        <w:pStyle w:val="ListParagraph"/>
        <w:numPr>
          <w:ilvl w:val="0"/>
          <w:numId w:val="21"/>
        </w:numPr>
        <w:autoSpaceDE w:val="0"/>
        <w:autoSpaceDN w:val="0"/>
        <w:adjustRightInd w:val="0"/>
        <w:spacing w:before="120" w:after="120"/>
        <w:ind w:left="714" w:hanging="357"/>
        <w:contextualSpacing w:val="0"/>
      </w:pPr>
      <w:r>
        <w:t>people who experienced high levels of racism were much more likely to be above the threshold for high or very high psychological distress compared to people who experienced less racism</w:t>
      </w:r>
    </w:p>
    <w:p w:rsidR="00AC0B88" w:rsidRDefault="00AC0B88" w:rsidP="00AC0B88">
      <w:pPr>
        <w:pStyle w:val="ListParagraph"/>
        <w:numPr>
          <w:ilvl w:val="0"/>
          <w:numId w:val="21"/>
        </w:numPr>
        <w:autoSpaceDE w:val="0"/>
        <w:autoSpaceDN w:val="0"/>
        <w:adjustRightInd w:val="0"/>
        <w:spacing w:before="120" w:after="120"/>
        <w:ind w:left="714" w:hanging="357"/>
        <w:contextualSpacing w:val="0"/>
      </w:pPr>
      <w:r>
        <w:t>76 per cent felt that racism has affected the lives of friends and family to a great or moderate extent</w:t>
      </w:r>
    </w:p>
    <w:p w:rsidR="00AC0B88" w:rsidRDefault="00AC0B88" w:rsidP="00AC0B88">
      <w:pPr>
        <w:pStyle w:val="ListParagraph"/>
        <w:numPr>
          <w:ilvl w:val="0"/>
          <w:numId w:val="21"/>
        </w:numPr>
        <w:autoSpaceDE w:val="0"/>
        <w:autoSpaceDN w:val="0"/>
        <w:adjustRightInd w:val="0"/>
        <w:spacing w:before="120" w:after="120"/>
        <w:contextualSpacing w:val="0"/>
      </w:pPr>
      <w:r>
        <w:t xml:space="preserve">62 per cent felt that racism had affected their life to </w:t>
      </w:r>
      <w:r w:rsidRPr="00F63B16">
        <w:t>a great or moderate extent</w:t>
      </w:r>
    </w:p>
    <w:p w:rsidR="00AC0B88" w:rsidRDefault="00AC0B88" w:rsidP="00AC0B88">
      <w:pPr>
        <w:pStyle w:val="ListParagraph"/>
        <w:numPr>
          <w:ilvl w:val="0"/>
          <w:numId w:val="21"/>
        </w:numPr>
        <w:autoSpaceDE w:val="0"/>
        <w:autoSpaceDN w:val="0"/>
        <w:adjustRightInd w:val="0"/>
        <w:spacing w:before="120" w:after="120"/>
        <w:contextualSpacing w:val="0"/>
      </w:pPr>
      <w:proofErr w:type="gramStart"/>
      <w:r>
        <w:t>experiences</w:t>
      </w:r>
      <w:proofErr w:type="gramEnd"/>
      <w:r>
        <w:t xml:space="preserve"> of</w:t>
      </w:r>
      <w:r w:rsidR="00234A07">
        <w:t xml:space="preserve"> social exclusion (see section 3</w:t>
      </w:r>
      <w:r>
        <w:t>(b)(i)) ha</w:t>
      </w:r>
      <w:r w:rsidR="000B2AF1">
        <w:t>ve</w:t>
      </w:r>
      <w:r>
        <w:t xml:space="preserve"> a negative impact on mental health.</w:t>
      </w:r>
      <w:r>
        <w:rPr>
          <w:rStyle w:val="EndnoteReference"/>
        </w:rPr>
        <w:endnoteReference w:id="40"/>
      </w:r>
    </w:p>
    <w:p w:rsidR="007F2A58" w:rsidRPr="00F76E3B" w:rsidRDefault="00D4026D" w:rsidP="00F76E3B">
      <w:pPr>
        <w:pStyle w:val="SubmissionNormal"/>
        <w:tabs>
          <w:tab w:val="clear" w:pos="360"/>
        </w:tabs>
        <w:ind w:hanging="720"/>
      </w:pPr>
      <w:r w:rsidRPr="00F76E3B">
        <w:t xml:space="preserve">The LEAD </w:t>
      </w:r>
      <w:r w:rsidR="00F76E3B" w:rsidRPr="00F76E3B">
        <w:rPr>
          <w:lang w:val="en-AU"/>
        </w:rPr>
        <w:t xml:space="preserve">Experiences of Racism </w:t>
      </w:r>
      <w:r w:rsidR="00F76E3B">
        <w:rPr>
          <w:lang w:val="en-AU"/>
        </w:rPr>
        <w:t xml:space="preserve">survey </w:t>
      </w:r>
      <w:r w:rsidR="00184198" w:rsidRPr="00F76E3B">
        <w:t xml:space="preserve">demonstrates the cumulative effect of experiencing racism. Once </w:t>
      </w:r>
      <w:r w:rsidR="00295687">
        <w:rPr>
          <w:lang w:val="en-AU"/>
        </w:rPr>
        <w:t>someone</w:t>
      </w:r>
      <w:r w:rsidR="00184198" w:rsidRPr="00F76E3B">
        <w:t xml:space="preserve"> reach</w:t>
      </w:r>
      <w:r w:rsidR="00295687">
        <w:rPr>
          <w:lang w:val="en-AU"/>
        </w:rPr>
        <w:t>es</w:t>
      </w:r>
      <w:r w:rsidR="00184198" w:rsidRPr="00F76E3B">
        <w:t xml:space="preserve"> a </w:t>
      </w:r>
      <w:r w:rsidRPr="00F76E3B">
        <w:t xml:space="preserve">threshold </w:t>
      </w:r>
      <w:r w:rsidR="00184198" w:rsidRPr="00F76E3B">
        <w:t xml:space="preserve">of </w:t>
      </w:r>
      <w:r w:rsidR="00F76E3B">
        <w:t xml:space="preserve">one </w:t>
      </w:r>
      <w:r w:rsidR="00184198" w:rsidRPr="00F76E3B">
        <w:t>racist incident per month their mental health signi</w:t>
      </w:r>
      <w:r w:rsidR="00295687">
        <w:t>ficantly declines</w:t>
      </w:r>
      <w:r w:rsidR="00295687">
        <w:rPr>
          <w:lang w:val="en-AU"/>
        </w:rPr>
        <w:t>. Sixty</w:t>
      </w:r>
      <w:r w:rsidR="00F76E3B" w:rsidRPr="00F76E3B">
        <w:t>-five p</w:t>
      </w:r>
      <w:r w:rsidR="00184198" w:rsidRPr="00F76E3B">
        <w:t>e</w:t>
      </w:r>
      <w:r w:rsidR="00F76E3B" w:rsidRPr="00F76E3B">
        <w:t>r</w:t>
      </w:r>
      <w:r w:rsidR="00184198" w:rsidRPr="00F76E3B">
        <w:t xml:space="preserve"> cent of survey participants that had experienced 12 or more racist incidents </w:t>
      </w:r>
      <w:r w:rsidR="00F76E3B" w:rsidRPr="00F76E3B">
        <w:t xml:space="preserve">reported high or very high levels of psychological distress (compared to 50 per cent of </w:t>
      </w:r>
      <w:r w:rsidR="00F76E3B" w:rsidRPr="00A54276">
        <w:t>all</w:t>
      </w:r>
      <w:r w:rsidR="00F76E3B" w:rsidRPr="00F76E3B">
        <w:t xml:space="preserve"> participants).</w:t>
      </w:r>
      <w:r w:rsidR="00F76E3B">
        <w:rPr>
          <w:rStyle w:val="EndnoteReference"/>
          <w:lang w:val="en-AU"/>
        </w:rPr>
        <w:endnoteReference w:id="41"/>
      </w:r>
    </w:p>
    <w:p w:rsidR="00D4026D" w:rsidRPr="005F1EE6" w:rsidRDefault="005F1EE6" w:rsidP="00AC0B88">
      <w:pPr>
        <w:pStyle w:val="SubmissionNormal"/>
        <w:tabs>
          <w:tab w:val="clear" w:pos="360"/>
        </w:tabs>
        <w:ind w:hanging="720"/>
      </w:pPr>
      <w:r w:rsidRPr="005F1EE6">
        <w:rPr>
          <w:lang w:val="en-AU"/>
        </w:rPr>
        <w:t>In addition to the cumulative effect t</w:t>
      </w:r>
      <w:r w:rsidR="00F76E3B" w:rsidRPr="005F1EE6">
        <w:rPr>
          <w:lang w:val="en-AU"/>
        </w:rPr>
        <w:t>he surve</w:t>
      </w:r>
      <w:r w:rsidR="00A7283E" w:rsidRPr="005F1EE6">
        <w:rPr>
          <w:lang w:val="en-AU"/>
        </w:rPr>
        <w:t xml:space="preserve">y also demonstrates that </w:t>
      </w:r>
      <w:r w:rsidRPr="005F1EE6">
        <w:rPr>
          <w:lang w:val="en-AU"/>
        </w:rPr>
        <w:t xml:space="preserve">the type of racism </w:t>
      </w:r>
      <w:r w:rsidR="00295687">
        <w:rPr>
          <w:lang w:val="en-AU"/>
        </w:rPr>
        <w:t xml:space="preserve">experienced also </w:t>
      </w:r>
      <w:r w:rsidRPr="005F1EE6">
        <w:rPr>
          <w:lang w:val="en-AU"/>
        </w:rPr>
        <w:t>has an impact on negative mental health outcomes.</w:t>
      </w:r>
      <w:r w:rsidR="00A7283E" w:rsidRPr="005F1EE6">
        <w:rPr>
          <w:lang w:val="en-AU"/>
        </w:rPr>
        <w:t xml:space="preserve"> </w:t>
      </w:r>
      <w:r w:rsidRPr="005F1EE6">
        <w:rPr>
          <w:lang w:val="en-AU"/>
        </w:rPr>
        <w:t xml:space="preserve">Specifically two </w:t>
      </w:r>
      <w:r w:rsidR="00295687">
        <w:rPr>
          <w:lang w:val="en-AU"/>
        </w:rPr>
        <w:t>types of racism</w:t>
      </w:r>
      <w:r w:rsidR="00D4026D" w:rsidRPr="005F1EE6">
        <w:rPr>
          <w:lang w:val="en-AU"/>
        </w:rPr>
        <w:t xml:space="preserve"> </w:t>
      </w:r>
      <w:r w:rsidRPr="005F1EE6">
        <w:rPr>
          <w:lang w:val="en-AU"/>
        </w:rPr>
        <w:t xml:space="preserve">were most associated with experiencing high or very </w:t>
      </w:r>
      <w:r w:rsidR="00A54276">
        <w:rPr>
          <w:lang w:val="en-AU"/>
        </w:rPr>
        <w:t xml:space="preserve">high </w:t>
      </w:r>
      <w:r w:rsidRPr="005F1EE6">
        <w:rPr>
          <w:lang w:val="en-AU"/>
        </w:rPr>
        <w:t>levels of psychological distress: property vandalism and feelings of being excluded and left out</w:t>
      </w:r>
      <w:r w:rsidR="00D4026D" w:rsidRPr="005F1EE6">
        <w:rPr>
          <w:lang w:val="en-AU"/>
        </w:rPr>
        <w:t>.</w:t>
      </w:r>
      <w:r>
        <w:rPr>
          <w:rStyle w:val="EndnoteReference"/>
          <w:lang w:val="en-AU"/>
        </w:rPr>
        <w:endnoteReference w:id="42"/>
      </w:r>
      <w:r w:rsidR="00D4026D" w:rsidRPr="005F1EE6">
        <w:rPr>
          <w:lang w:val="en-AU"/>
        </w:rPr>
        <w:t xml:space="preserve"> </w:t>
      </w:r>
      <w:r w:rsidR="00761731">
        <w:rPr>
          <w:lang w:val="en-AU"/>
        </w:rPr>
        <w:t>This highlights that</w:t>
      </w:r>
      <w:r w:rsidR="00D4026D" w:rsidRPr="005F1EE6">
        <w:rPr>
          <w:lang w:val="en-AU"/>
        </w:rPr>
        <w:t xml:space="preserve"> </w:t>
      </w:r>
      <w:r w:rsidR="00761731">
        <w:rPr>
          <w:lang w:val="en-AU"/>
        </w:rPr>
        <w:t xml:space="preserve">subtle forms of racism, particularly those that have a socially </w:t>
      </w:r>
      <w:r w:rsidR="001D5F3B">
        <w:rPr>
          <w:lang w:val="en-AU"/>
        </w:rPr>
        <w:t>exclusionary</w:t>
      </w:r>
      <w:r w:rsidR="00761731">
        <w:rPr>
          <w:lang w:val="en-AU"/>
        </w:rPr>
        <w:t xml:space="preserve"> effect can have si</w:t>
      </w:r>
      <w:r w:rsidR="003569C5">
        <w:rPr>
          <w:lang w:val="en-AU"/>
        </w:rPr>
        <w:t>gnificant mental health impact.</w:t>
      </w:r>
    </w:p>
    <w:p w:rsidR="001D5F3B" w:rsidRPr="001D5F3B" w:rsidRDefault="001D5F3B" w:rsidP="001D5F3B">
      <w:pPr>
        <w:pStyle w:val="SubmissionNormal"/>
        <w:tabs>
          <w:tab w:val="clear" w:pos="360"/>
        </w:tabs>
        <w:ind w:hanging="720"/>
        <w:rPr>
          <w:lang w:val="en-AU"/>
        </w:rPr>
      </w:pPr>
      <w:r w:rsidRPr="001D5F3B">
        <w:rPr>
          <w:lang w:val="en-AU"/>
        </w:rPr>
        <w:t xml:space="preserve">Finally </w:t>
      </w:r>
      <w:r w:rsidR="00010F4D">
        <w:rPr>
          <w:lang w:val="en-AU"/>
        </w:rPr>
        <w:t>the survey demonstrates that in</w:t>
      </w:r>
      <w:r w:rsidRPr="001D5F3B">
        <w:rPr>
          <w:lang w:val="en-AU"/>
        </w:rPr>
        <w:t xml:space="preserve"> avoiding situations</w:t>
      </w:r>
      <w:r>
        <w:rPr>
          <w:lang w:val="en-AU"/>
        </w:rPr>
        <w:t xml:space="preserve"> </w:t>
      </w:r>
      <w:r w:rsidRPr="001D5F3B">
        <w:rPr>
          <w:lang w:val="en-AU"/>
        </w:rPr>
        <w:t>because of racism and in worrying</w:t>
      </w:r>
      <w:r>
        <w:rPr>
          <w:lang w:val="en-AU"/>
        </w:rPr>
        <w:t xml:space="preserve"> about the impacts of racism on friends and families indicates that experiences of racism have an “ongoing deleterious effect on people’s lives and wellbeing even after direct exposure to racism has ended”.</w:t>
      </w:r>
      <w:r w:rsidR="00010F4D">
        <w:rPr>
          <w:rStyle w:val="EndnoteReference"/>
          <w:lang w:val="en-AU"/>
        </w:rPr>
        <w:endnoteReference w:id="43"/>
      </w:r>
    </w:p>
    <w:p w:rsidR="00AC0B88" w:rsidRPr="00553008" w:rsidRDefault="00AC0B88" w:rsidP="00AC0B88">
      <w:pPr>
        <w:pStyle w:val="SubmissionNormal"/>
        <w:tabs>
          <w:tab w:val="clear" w:pos="360"/>
        </w:tabs>
        <w:ind w:hanging="720"/>
      </w:pPr>
      <w:r>
        <w:t>The strong association between experiences of racism and negative mental health</w:t>
      </w:r>
      <w:r>
        <w:rPr>
          <w:lang w:val="en-AU"/>
        </w:rPr>
        <w:t xml:space="preserve"> outcomes</w:t>
      </w:r>
      <w:r>
        <w:t xml:space="preserve"> is of particular concern to the </w:t>
      </w:r>
      <w:r w:rsidRPr="00F10BCC">
        <w:rPr>
          <w:lang w:val="en-AU"/>
        </w:rPr>
        <w:t>Campaign Steering Committee</w:t>
      </w:r>
      <w:r>
        <w:t xml:space="preserve">. It has been estimated </w:t>
      </w:r>
      <w:r w:rsidRPr="00621EE3">
        <w:rPr>
          <w:rFonts w:cs="Arial"/>
        </w:rPr>
        <w:t>that</w:t>
      </w:r>
      <w:r>
        <w:t xml:space="preserve"> mental health conditions </w:t>
      </w:r>
      <w:r>
        <w:rPr>
          <w:lang w:val="en-AU"/>
        </w:rPr>
        <w:t>are</w:t>
      </w:r>
      <w:r>
        <w:t xml:space="preserve"> the second leading contributor to the disease burden in Aboriginal and Torres Strait Islander Australians. Cardiovascular disease as the leading contributor accounts for 17 per cent of the burden; mental disorders accounts for 15 per cent.</w:t>
      </w:r>
      <w:r>
        <w:rPr>
          <w:rStyle w:val="EndnoteReference"/>
          <w:lang w:val="en-AU"/>
        </w:rPr>
        <w:endnoteReference w:id="44"/>
      </w:r>
    </w:p>
    <w:p w:rsidR="00383A7F" w:rsidRDefault="00383A7F" w:rsidP="003711BE">
      <w:pPr>
        <w:pStyle w:val="Heading1"/>
        <w:numPr>
          <w:ilvl w:val="0"/>
          <w:numId w:val="16"/>
        </w:numPr>
        <w:rPr>
          <w:lang w:val="en-AU"/>
        </w:rPr>
      </w:pPr>
      <w:bookmarkStart w:id="16" w:name="_Toc386556843"/>
      <w:r>
        <w:rPr>
          <w:lang w:val="en-AU"/>
        </w:rPr>
        <w:t>Part IIA of the Racial Discrimination Act</w:t>
      </w:r>
      <w:bookmarkEnd w:id="16"/>
      <w:r>
        <w:rPr>
          <w:lang w:val="en-AU"/>
        </w:rPr>
        <w:t xml:space="preserve"> </w:t>
      </w:r>
    </w:p>
    <w:p w:rsidR="00D05B13" w:rsidRDefault="00D05B13" w:rsidP="005E593A">
      <w:pPr>
        <w:pStyle w:val="Heading3"/>
        <w:numPr>
          <w:ilvl w:val="2"/>
          <w:numId w:val="32"/>
        </w:numPr>
      </w:pPr>
      <w:bookmarkStart w:id="17" w:name="_Toc386556844"/>
      <w:r w:rsidRPr="005E593A">
        <w:rPr>
          <w:lang w:val="en-AU"/>
        </w:rPr>
        <w:t>Background</w:t>
      </w:r>
      <w:bookmarkEnd w:id="17"/>
      <w:r w:rsidRPr="005E593A">
        <w:rPr>
          <w:lang w:val="en-AU"/>
        </w:rPr>
        <w:t xml:space="preserve"> </w:t>
      </w:r>
    </w:p>
    <w:p w:rsidR="00383A7F" w:rsidRDefault="005C1EBD" w:rsidP="005C1EBD">
      <w:pPr>
        <w:pStyle w:val="SubmissionNormal"/>
        <w:ind w:hanging="720"/>
        <w:rPr>
          <w:lang w:val="en-AU"/>
        </w:rPr>
      </w:pPr>
      <w:r w:rsidRPr="005C1EBD">
        <w:rPr>
          <w:lang w:val="en-AU"/>
        </w:rPr>
        <w:t xml:space="preserve">Australia has obligations to implement protections against racial hatred under the </w:t>
      </w:r>
      <w:r w:rsidRPr="00663384">
        <w:rPr>
          <w:rFonts w:cs="Arial"/>
          <w:i/>
          <w:lang w:val="en-AU"/>
        </w:rPr>
        <w:t>International</w:t>
      </w:r>
      <w:r w:rsidRPr="00663384">
        <w:rPr>
          <w:i/>
          <w:lang w:val="en-AU"/>
        </w:rPr>
        <w:t xml:space="preserve"> Covenant on Civil and Political Rights</w:t>
      </w:r>
      <w:r w:rsidRPr="005C1EBD">
        <w:rPr>
          <w:lang w:val="en-AU"/>
        </w:rPr>
        <w:t xml:space="preserve"> and the </w:t>
      </w:r>
      <w:r w:rsidRPr="00663384">
        <w:rPr>
          <w:i/>
          <w:lang w:val="en-AU"/>
        </w:rPr>
        <w:t>International Convention on the Elimination of All Forms of Racial Discrimination</w:t>
      </w:r>
      <w:r w:rsidRPr="005C1EBD">
        <w:rPr>
          <w:lang w:val="en-AU"/>
        </w:rPr>
        <w:t>.</w:t>
      </w:r>
      <w:r>
        <w:rPr>
          <w:rStyle w:val="EndnoteReference"/>
          <w:lang w:val="en-AU"/>
        </w:rPr>
        <w:endnoteReference w:id="45"/>
      </w:r>
    </w:p>
    <w:p w:rsidR="00D05B13" w:rsidRPr="008F718F" w:rsidRDefault="00D05B13" w:rsidP="000D7464">
      <w:pPr>
        <w:pStyle w:val="SubmissionNormal"/>
        <w:ind w:hanging="720"/>
      </w:pPr>
      <w:r>
        <w:t>Part IIA of</w:t>
      </w:r>
      <w:r w:rsidR="00B8729D">
        <w:rPr>
          <w:lang w:val="en-AU"/>
        </w:rPr>
        <w:t xml:space="preserve"> the</w:t>
      </w:r>
      <w:r>
        <w:t xml:space="preserve"> Racial Discrimination Act </w:t>
      </w:r>
      <w:r w:rsidR="004402D1">
        <w:rPr>
          <w:lang w:val="en-AU"/>
        </w:rPr>
        <w:t>proscribes</w:t>
      </w:r>
      <w:r>
        <w:t xml:space="preserve"> offensive behaviour based on racial </w:t>
      </w:r>
      <w:r w:rsidRPr="000D7464">
        <w:rPr>
          <w:lang w:val="en-AU"/>
        </w:rPr>
        <w:t>hatred</w:t>
      </w:r>
      <w:r w:rsidR="00A54276">
        <w:rPr>
          <w:lang w:val="en-AU"/>
        </w:rPr>
        <w:t>, and</w:t>
      </w:r>
      <w:r>
        <w:t xml:space="preserve"> </w:t>
      </w:r>
      <w:r w:rsidR="000D7464">
        <w:t>w</w:t>
      </w:r>
      <w:r w:rsidR="00C00D07">
        <w:t xml:space="preserve">as introduced in response to </w:t>
      </w:r>
      <w:r w:rsidR="00C00D07">
        <w:rPr>
          <w:lang w:val="en-AU"/>
        </w:rPr>
        <w:t>three major reports in the 1990s:</w:t>
      </w:r>
      <w:r w:rsidR="000D7464">
        <w:t xml:space="preserve"> </w:t>
      </w:r>
      <w:r w:rsidR="00C00D07" w:rsidRPr="000D7464">
        <w:rPr>
          <w:i/>
          <w:lang w:val="en-AU"/>
        </w:rPr>
        <w:t>National Inquiry into Racist Violence</w:t>
      </w:r>
      <w:r w:rsidR="00C00D07">
        <w:rPr>
          <w:lang w:val="en-AU"/>
        </w:rPr>
        <w:t>,</w:t>
      </w:r>
      <w:r w:rsidR="00C00D07" w:rsidRPr="000D7464">
        <w:rPr>
          <w:i/>
          <w:lang w:val="en-AU"/>
        </w:rPr>
        <w:t xml:space="preserve"> </w:t>
      </w:r>
      <w:r w:rsidR="000D7464" w:rsidRPr="000D7464">
        <w:rPr>
          <w:i/>
          <w:lang w:val="en-AU"/>
        </w:rPr>
        <w:t xml:space="preserve">Royal Commission into Aboriginal Deaths in </w:t>
      </w:r>
      <w:r w:rsidR="000D7464" w:rsidRPr="000D7464">
        <w:rPr>
          <w:i/>
          <w:lang w:val="en-AU"/>
        </w:rPr>
        <w:lastRenderedPageBreak/>
        <w:t>Custody</w:t>
      </w:r>
      <w:r w:rsidR="000D7464">
        <w:rPr>
          <w:lang w:val="en-AU"/>
        </w:rPr>
        <w:t xml:space="preserve"> </w:t>
      </w:r>
      <w:r w:rsidR="00C00D07">
        <w:rPr>
          <w:lang w:val="en-AU"/>
        </w:rPr>
        <w:t xml:space="preserve">and </w:t>
      </w:r>
      <w:r w:rsidR="00C00D07" w:rsidRPr="00C00D07">
        <w:rPr>
          <w:i/>
          <w:iCs/>
          <w:lang w:val="en-AU"/>
        </w:rPr>
        <w:t>Multiculturalism and the Law</w:t>
      </w:r>
      <w:r w:rsidR="00C00D07">
        <w:rPr>
          <w:iCs/>
          <w:lang w:val="en-AU"/>
        </w:rPr>
        <w:t xml:space="preserve">. </w:t>
      </w:r>
      <w:r w:rsidR="00CD03ED">
        <w:rPr>
          <w:iCs/>
          <w:lang w:val="en-AU"/>
        </w:rPr>
        <w:t xml:space="preserve">These reports all identified that racial </w:t>
      </w:r>
      <w:r w:rsidR="00865BD2">
        <w:rPr>
          <w:iCs/>
          <w:lang w:val="en-AU"/>
        </w:rPr>
        <w:t xml:space="preserve">hatred </w:t>
      </w:r>
      <w:r w:rsidR="00EE50C7">
        <w:rPr>
          <w:iCs/>
          <w:lang w:val="en-AU"/>
        </w:rPr>
        <w:t>was</w:t>
      </w:r>
      <w:r w:rsidR="00CD03ED">
        <w:rPr>
          <w:iCs/>
          <w:lang w:val="en-AU"/>
        </w:rPr>
        <w:t xml:space="preserve"> </w:t>
      </w:r>
      <w:r w:rsidR="00A54276">
        <w:rPr>
          <w:iCs/>
          <w:lang w:val="en-AU"/>
        </w:rPr>
        <w:t xml:space="preserve">a </w:t>
      </w:r>
      <w:r w:rsidR="00CD03ED">
        <w:rPr>
          <w:iCs/>
          <w:lang w:val="en-AU"/>
        </w:rPr>
        <w:t>significant problem and that suc</w:t>
      </w:r>
      <w:r w:rsidR="003569C5">
        <w:rPr>
          <w:iCs/>
          <w:lang w:val="en-AU"/>
        </w:rPr>
        <w:t>h conduct should be prohibited.</w:t>
      </w:r>
    </w:p>
    <w:p w:rsidR="00663384" w:rsidRPr="00663384" w:rsidRDefault="00663384" w:rsidP="00663384">
      <w:pPr>
        <w:pStyle w:val="SubmissionNormal"/>
        <w:ind w:hanging="720"/>
      </w:pPr>
      <w:r>
        <w:t xml:space="preserve">In </w:t>
      </w:r>
      <w:proofErr w:type="spellStart"/>
      <w:r w:rsidRPr="00663384">
        <w:rPr>
          <w:i/>
        </w:rPr>
        <w:t>Toben</w:t>
      </w:r>
      <w:proofErr w:type="spellEnd"/>
      <w:r w:rsidRPr="00663384">
        <w:rPr>
          <w:i/>
        </w:rPr>
        <w:t xml:space="preserve"> v Jones</w:t>
      </w:r>
      <w:r>
        <w:t xml:space="preserve"> </w:t>
      </w:r>
      <w:proofErr w:type="spellStart"/>
      <w:r>
        <w:t>Allsop</w:t>
      </w:r>
      <w:proofErr w:type="spellEnd"/>
      <w:r>
        <w:t xml:space="preserve"> J considered whether </w:t>
      </w:r>
      <w:r w:rsidRPr="00663384">
        <w:rPr>
          <w:lang w:val="en-AU"/>
        </w:rPr>
        <w:t>Part IIA</w:t>
      </w:r>
      <w:r>
        <w:rPr>
          <w:lang w:val="en-AU"/>
        </w:rPr>
        <w:t xml:space="preserve"> was supported by the external affairs power and Australia’s obligations under </w:t>
      </w:r>
      <w:r w:rsidRPr="00663384">
        <w:rPr>
          <w:i/>
          <w:lang w:val="en-AU"/>
        </w:rPr>
        <w:t>International Convention on the Elimination of All Forms of Racial Discrimination</w:t>
      </w:r>
      <w:r>
        <w:rPr>
          <w:lang w:val="en-AU"/>
        </w:rPr>
        <w:t>. His Honour said:</w:t>
      </w:r>
    </w:p>
    <w:p w:rsidR="00663384" w:rsidRDefault="00663384" w:rsidP="00663384">
      <w:pPr>
        <w:pStyle w:val="SubmissionNormal"/>
        <w:numPr>
          <w:ilvl w:val="0"/>
          <w:numId w:val="0"/>
        </w:numPr>
        <w:ind w:left="720"/>
        <w:rPr>
          <w:sz w:val="22"/>
          <w:szCs w:val="22"/>
          <w:lang w:val="en-AU"/>
        </w:rPr>
      </w:pPr>
      <w:r w:rsidRPr="00663384">
        <w:rPr>
          <w:sz w:val="22"/>
          <w:szCs w:val="22"/>
        </w:rPr>
        <w:t xml:space="preserve">Art 4 is not the only matter in the Convention to which Part IIA can be seen as directed. The context and aim of the Convention were … racial discrimination and its elimination, in </w:t>
      </w:r>
      <w:r w:rsidRPr="00A54276">
        <w:rPr>
          <w:i/>
          <w:sz w:val="22"/>
          <w:szCs w:val="22"/>
        </w:rPr>
        <w:t>all</w:t>
      </w:r>
      <w:r w:rsidRPr="00663384">
        <w:rPr>
          <w:sz w:val="22"/>
          <w:szCs w:val="22"/>
        </w:rPr>
        <w:t xml:space="preserve"> its forms. Sections 18B, 18C and 18D can be seen as intended to assist in the endeavour of eliminating racial discrimination in all its forms, including by dealing with racial hatred.</w:t>
      </w:r>
      <w:r>
        <w:rPr>
          <w:rStyle w:val="EndnoteReference"/>
          <w:szCs w:val="22"/>
        </w:rPr>
        <w:endnoteReference w:id="46"/>
      </w:r>
      <w:r w:rsidRPr="00663384">
        <w:rPr>
          <w:sz w:val="22"/>
          <w:szCs w:val="22"/>
        </w:rPr>
        <w:t xml:space="preserve"> (emphasis in original)</w:t>
      </w:r>
    </w:p>
    <w:p w:rsidR="008F718F" w:rsidRPr="008F718F" w:rsidRDefault="008F718F" w:rsidP="008F718F">
      <w:pPr>
        <w:pStyle w:val="SubmissionNormal"/>
        <w:ind w:hanging="720"/>
        <w:rPr>
          <w:sz w:val="22"/>
          <w:szCs w:val="22"/>
          <w:lang w:val="en-AU"/>
        </w:rPr>
      </w:pPr>
      <w:r w:rsidRPr="00131C31">
        <w:rPr>
          <w:lang w:val="en-AU"/>
        </w:rPr>
        <w:t xml:space="preserve">The </w:t>
      </w:r>
      <w:r w:rsidR="008B49B8">
        <w:rPr>
          <w:lang w:val="en-AU"/>
        </w:rPr>
        <w:t>Australian Human Rights Commission</w:t>
      </w:r>
      <w:r w:rsidRPr="00131C31">
        <w:rPr>
          <w:lang w:val="en-AU"/>
        </w:rPr>
        <w:t xml:space="preserve"> has provided a detailed summary of the background </w:t>
      </w:r>
      <w:r w:rsidR="000D2DEB">
        <w:rPr>
          <w:lang w:val="en-AU"/>
        </w:rPr>
        <w:t>of</w:t>
      </w:r>
      <w:r w:rsidRPr="00131C31">
        <w:rPr>
          <w:lang w:val="en-AU"/>
        </w:rPr>
        <w:t xml:space="preserve"> Part IIA of the Racial Discrimination Act in its submission</w:t>
      </w:r>
      <w:r>
        <w:rPr>
          <w:sz w:val="22"/>
          <w:szCs w:val="22"/>
          <w:lang w:val="en-AU"/>
        </w:rPr>
        <w:t>.</w:t>
      </w:r>
      <w:r>
        <w:rPr>
          <w:rStyle w:val="EndnoteReference"/>
          <w:szCs w:val="22"/>
          <w:lang w:val="en-AU"/>
        </w:rPr>
        <w:endnoteReference w:id="47"/>
      </w:r>
    </w:p>
    <w:p w:rsidR="001A7C89" w:rsidRPr="007A2546" w:rsidRDefault="001A7C89" w:rsidP="001A7C89">
      <w:pPr>
        <w:pStyle w:val="Heading3"/>
      </w:pPr>
      <w:bookmarkStart w:id="18" w:name="_Toc386556845"/>
      <w:r w:rsidRPr="007A2546">
        <w:rPr>
          <w:lang w:val="en-AU"/>
        </w:rPr>
        <w:t>Operation of the provisions</w:t>
      </w:r>
      <w:bookmarkEnd w:id="18"/>
    </w:p>
    <w:p w:rsidR="001A7C89" w:rsidRPr="000415BB" w:rsidRDefault="004402D1" w:rsidP="000415BB">
      <w:pPr>
        <w:pStyle w:val="SubmissionNormal"/>
        <w:ind w:hanging="720"/>
      </w:pPr>
      <w:r>
        <w:rPr>
          <w:iCs/>
          <w:lang w:val="en-AU"/>
        </w:rPr>
        <w:t xml:space="preserve">Section 18C makes it </w:t>
      </w:r>
      <w:r w:rsidRPr="004402D1">
        <w:rPr>
          <w:iCs/>
          <w:lang w:val="en-AU"/>
        </w:rPr>
        <w:t>unlawful for someone to do an act</w:t>
      </w:r>
      <w:r w:rsidR="000415BB">
        <w:rPr>
          <w:iCs/>
          <w:lang w:val="en-AU"/>
        </w:rPr>
        <w:t>, otherwise than in private,</w:t>
      </w:r>
      <w:r w:rsidRPr="004402D1">
        <w:rPr>
          <w:iCs/>
          <w:lang w:val="en-AU"/>
        </w:rPr>
        <w:t xml:space="preserve"> that is reasonably likely to “offend, insult, humiliate or intimidate” someone because of their race or ethnicity.</w:t>
      </w:r>
    </w:p>
    <w:p w:rsidR="00C573A7" w:rsidRPr="00F64BEC" w:rsidRDefault="00C573A7" w:rsidP="00C573A7">
      <w:pPr>
        <w:pStyle w:val="SubmissionNormal"/>
        <w:ind w:hanging="720"/>
        <w:rPr>
          <w:rFonts w:cs="Arial"/>
        </w:rPr>
      </w:pPr>
      <w:r>
        <w:t xml:space="preserve">As it </w:t>
      </w:r>
      <w:r w:rsidRPr="00C573A7">
        <w:rPr>
          <w:rFonts w:cs="Arial"/>
          <w:lang w:val="en-AU"/>
        </w:rPr>
        <w:t>currently</w:t>
      </w:r>
      <w:r>
        <w:t xml:space="preserve"> stands section 18D provides a free speech exemption to the operation of section 18C.</w:t>
      </w:r>
      <w:r>
        <w:rPr>
          <w:rStyle w:val="EndnoteReference"/>
        </w:rPr>
        <w:endnoteReference w:id="48"/>
      </w:r>
      <w:r w:rsidRPr="00C573A7">
        <w:rPr>
          <w:rFonts w:cs="Arial"/>
          <w:lang w:val="en-AU"/>
        </w:rPr>
        <w:t xml:space="preserve"> </w:t>
      </w:r>
      <w:r w:rsidR="00C6075D">
        <w:rPr>
          <w:rFonts w:cs="Arial"/>
          <w:lang w:val="en-AU"/>
        </w:rPr>
        <w:t xml:space="preserve">See below at </w:t>
      </w:r>
      <w:r w:rsidR="00C32561">
        <w:rPr>
          <w:rFonts w:cs="Arial"/>
          <w:lang w:val="en-AU"/>
        </w:rPr>
        <w:t>section 5</w:t>
      </w:r>
      <w:r w:rsidR="000F1603">
        <w:rPr>
          <w:rFonts w:cs="Arial"/>
          <w:lang w:val="en-AU"/>
        </w:rPr>
        <w:t>(e) on the operation of this exemption.</w:t>
      </w:r>
    </w:p>
    <w:p w:rsidR="00F64BEC" w:rsidRPr="000F1603" w:rsidRDefault="00F64BEC" w:rsidP="00F64BEC">
      <w:pPr>
        <w:pStyle w:val="Heading3"/>
        <w:rPr>
          <w:i w:val="0"/>
        </w:rPr>
      </w:pPr>
      <w:bookmarkStart w:id="19" w:name="_Toc386556846"/>
      <w:r>
        <w:t>Complaints under the current provisions</w:t>
      </w:r>
      <w:r w:rsidR="009811E7">
        <w:rPr>
          <w:lang w:val="en-AU"/>
        </w:rPr>
        <w:t xml:space="preserve"> </w:t>
      </w:r>
      <w:r w:rsidR="000F1603" w:rsidRPr="000F1603">
        <w:rPr>
          <w:rStyle w:val="EndnoteReference"/>
          <w:i w:val="0"/>
          <w:iCs/>
          <w:lang w:val="en-AU"/>
        </w:rPr>
        <w:endnoteReference w:id="49"/>
      </w:r>
      <w:bookmarkEnd w:id="19"/>
    </w:p>
    <w:p w:rsidR="008F718F" w:rsidRPr="008F718F" w:rsidRDefault="00865BD2" w:rsidP="00865BD2">
      <w:pPr>
        <w:pStyle w:val="SubmissionNormal"/>
        <w:ind w:hanging="720"/>
      </w:pPr>
      <w:r w:rsidRPr="009D028D">
        <w:rPr>
          <w:iCs/>
          <w:lang w:val="en-AU"/>
        </w:rPr>
        <w:t xml:space="preserve">Complaints relating to section 18C are to be made to the </w:t>
      </w:r>
      <w:r w:rsidR="008B49B8">
        <w:rPr>
          <w:lang w:val="en-AU"/>
        </w:rPr>
        <w:t>Australian Human Rights Commission</w:t>
      </w:r>
      <w:r w:rsidRPr="009D028D">
        <w:rPr>
          <w:iCs/>
          <w:lang w:val="en-AU"/>
        </w:rPr>
        <w:t xml:space="preserve"> to be conciliated. </w:t>
      </w:r>
      <w:r w:rsidR="008F718F" w:rsidRPr="009D028D">
        <w:rPr>
          <w:iCs/>
          <w:lang w:val="en-AU"/>
        </w:rPr>
        <w:t xml:space="preserve">If the complaint is not resolved through conciliation the complainant can apply for the allegations to be heard and determined by the Federal Court of Australia or the Federal Circuit Court of Australia. </w:t>
      </w:r>
    </w:p>
    <w:p w:rsidR="008F718F" w:rsidRPr="008F718F" w:rsidRDefault="008F718F" w:rsidP="007A2C33">
      <w:pPr>
        <w:pStyle w:val="SubmissionNormal"/>
        <w:ind w:hanging="720"/>
      </w:pPr>
      <w:r>
        <w:rPr>
          <w:lang w:val="en-AU"/>
        </w:rPr>
        <w:t xml:space="preserve">Section 18C is a civil provision. Offences are not punishable by imprisonment. </w:t>
      </w:r>
      <w:r w:rsidRPr="008F718F">
        <w:t xml:space="preserve">Most </w:t>
      </w:r>
      <w:r w:rsidRPr="0068244D">
        <w:rPr>
          <w:iCs/>
          <w:lang w:val="en-AU"/>
        </w:rPr>
        <w:t>complaints</w:t>
      </w:r>
      <w:r w:rsidRPr="008F718F">
        <w:t xml:space="preserve"> under section 18C which are resolved by the </w:t>
      </w:r>
      <w:r w:rsidR="008B49B8" w:rsidRPr="008B49B8">
        <w:t>Australian Human Rights Commission</w:t>
      </w:r>
      <w:r w:rsidRPr="008F718F">
        <w:t xml:space="preserve"> result in some combination of the following outcomes: </w:t>
      </w:r>
    </w:p>
    <w:p w:rsidR="008F718F" w:rsidRPr="008F718F" w:rsidRDefault="008F718F" w:rsidP="000F1603">
      <w:pPr>
        <w:pStyle w:val="SubmissionNormal"/>
        <w:numPr>
          <w:ilvl w:val="0"/>
          <w:numId w:val="25"/>
        </w:numPr>
        <w:tabs>
          <w:tab w:val="clear" w:pos="360"/>
        </w:tabs>
        <w:spacing w:before="120" w:after="120"/>
        <w:ind w:left="709" w:hanging="357"/>
      </w:pPr>
      <w:r w:rsidRPr="008F718F">
        <w:t xml:space="preserve">an apology </w:t>
      </w:r>
    </w:p>
    <w:p w:rsidR="008F718F" w:rsidRPr="008F718F" w:rsidRDefault="008F718F" w:rsidP="000F1603">
      <w:pPr>
        <w:pStyle w:val="SubmissionNormal"/>
        <w:numPr>
          <w:ilvl w:val="0"/>
          <w:numId w:val="25"/>
        </w:numPr>
        <w:tabs>
          <w:tab w:val="clear" w:pos="360"/>
        </w:tabs>
        <w:spacing w:before="120" w:after="120"/>
        <w:ind w:left="709" w:hanging="357"/>
      </w:pPr>
      <w:r w:rsidRPr="008F718F">
        <w:t xml:space="preserve">an agreement to remove material </w:t>
      </w:r>
    </w:p>
    <w:p w:rsidR="008F718F" w:rsidRPr="008F718F" w:rsidRDefault="008F718F" w:rsidP="000F1603">
      <w:pPr>
        <w:pStyle w:val="SubmissionNormal"/>
        <w:numPr>
          <w:ilvl w:val="0"/>
          <w:numId w:val="25"/>
        </w:numPr>
        <w:tabs>
          <w:tab w:val="clear" w:pos="360"/>
        </w:tabs>
        <w:spacing w:before="120" w:after="120"/>
        <w:ind w:left="709" w:hanging="357"/>
      </w:pPr>
      <w:r w:rsidRPr="008F718F">
        <w:t xml:space="preserve">systemic outcomes such as changes to policies and procedures, training for staff and </w:t>
      </w:r>
      <w:r w:rsidR="00C35F33">
        <w:rPr>
          <w:lang w:val="en-AU"/>
        </w:rPr>
        <w:t>individual</w:t>
      </w:r>
      <w:r w:rsidRPr="008F718F">
        <w:t xml:space="preserve"> respondents </w:t>
      </w:r>
    </w:p>
    <w:p w:rsidR="008F718F" w:rsidRPr="008F718F" w:rsidRDefault="008F718F" w:rsidP="000F1603">
      <w:pPr>
        <w:pStyle w:val="SubmissionNormal"/>
        <w:numPr>
          <w:ilvl w:val="0"/>
          <w:numId w:val="25"/>
        </w:numPr>
        <w:tabs>
          <w:tab w:val="clear" w:pos="360"/>
        </w:tabs>
        <w:spacing w:before="120" w:after="120"/>
        <w:ind w:left="709" w:hanging="357"/>
      </w:pPr>
      <w:r w:rsidRPr="008F718F">
        <w:t>payment of compensation.</w:t>
      </w:r>
    </w:p>
    <w:p w:rsidR="00A95FA8" w:rsidRPr="00A95FA8" w:rsidRDefault="00A95FA8" w:rsidP="00A95FA8">
      <w:pPr>
        <w:pStyle w:val="SubmissionNormal"/>
        <w:ind w:hanging="720"/>
      </w:pPr>
      <w:r w:rsidRPr="00A95FA8">
        <w:t xml:space="preserve">The Federal Court of Australia or Federal Circuit Court of Australia may order a range of outcomes including an apology, the removal of material </w:t>
      </w:r>
      <w:r w:rsidR="002713E1">
        <w:rPr>
          <w:lang w:val="en-AU"/>
        </w:rPr>
        <w:t>and/</w:t>
      </w:r>
      <w:r w:rsidRPr="00A95FA8">
        <w:t xml:space="preserve">or payment of compensation. </w:t>
      </w:r>
    </w:p>
    <w:p w:rsidR="00A95FA8" w:rsidRPr="00A95FA8" w:rsidRDefault="00A95FA8" w:rsidP="00A95FA8">
      <w:pPr>
        <w:pStyle w:val="SubmissionNormal"/>
        <w:ind w:hanging="720"/>
      </w:pPr>
      <w:r w:rsidRPr="00A95FA8">
        <w:t xml:space="preserve">Over the last five years, the </w:t>
      </w:r>
      <w:r w:rsidR="00397E33">
        <w:rPr>
          <w:lang w:val="en-AU"/>
        </w:rPr>
        <w:t>Australian Human Rights Commission</w:t>
      </w:r>
      <w:r w:rsidRPr="00A95FA8">
        <w:t xml:space="preserve"> received an average of 130 racial hatred complaints per year. </w:t>
      </w:r>
    </w:p>
    <w:p w:rsidR="00F64BEC" w:rsidRPr="009D028D" w:rsidRDefault="00865BD2" w:rsidP="00865BD2">
      <w:pPr>
        <w:pStyle w:val="SubmissionNormal"/>
        <w:ind w:hanging="720"/>
      </w:pPr>
      <w:r w:rsidRPr="00AC08E1">
        <w:rPr>
          <w:iCs/>
          <w:lang w:val="en-AU"/>
        </w:rPr>
        <w:lastRenderedPageBreak/>
        <w:t xml:space="preserve">During the 2012-2013 financial </w:t>
      </w:r>
      <w:proofErr w:type="gramStart"/>
      <w:r w:rsidRPr="00AC08E1">
        <w:rPr>
          <w:iCs/>
          <w:lang w:val="en-AU"/>
        </w:rPr>
        <w:t>year</w:t>
      </w:r>
      <w:proofErr w:type="gramEnd"/>
      <w:r w:rsidRPr="00AC08E1">
        <w:rPr>
          <w:iCs/>
          <w:lang w:val="en-AU"/>
        </w:rPr>
        <w:t xml:space="preserve">, the </w:t>
      </w:r>
      <w:r w:rsidR="00397E33">
        <w:rPr>
          <w:lang w:val="en-AU"/>
        </w:rPr>
        <w:t>Australian Human Rights Commission</w:t>
      </w:r>
      <w:r w:rsidR="00397E33" w:rsidRPr="00AC08E1">
        <w:rPr>
          <w:iCs/>
          <w:lang w:val="en-AU"/>
        </w:rPr>
        <w:t xml:space="preserve"> </w:t>
      </w:r>
      <w:r w:rsidRPr="00AC08E1">
        <w:rPr>
          <w:iCs/>
          <w:lang w:val="en-AU"/>
        </w:rPr>
        <w:t>received a 59 per cent increase</w:t>
      </w:r>
      <w:r w:rsidR="009F6904">
        <w:rPr>
          <w:iCs/>
          <w:lang w:val="en-AU"/>
        </w:rPr>
        <w:t xml:space="preserve"> </w:t>
      </w:r>
      <w:r w:rsidRPr="00AC08E1">
        <w:rPr>
          <w:iCs/>
          <w:lang w:val="en-AU"/>
        </w:rPr>
        <w:t xml:space="preserve">in complaints under section 18C. Fifty-three per cent of </w:t>
      </w:r>
      <w:r w:rsidR="0009688C">
        <w:rPr>
          <w:iCs/>
          <w:lang w:val="en-AU"/>
        </w:rPr>
        <w:t>racial hatred</w:t>
      </w:r>
      <w:r w:rsidRPr="00AC08E1">
        <w:rPr>
          <w:iCs/>
          <w:lang w:val="en-AU"/>
        </w:rPr>
        <w:t xml:space="preserve"> complaints in 2012-13 were resolved at conciliation. Four per cent of complaints made under section 18C were terminated or declined for being trivial, misconceived or lacking in substance. And less than three per cent of racial hatred complaints proceeded to court.</w:t>
      </w:r>
      <w:r>
        <w:rPr>
          <w:rStyle w:val="EndnoteReference"/>
          <w:iCs/>
          <w:lang w:val="en-AU"/>
        </w:rPr>
        <w:endnoteReference w:id="50"/>
      </w:r>
    </w:p>
    <w:p w:rsidR="009D028D" w:rsidRPr="00A95FA8" w:rsidRDefault="00EB6C3B" w:rsidP="009D028D">
      <w:pPr>
        <w:pStyle w:val="SubmissionNormal"/>
        <w:ind w:hanging="720"/>
      </w:pPr>
      <w:r>
        <w:rPr>
          <w:lang w:val="en-AU"/>
        </w:rPr>
        <w:t>Making</w:t>
      </w:r>
      <w:r w:rsidR="009D028D" w:rsidRPr="009D028D">
        <w:t xml:space="preserve"> a comp</w:t>
      </w:r>
      <w:r>
        <w:t xml:space="preserve">laint to the </w:t>
      </w:r>
      <w:r w:rsidR="00397E33">
        <w:rPr>
          <w:lang w:val="en-AU"/>
        </w:rPr>
        <w:t>Australian Human Rights Commission</w:t>
      </w:r>
      <w:r w:rsidR="00397E33">
        <w:t xml:space="preserve"> </w:t>
      </w:r>
      <w:r>
        <w:t>and having</w:t>
      </w:r>
      <w:r w:rsidR="009D028D" w:rsidRPr="009D028D">
        <w:t xml:space="preserve"> it </w:t>
      </w:r>
      <w:r w:rsidR="009D028D" w:rsidRPr="009D028D">
        <w:rPr>
          <w:iCs/>
        </w:rPr>
        <w:t>conciliated</w:t>
      </w:r>
      <w:r>
        <w:rPr>
          <w:iCs/>
          <w:lang w:val="en-AU"/>
        </w:rPr>
        <w:t xml:space="preserve"> is cost-free</w:t>
      </w:r>
      <w:r w:rsidR="009D028D">
        <w:t>. Given that the vast majority of these complaints are resolved without proceeding to court</w:t>
      </w:r>
      <w:r w:rsidR="00EF4131">
        <w:rPr>
          <w:lang w:val="en-AU"/>
        </w:rPr>
        <w:t>,</w:t>
      </w:r>
      <w:r w:rsidR="009D028D">
        <w:t xml:space="preserve"> </w:t>
      </w:r>
      <w:r>
        <w:rPr>
          <w:lang w:val="en-AU"/>
        </w:rPr>
        <w:t xml:space="preserve">Part IIA of the Racial Discrimination Act provides </w:t>
      </w:r>
      <w:r w:rsidR="009D028D" w:rsidRPr="009D028D">
        <w:t>a</w:t>
      </w:r>
      <w:r w:rsidR="009D028D">
        <w:t>n effective</w:t>
      </w:r>
      <w:r>
        <w:rPr>
          <w:lang w:val="en-AU"/>
        </w:rPr>
        <w:t xml:space="preserve"> and affordable</w:t>
      </w:r>
      <w:r w:rsidR="009D028D">
        <w:t xml:space="preserve"> mechanism </w:t>
      </w:r>
      <w:r>
        <w:rPr>
          <w:lang w:val="en-AU"/>
        </w:rPr>
        <w:t>for people</w:t>
      </w:r>
      <w:r w:rsidR="009D028D">
        <w:t xml:space="preserve"> </w:t>
      </w:r>
      <w:r w:rsidR="00EF4131">
        <w:rPr>
          <w:lang w:val="en-AU"/>
        </w:rPr>
        <w:t xml:space="preserve">to </w:t>
      </w:r>
      <w:r w:rsidR="009D028D">
        <w:t>access</w:t>
      </w:r>
      <w:r w:rsidR="00EF4131">
        <w:rPr>
          <w:lang w:val="en-AU"/>
        </w:rPr>
        <w:t xml:space="preserve"> justice in relation to allegations of </w:t>
      </w:r>
      <w:r w:rsidR="009D028D" w:rsidRPr="009D028D">
        <w:rPr>
          <w:lang w:val="en-AU"/>
        </w:rPr>
        <w:t>racial hatred</w:t>
      </w:r>
      <w:r>
        <w:rPr>
          <w:lang w:val="en-AU"/>
        </w:rPr>
        <w:t>.</w:t>
      </w:r>
    </w:p>
    <w:p w:rsidR="00A95FA8" w:rsidRPr="00865BD2" w:rsidRDefault="00A95FA8" w:rsidP="00865BD2">
      <w:pPr>
        <w:pStyle w:val="SubmissionNormal"/>
        <w:ind w:hanging="720"/>
      </w:pPr>
      <w:r>
        <w:rPr>
          <w:iCs/>
          <w:lang w:val="en-AU"/>
        </w:rPr>
        <w:t>See Appendix 2 for examples of racial hatred complaints that have been resolved.</w:t>
      </w:r>
    </w:p>
    <w:p w:rsidR="003711BE" w:rsidRPr="000E7E44" w:rsidRDefault="009811E7" w:rsidP="003711BE">
      <w:pPr>
        <w:pStyle w:val="Heading1"/>
        <w:numPr>
          <w:ilvl w:val="0"/>
          <w:numId w:val="16"/>
        </w:numPr>
      </w:pPr>
      <w:bookmarkStart w:id="20" w:name="_Toc386556847"/>
      <w:r>
        <w:rPr>
          <w:lang w:val="en-AU"/>
        </w:rPr>
        <w:t>Proposed a</w:t>
      </w:r>
      <w:r w:rsidR="00D3314A">
        <w:rPr>
          <w:lang w:val="en-AU"/>
        </w:rPr>
        <w:t>mendments to the Racial Discrimination Act</w:t>
      </w:r>
      <w:bookmarkEnd w:id="20"/>
      <w:r w:rsidR="00D3314A">
        <w:rPr>
          <w:lang w:val="en-AU"/>
        </w:rPr>
        <w:t xml:space="preserve"> </w:t>
      </w:r>
    </w:p>
    <w:p w:rsidR="00E23FE7" w:rsidRPr="00865BD2" w:rsidRDefault="0038597E" w:rsidP="00602574">
      <w:pPr>
        <w:pStyle w:val="SubmissionNormal"/>
        <w:ind w:hanging="720"/>
      </w:pPr>
      <w:r>
        <w:rPr>
          <w:lang w:val="en-AU"/>
        </w:rPr>
        <w:t>The Australian Government is seeking to amend Part IIA of the Racial Discrimination Act with the stated intention to “strengthen the Act’s protections against racism, while at the same time removing provisions which unreasonably limit freedom of speech”.</w:t>
      </w:r>
      <w:r>
        <w:rPr>
          <w:rStyle w:val="EndnoteReference"/>
          <w:lang w:val="en-AU"/>
        </w:rPr>
        <w:endnoteReference w:id="51"/>
      </w:r>
    </w:p>
    <w:p w:rsidR="0038597E" w:rsidRPr="006304CB" w:rsidRDefault="0038597E" w:rsidP="00602574">
      <w:pPr>
        <w:pStyle w:val="SubmissionNormal"/>
        <w:ind w:hanging="720"/>
      </w:pPr>
      <w:r>
        <w:rPr>
          <w:lang w:val="en-AU"/>
        </w:rPr>
        <w:t>The Australian Government’s proposed changes are</w:t>
      </w:r>
      <w:r w:rsidR="00E46DC5">
        <w:rPr>
          <w:lang w:val="en-AU"/>
        </w:rPr>
        <w:t xml:space="preserve"> contained in </w:t>
      </w:r>
      <w:r w:rsidR="0009688C">
        <w:rPr>
          <w:lang w:val="en-AU"/>
        </w:rPr>
        <w:t>the Exposure Draft</w:t>
      </w:r>
      <w:r>
        <w:rPr>
          <w:lang w:val="en-AU"/>
        </w:rPr>
        <w:t xml:space="preserve">. </w:t>
      </w:r>
    </w:p>
    <w:p w:rsidR="006304CB" w:rsidRPr="00A95FA8" w:rsidRDefault="006304CB" w:rsidP="00747F59">
      <w:pPr>
        <w:pStyle w:val="SubmissionNormal"/>
        <w:ind w:hanging="720"/>
      </w:pPr>
      <w:r>
        <w:t xml:space="preserve">The </w:t>
      </w:r>
      <w:r w:rsidR="0009688C">
        <w:rPr>
          <w:lang w:val="en-AU"/>
        </w:rPr>
        <w:t>Exposure Draft</w:t>
      </w:r>
      <w:r w:rsidR="0009688C">
        <w:t xml:space="preserve"> </w:t>
      </w:r>
      <w:r w:rsidR="0009688C">
        <w:rPr>
          <w:lang w:val="en-AU"/>
        </w:rPr>
        <w:t>would</w:t>
      </w:r>
      <w:r>
        <w:t xml:space="preserve"> repeal sections 1</w:t>
      </w:r>
      <w:r w:rsidR="005E6696">
        <w:t>8B, 18C, 18D and 18</w:t>
      </w:r>
      <w:r w:rsidR="004C1AD6">
        <w:t>E of</w:t>
      </w:r>
      <w:r w:rsidR="00E46DC5">
        <w:rPr>
          <w:lang w:val="en-AU"/>
        </w:rPr>
        <w:t xml:space="preserve"> the</w:t>
      </w:r>
      <w:r w:rsidR="004C1AD6">
        <w:t xml:space="preserve"> Racial Discrimination Act. A new section </w:t>
      </w:r>
      <w:r w:rsidR="00747F59">
        <w:t xml:space="preserve">is </w:t>
      </w:r>
      <w:r w:rsidR="00E46DC5">
        <w:rPr>
          <w:lang w:val="en-AU"/>
        </w:rPr>
        <w:t xml:space="preserve">to be </w:t>
      </w:r>
      <w:r w:rsidR="00747F59">
        <w:t>inserted which</w:t>
      </w:r>
      <w:r w:rsidR="00701CAD">
        <w:rPr>
          <w:lang w:val="en-AU"/>
        </w:rPr>
        <w:t xml:space="preserve"> </w:t>
      </w:r>
      <w:r w:rsidR="00770FED">
        <w:rPr>
          <w:lang w:val="en-AU"/>
        </w:rPr>
        <w:t>would</w:t>
      </w:r>
      <w:r w:rsidR="00701CAD">
        <w:rPr>
          <w:lang w:val="en-AU"/>
        </w:rPr>
        <w:t xml:space="preserve"> make</w:t>
      </w:r>
      <w:r w:rsidR="00747F59">
        <w:t xml:space="preserve"> </w:t>
      </w:r>
      <w:r w:rsidR="00747F59" w:rsidRPr="00747F59">
        <w:rPr>
          <w:lang w:val="en-AU"/>
        </w:rPr>
        <w:t>it unlawful to do anythin</w:t>
      </w:r>
      <w:r w:rsidR="00A879B2">
        <w:rPr>
          <w:lang w:val="en-AU"/>
        </w:rPr>
        <w:t>g that is reasonably likely to “</w:t>
      </w:r>
      <w:r w:rsidR="00747F59" w:rsidRPr="00747F59">
        <w:rPr>
          <w:lang w:val="en-AU"/>
        </w:rPr>
        <w:t>vilify</w:t>
      </w:r>
      <w:r w:rsidR="00A879B2">
        <w:rPr>
          <w:lang w:val="en-AU"/>
        </w:rPr>
        <w:t>” or “intimidate”</w:t>
      </w:r>
      <w:r w:rsidR="00747F59" w:rsidRPr="00747F59">
        <w:rPr>
          <w:lang w:val="en-AU"/>
        </w:rPr>
        <w:t xml:space="preserve"> on the grounds of race</w:t>
      </w:r>
      <w:r w:rsidR="00701CAD">
        <w:rPr>
          <w:lang w:val="en-AU"/>
        </w:rPr>
        <w:t>. It also</w:t>
      </w:r>
      <w:r w:rsidR="00770FED">
        <w:rPr>
          <w:lang w:val="en-AU"/>
        </w:rPr>
        <w:t xml:space="preserve"> seeks to</w:t>
      </w:r>
      <w:r w:rsidR="00701CAD">
        <w:rPr>
          <w:lang w:val="en-AU"/>
        </w:rPr>
        <w:t xml:space="preserve"> change the rea</w:t>
      </w:r>
      <w:r w:rsidR="00770FED">
        <w:rPr>
          <w:lang w:val="en-AU"/>
        </w:rPr>
        <w:t>sonable person test and provide broader</w:t>
      </w:r>
      <w:r w:rsidR="00701CAD">
        <w:rPr>
          <w:lang w:val="en-AU"/>
        </w:rPr>
        <w:t xml:space="preserve"> exemptions to the operation of the section</w:t>
      </w:r>
      <w:r w:rsidR="00747F59">
        <w:rPr>
          <w:lang w:val="en-AU"/>
        </w:rPr>
        <w:t xml:space="preserve">. </w:t>
      </w:r>
    </w:p>
    <w:p w:rsidR="00A95FA8" w:rsidRPr="00A95FA8" w:rsidRDefault="00A95FA8" w:rsidP="00747F59">
      <w:pPr>
        <w:pStyle w:val="SubmissionNormal"/>
        <w:ind w:hanging="720"/>
      </w:pPr>
      <w:r>
        <w:rPr>
          <w:lang w:val="en-AU"/>
        </w:rPr>
        <w:t xml:space="preserve">As stated by the </w:t>
      </w:r>
      <w:r w:rsidR="00397E33">
        <w:rPr>
          <w:lang w:val="en-AU"/>
        </w:rPr>
        <w:t>Australian Human Rights Commission</w:t>
      </w:r>
      <w:r w:rsidR="000F1603">
        <w:rPr>
          <w:lang w:val="en-AU"/>
        </w:rPr>
        <w:t xml:space="preserve"> </w:t>
      </w:r>
      <w:r w:rsidR="008A22C5">
        <w:rPr>
          <w:lang w:val="en-AU"/>
        </w:rPr>
        <w:t>Part IIA of the Racial Discrimination Act</w:t>
      </w:r>
      <w:r>
        <w:rPr>
          <w:lang w:val="en-AU"/>
        </w:rPr>
        <w:t>:</w:t>
      </w:r>
    </w:p>
    <w:p w:rsidR="00A95FA8" w:rsidRPr="00A95FA8" w:rsidRDefault="008A22C5" w:rsidP="00A95FA8">
      <w:pPr>
        <w:pStyle w:val="SubmissionNormal"/>
        <w:numPr>
          <w:ilvl w:val="0"/>
          <w:numId w:val="0"/>
        </w:numPr>
        <w:ind w:left="720"/>
        <w:rPr>
          <w:sz w:val="22"/>
          <w:szCs w:val="22"/>
        </w:rPr>
      </w:pPr>
      <w:r>
        <w:rPr>
          <w:sz w:val="22"/>
          <w:szCs w:val="22"/>
          <w:lang w:val="en-AU"/>
        </w:rPr>
        <w:t>[</w:t>
      </w:r>
      <w:r w:rsidRPr="008A22C5">
        <w:rPr>
          <w:sz w:val="22"/>
          <w:szCs w:val="22"/>
          <w:lang w:val="en-AU"/>
        </w:rPr>
        <w:t>I</w:t>
      </w:r>
      <w:r>
        <w:rPr>
          <w:sz w:val="22"/>
          <w:szCs w:val="22"/>
          <w:lang w:val="en-AU"/>
        </w:rPr>
        <w:t>]</w:t>
      </w:r>
      <w:r w:rsidRPr="008A22C5">
        <w:rPr>
          <w:sz w:val="22"/>
          <w:szCs w:val="22"/>
          <w:lang w:val="en-AU"/>
        </w:rPr>
        <w:t xml:space="preserve">n its current form, </w:t>
      </w:r>
      <w:r>
        <w:rPr>
          <w:sz w:val="22"/>
          <w:szCs w:val="22"/>
          <w:lang w:val="en-AU"/>
        </w:rPr>
        <w:t>a</w:t>
      </w:r>
      <w:r w:rsidR="00C32561" w:rsidRPr="00C32561">
        <w:rPr>
          <w:sz w:val="22"/>
          <w:szCs w:val="22"/>
          <w:lang w:val="en-AU"/>
        </w:rPr>
        <w:t>s applied by the courts and administered by the Australian Human Rights Commission has successfully resolved hundreds of complaints about racial hatred over the past two decades.  Any proposed change requires further justification</w:t>
      </w:r>
      <w:r w:rsidR="00A95FA8" w:rsidRPr="00A95FA8">
        <w:rPr>
          <w:sz w:val="22"/>
          <w:szCs w:val="22"/>
        </w:rPr>
        <w:t>.</w:t>
      </w:r>
      <w:r w:rsidR="00A95FA8">
        <w:rPr>
          <w:rStyle w:val="EndnoteReference"/>
          <w:szCs w:val="22"/>
        </w:rPr>
        <w:endnoteReference w:id="52"/>
      </w:r>
    </w:p>
    <w:p w:rsidR="006F3E81" w:rsidRPr="006F3E81" w:rsidRDefault="006F3E81" w:rsidP="009669DC">
      <w:pPr>
        <w:pStyle w:val="Heading3"/>
        <w:numPr>
          <w:ilvl w:val="2"/>
          <w:numId w:val="22"/>
        </w:numPr>
      </w:pPr>
      <w:bookmarkStart w:id="21" w:name="_Toc386556848"/>
      <w:r>
        <w:t>Removal of offend, insult and humiliate</w:t>
      </w:r>
      <w:bookmarkEnd w:id="21"/>
    </w:p>
    <w:p w:rsidR="00432897" w:rsidRPr="006F3E81" w:rsidRDefault="006F3E81" w:rsidP="00432897">
      <w:pPr>
        <w:pStyle w:val="SubmissionNormal"/>
        <w:ind w:hanging="720"/>
      </w:pPr>
      <w:r>
        <w:rPr>
          <w:lang w:val="en-AU"/>
        </w:rPr>
        <w:t xml:space="preserve">The </w:t>
      </w:r>
      <w:r w:rsidR="0009688C">
        <w:rPr>
          <w:lang w:val="en-AU"/>
        </w:rPr>
        <w:t>Exposure Draft</w:t>
      </w:r>
      <w:r>
        <w:rPr>
          <w:lang w:val="en-AU"/>
        </w:rPr>
        <w:t xml:space="preserve"> would remove current protections that make it unlawful to “offend, insult and humiliate”</w:t>
      </w:r>
      <w:r w:rsidR="00A879B2">
        <w:rPr>
          <w:lang w:val="en-AU"/>
        </w:rPr>
        <w:t xml:space="preserve"> on the basis of race</w:t>
      </w:r>
      <w:r w:rsidR="00840967">
        <w:rPr>
          <w:lang w:val="en-AU"/>
        </w:rPr>
        <w:t xml:space="preserve">. </w:t>
      </w:r>
      <w:r w:rsidR="00C93B0A">
        <w:rPr>
          <w:lang w:val="en-AU"/>
        </w:rPr>
        <w:t xml:space="preserve">This </w:t>
      </w:r>
      <w:r w:rsidR="00EB4155">
        <w:rPr>
          <w:lang w:val="en-AU"/>
        </w:rPr>
        <w:t>proposed reform</w:t>
      </w:r>
      <w:r w:rsidR="00C93B0A">
        <w:rPr>
          <w:lang w:val="en-AU"/>
        </w:rPr>
        <w:t xml:space="preserve"> is based on a view of the scope of conduct currently prohibited by section 18C</w:t>
      </w:r>
      <w:r w:rsidR="004A3544">
        <w:rPr>
          <w:lang w:val="en-AU"/>
        </w:rPr>
        <w:t xml:space="preserve"> and that the threshold of harm caused is </w:t>
      </w:r>
      <w:r w:rsidR="001B0BB9">
        <w:rPr>
          <w:lang w:val="en-AU"/>
        </w:rPr>
        <w:t>too</w:t>
      </w:r>
      <w:r w:rsidR="004A3544">
        <w:rPr>
          <w:lang w:val="en-AU"/>
        </w:rPr>
        <w:t xml:space="preserve"> low</w:t>
      </w:r>
      <w:r w:rsidR="00F3676A">
        <w:rPr>
          <w:lang w:val="en-AU"/>
        </w:rPr>
        <w:t>.</w:t>
      </w:r>
      <w:r w:rsidR="00F3676A">
        <w:rPr>
          <w:rStyle w:val="EndnoteReference"/>
          <w:lang w:val="en-AU"/>
        </w:rPr>
        <w:endnoteReference w:id="53"/>
      </w:r>
    </w:p>
    <w:p w:rsidR="00FE6924" w:rsidRPr="00FE6924" w:rsidRDefault="004A3544" w:rsidP="004A3544">
      <w:pPr>
        <w:pStyle w:val="SubmissionNormal"/>
        <w:ind w:hanging="720"/>
      </w:pPr>
      <w:r>
        <w:rPr>
          <w:lang w:val="en-AU"/>
        </w:rPr>
        <w:t>The</w:t>
      </w:r>
      <w:r>
        <w:t xml:space="preserve"> ordinary meaning of </w:t>
      </w:r>
      <w:r>
        <w:rPr>
          <w:lang w:val="en-AU"/>
        </w:rPr>
        <w:t xml:space="preserve">offend, insult, </w:t>
      </w:r>
      <w:r w:rsidRPr="004A3544">
        <w:rPr>
          <w:lang w:val="en-AU"/>
        </w:rPr>
        <w:t>humiliate</w:t>
      </w:r>
      <w:r>
        <w:rPr>
          <w:lang w:val="en-AU"/>
        </w:rPr>
        <w:t xml:space="preserve"> and intimidate</w:t>
      </w:r>
      <w:r w:rsidRPr="004A3544">
        <w:rPr>
          <w:lang w:val="en-AU"/>
        </w:rPr>
        <w:t xml:space="preserve"> </w:t>
      </w:r>
      <w:r>
        <w:rPr>
          <w:lang w:val="en-AU"/>
        </w:rPr>
        <w:t>is broad. However the</w:t>
      </w:r>
      <w:r w:rsidR="00A95FA8">
        <w:t xml:space="preserve"> courts </w:t>
      </w:r>
      <w:r>
        <w:rPr>
          <w:lang w:val="en-AU"/>
        </w:rPr>
        <w:t>have</w:t>
      </w:r>
      <w:r w:rsidR="00A95FA8">
        <w:t xml:space="preserve"> not </w:t>
      </w:r>
      <w:r>
        <w:rPr>
          <w:lang w:val="en-AU"/>
        </w:rPr>
        <w:t>interpreted</w:t>
      </w:r>
      <w:r w:rsidR="00A95FA8">
        <w:t xml:space="preserve"> </w:t>
      </w:r>
      <w:r>
        <w:rPr>
          <w:lang w:val="en-AU"/>
        </w:rPr>
        <w:t>this current wording in</w:t>
      </w:r>
      <w:r w:rsidR="00201FC9">
        <w:t xml:space="preserve"> </w:t>
      </w:r>
      <w:r w:rsidR="00A95FA8">
        <w:t>its ordinary meaning. Instead courts have</w:t>
      </w:r>
      <w:r w:rsidR="006F3E81">
        <w:t xml:space="preserve"> interpreted </w:t>
      </w:r>
      <w:r w:rsidR="001B0BB9">
        <w:rPr>
          <w:lang w:val="en-AU"/>
        </w:rPr>
        <w:t>it</w:t>
      </w:r>
      <w:r w:rsidR="006F3E81">
        <w:t xml:space="preserve"> to apply to conduct that must </w:t>
      </w:r>
      <w:r w:rsidR="006F3E81" w:rsidRPr="007778F0">
        <w:t>involve</w:t>
      </w:r>
      <w:r w:rsidR="006F3E81">
        <w:t xml:space="preserve"> </w:t>
      </w:r>
      <w:r w:rsidR="006F3E81" w:rsidRPr="00AC08E1">
        <w:rPr>
          <w:iCs/>
        </w:rPr>
        <w:t>“profound and serious” effects, not “mere slights”.</w:t>
      </w:r>
      <w:r w:rsidR="006F3E81">
        <w:rPr>
          <w:rStyle w:val="EndnoteReference"/>
          <w:iCs/>
          <w:lang w:val="en-AU"/>
        </w:rPr>
        <w:endnoteReference w:id="54"/>
      </w:r>
      <w:r w:rsidR="00C725A7">
        <w:rPr>
          <w:iCs/>
        </w:rPr>
        <w:t xml:space="preserve"> </w:t>
      </w:r>
      <w:r w:rsidR="00FE6924">
        <w:rPr>
          <w:iCs/>
        </w:rPr>
        <w:t xml:space="preserve">In </w:t>
      </w:r>
      <w:r w:rsidR="00FE6924" w:rsidRPr="00FE6924">
        <w:rPr>
          <w:i/>
          <w:iCs/>
        </w:rPr>
        <w:t>Eatock v Bolt</w:t>
      </w:r>
      <w:r w:rsidR="00FE6924" w:rsidRPr="00FE6924">
        <w:rPr>
          <w:iCs/>
        </w:rPr>
        <w:t xml:space="preserve"> </w:t>
      </w:r>
      <w:r w:rsidR="00FE6924">
        <w:rPr>
          <w:iCs/>
        </w:rPr>
        <w:t>Justice Bromberg stated</w:t>
      </w:r>
      <w:r w:rsidR="005A4592">
        <w:rPr>
          <w:iCs/>
        </w:rPr>
        <w:t xml:space="preserve"> section 18C</w:t>
      </w:r>
      <w:r w:rsidR="00FE6924">
        <w:rPr>
          <w:iCs/>
        </w:rPr>
        <w:t>:</w:t>
      </w:r>
    </w:p>
    <w:p w:rsidR="00FE6924" w:rsidRPr="00FE6924" w:rsidRDefault="005A4592" w:rsidP="00FE6924">
      <w:pPr>
        <w:autoSpaceDE w:val="0"/>
        <w:autoSpaceDN w:val="0"/>
        <w:adjustRightInd w:val="0"/>
        <w:spacing w:before="0" w:after="0"/>
        <w:ind w:left="720"/>
        <w:rPr>
          <w:rFonts w:cs="Arial"/>
          <w:sz w:val="22"/>
          <w:szCs w:val="22"/>
        </w:rPr>
      </w:pPr>
      <w:r>
        <w:rPr>
          <w:rFonts w:eastAsia="Times New Roman" w:cs="Arial"/>
          <w:sz w:val="22"/>
          <w:szCs w:val="22"/>
        </w:rPr>
        <w:lastRenderedPageBreak/>
        <w:t>[I]</w:t>
      </w:r>
      <w:r w:rsidR="00FE6924" w:rsidRPr="00FE6924">
        <w:rPr>
          <w:rFonts w:eastAsia="Times New Roman" w:cs="Arial"/>
          <w:sz w:val="22"/>
          <w:szCs w:val="22"/>
        </w:rPr>
        <w:t xml:space="preserve">s concerned with consequences it regards as more serious than mere personal hurt, harm or fear. It seems to me that s 18C is concerned with mischief that extends to the public dimension. </w:t>
      </w:r>
      <w:proofErr w:type="gramStart"/>
      <w:r w:rsidR="00FE6924" w:rsidRPr="00FE6924">
        <w:rPr>
          <w:rFonts w:eastAsia="Times New Roman" w:cs="Arial"/>
          <w:sz w:val="22"/>
          <w:szCs w:val="22"/>
        </w:rPr>
        <w:t>A mischief that is not merely injurious to the individual, but is injurious to the public interest and relevantly, the public’s interest in a socially cohesive society.</w:t>
      </w:r>
      <w:proofErr w:type="gramEnd"/>
      <w:r w:rsidR="00FE6924" w:rsidRPr="00FE6924">
        <w:rPr>
          <w:rFonts w:eastAsia="Times New Roman" w:cs="Arial"/>
          <w:sz w:val="22"/>
          <w:szCs w:val="22"/>
        </w:rPr>
        <w:t xml:space="preserve"> … In my view, “offend, insult, humiliate or intimidate” were not intended to extend to personal hurt unaccompanied by some public consequence of the kind Part IIA is directed to avoid</w:t>
      </w:r>
      <w:r w:rsidR="007778F0">
        <w:rPr>
          <w:rFonts w:eastAsia="Times New Roman" w:cs="Arial"/>
          <w:sz w:val="22"/>
          <w:szCs w:val="22"/>
        </w:rPr>
        <w:t>.</w:t>
      </w:r>
      <w:r w:rsidR="007778F0">
        <w:rPr>
          <w:rStyle w:val="EndnoteReference"/>
          <w:rFonts w:eastAsia="Times New Roman" w:cs="Arial"/>
          <w:szCs w:val="22"/>
        </w:rPr>
        <w:endnoteReference w:id="55"/>
      </w:r>
      <w:r w:rsidR="007778F0">
        <w:rPr>
          <w:rFonts w:eastAsia="Times New Roman" w:cs="Arial"/>
          <w:sz w:val="22"/>
          <w:szCs w:val="22"/>
        </w:rPr>
        <w:t xml:space="preserve"> </w:t>
      </w:r>
    </w:p>
    <w:p w:rsidR="006F3E81" w:rsidRPr="007778F0" w:rsidRDefault="00C725A7" w:rsidP="007778F0">
      <w:pPr>
        <w:pStyle w:val="SubmissionNormal"/>
        <w:ind w:hanging="720"/>
      </w:pPr>
      <w:r w:rsidRPr="007778F0">
        <w:rPr>
          <w:iCs/>
          <w:lang w:val="en-AU"/>
        </w:rPr>
        <w:t>Therefore</w:t>
      </w:r>
      <w:r>
        <w:rPr>
          <w:iCs/>
        </w:rPr>
        <w:t xml:space="preserve"> the current </w:t>
      </w:r>
      <w:r w:rsidR="00FE6924">
        <w:rPr>
          <w:iCs/>
        </w:rPr>
        <w:t>provision</w:t>
      </w:r>
      <w:r w:rsidR="007778F0">
        <w:rPr>
          <w:iCs/>
          <w:lang w:val="en-AU"/>
        </w:rPr>
        <w:t>,</w:t>
      </w:r>
      <w:r>
        <w:rPr>
          <w:iCs/>
        </w:rPr>
        <w:t xml:space="preserve"> as interpreted by the court</w:t>
      </w:r>
      <w:r w:rsidR="007778F0">
        <w:rPr>
          <w:iCs/>
          <w:lang w:val="en-AU"/>
        </w:rPr>
        <w:t>,</w:t>
      </w:r>
      <w:r>
        <w:rPr>
          <w:iCs/>
        </w:rPr>
        <w:t xml:space="preserve"> </w:t>
      </w:r>
      <w:r w:rsidR="007778F0">
        <w:rPr>
          <w:iCs/>
        </w:rPr>
        <w:t xml:space="preserve">is </w:t>
      </w:r>
      <w:r w:rsidR="00EB4155">
        <w:rPr>
          <w:iCs/>
          <w:lang w:val="en-AU"/>
        </w:rPr>
        <w:t xml:space="preserve">only </w:t>
      </w:r>
      <w:r w:rsidR="007778F0">
        <w:rPr>
          <w:iCs/>
          <w:lang w:val="en-AU"/>
        </w:rPr>
        <w:t xml:space="preserve">engaged </w:t>
      </w:r>
      <w:r w:rsidR="00EB4155">
        <w:rPr>
          <w:iCs/>
          <w:lang w:val="en-AU"/>
        </w:rPr>
        <w:t>by</w:t>
      </w:r>
      <w:r w:rsidR="007778F0">
        <w:rPr>
          <w:iCs/>
          <w:lang w:val="en-AU"/>
        </w:rPr>
        <w:t xml:space="preserve"> profound and serious conduct</w:t>
      </w:r>
      <w:r w:rsidR="00E46DC5">
        <w:rPr>
          <w:iCs/>
          <w:lang w:val="en-AU"/>
        </w:rPr>
        <w:t xml:space="preserve"> that impacts on the public interest in a socially cohesive society</w:t>
      </w:r>
      <w:r w:rsidR="007778F0">
        <w:rPr>
          <w:iCs/>
          <w:lang w:val="en-AU"/>
        </w:rPr>
        <w:t xml:space="preserve">. </w:t>
      </w:r>
      <w:r w:rsidR="005A4592">
        <w:rPr>
          <w:iCs/>
          <w:lang w:val="en-AU"/>
        </w:rPr>
        <w:t>The Campaign Steering Committee believe</w:t>
      </w:r>
      <w:r w:rsidR="00EB4155">
        <w:rPr>
          <w:iCs/>
          <w:lang w:val="en-AU"/>
        </w:rPr>
        <w:t>s</w:t>
      </w:r>
      <w:r w:rsidR="005A4592">
        <w:rPr>
          <w:iCs/>
          <w:lang w:val="en-AU"/>
        </w:rPr>
        <w:t xml:space="preserve"> th</w:t>
      </w:r>
      <w:r w:rsidR="00EB4155">
        <w:rPr>
          <w:iCs/>
          <w:lang w:val="en-AU"/>
        </w:rPr>
        <w:t>is</w:t>
      </w:r>
      <w:r w:rsidR="00633A44">
        <w:rPr>
          <w:iCs/>
          <w:lang w:val="en-AU"/>
        </w:rPr>
        <w:t xml:space="preserve"> is an</w:t>
      </w:r>
      <w:r w:rsidR="00EB4155">
        <w:rPr>
          <w:iCs/>
          <w:lang w:val="en-AU"/>
        </w:rPr>
        <w:t xml:space="preserve"> appropriate</w:t>
      </w:r>
      <w:r w:rsidR="00633A44">
        <w:rPr>
          <w:iCs/>
          <w:lang w:val="en-AU"/>
        </w:rPr>
        <w:t xml:space="preserve"> threshold of conduct to make unlawful</w:t>
      </w:r>
      <w:r w:rsidR="00EB4155">
        <w:rPr>
          <w:iCs/>
          <w:lang w:val="en-AU"/>
        </w:rPr>
        <w:t>.</w:t>
      </w:r>
    </w:p>
    <w:p w:rsidR="007778F0" w:rsidRPr="000415BB" w:rsidRDefault="00A95FA8" w:rsidP="00D40AB2">
      <w:pPr>
        <w:pStyle w:val="Heading3"/>
      </w:pPr>
      <w:bookmarkStart w:id="22" w:name="_Toc386556849"/>
      <w:r>
        <w:rPr>
          <w:lang w:val="en-AU"/>
        </w:rPr>
        <w:t>Vilification</w:t>
      </w:r>
      <w:bookmarkEnd w:id="22"/>
    </w:p>
    <w:p w:rsidR="0063557F" w:rsidRPr="00A05B17" w:rsidRDefault="00AA4896" w:rsidP="0068244D">
      <w:pPr>
        <w:pStyle w:val="SubmissionNormal"/>
        <w:ind w:hanging="720"/>
      </w:pPr>
      <w:r>
        <w:t xml:space="preserve">The </w:t>
      </w:r>
      <w:r w:rsidR="0009688C" w:rsidRPr="0068244D">
        <w:t>Exposure</w:t>
      </w:r>
      <w:r w:rsidR="0009688C" w:rsidRPr="0009688C">
        <w:rPr>
          <w:lang w:val="en-AU"/>
        </w:rPr>
        <w:t xml:space="preserve"> Draft</w:t>
      </w:r>
      <w:r w:rsidR="0009688C">
        <w:rPr>
          <w:lang w:val="en-AU"/>
        </w:rPr>
        <w:t xml:space="preserve"> seeks to</w:t>
      </w:r>
      <w:r>
        <w:t xml:space="preserve"> </w:t>
      </w:r>
      <w:r w:rsidRPr="0037422B">
        <w:rPr>
          <w:iCs/>
        </w:rPr>
        <w:t>introduce</w:t>
      </w:r>
      <w:r>
        <w:t xml:space="preserve"> the </w:t>
      </w:r>
      <w:r w:rsidR="00703D2D">
        <w:t>word “</w:t>
      </w:r>
      <w:r>
        <w:t>vilify</w:t>
      </w:r>
      <w:r w:rsidR="00703D2D">
        <w:t>”</w:t>
      </w:r>
      <w:r w:rsidR="00A35435">
        <w:t xml:space="preserve">. </w:t>
      </w:r>
      <w:r w:rsidR="0068244D">
        <w:t xml:space="preserve">The term </w:t>
      </w:r>
      <w:r w:rsidR="00A05B17" w:rsidRPr="00A05B17">
        <w:t xml:space="preserve">vilify in the </w:t>
      </w:r>
      <w:r w:rsidR="0068244D" w:rsidRPr="0068244D">
        <w:t xml:space="preserve">Exposure </w:t>
      </w:r>
      <w:r w:rsidR="0068244D" w:rsidRPr="0068244D">
        <w:rPr>
          <w:iCs/>
          <w:lang w:val="en-AU"/>
        </w:rPr>
        <w:t>Draft</w:t>
      </w:r>
      <w:r w:rsidR="00A05B17" w:rsidRPr="00A05B17">
        <w:t xml:space="preserve"> is not given</w:t>
      </w:r>
      <w:r w:rsidR="00CE12F8">
        <w:t xml:space="preserve"> its ordinary meaning. Rather, </w:t>
      </w:r>
      <w:r w:rsidR="00CE12F8">
        <w:rPr>
          <w:lang w:val="en-AU"/>
        </w:rPr>
        <w:t xml:space="preserve">it </w:t>
      </w:r>
      <w:r w:rsidR="00CE12F8">
        <w:t xml:space="preserve">is defined to mean </w:t>
      </w:r>
      <w:r w:rsidR="00CE12F8">
        <w:rPr>
          <w:lang w:val="en-AU"/>
        </w:rPr>
        <w:t>“</w:t>
      </w:r>
      <w:r w:rsidR="00A05B17" w:rsidRPr="00A05B17">
        <w:t>incite hatred against</w:t>
      </w:r>
      <w:r w:rsidR="00CE12F8">
        <w:t xml:space="preserve"> a person or a group of persons</w:t>
      </w:r>
      <w:r w:rsidR="00CE12F8">
        <w:rPr>
          <w:lang w:val="en-AU"/>
        </w:rPr>
        <w:t>”</w:t>
      </w:r>
      <w:r w:rsidR="00A05B17">
        <w:t>.</w:t>
      </w:r>
    </w:p>
    <w:p w:rsidR="00A05B17" w:rsidRDefault="00A05B17" w:rsidP="00A05B17">
      <w:pPr>
        <w:pStyle w:val="SubmissionNormal"/>
        <w:ind w:hanging="720"/>
      </w:pPr>
      <w:r>
        <w:t>According to the Macqua</w:t>
      </w:r>
      <w:r w:rsidR="0068244D">
        <w:t xml:space="preserve">rie Dictionary (3rd </w:t>
      </w:r>
      <w:proofErr w:type="spellStart"/>
      <w:r w:rsidR="0068244D">
        <w:t>ed</w:t>
      </w:r>
      <w:proofErr w:type="spellEnd"/>
      <w:r w:rsidR="0068244D">
        <w:t xml:space="preserve">, 1997), </w:t>
      </w:r>
      <w:r>
        <w:t>vilify</w:t>
      </w:r>
      <w:r w:rsidR="0068244D">
        <w:t xml:space="preserve"> means </w:t>
      </w:r>
      <w:r w:rsidR="0068244D">
        <w:rPr>
          <w:lang w:val="en-AU"/>
        </w:rPr>
        <w:t>“</w:t>
      </w:r>
      <w:r>
        <w:t xml:space="preserve">to speak evil of; </w:t>
      </w:r>
      <w:r w:rsidRPr="00A05B17">
        <w:rPr>
          <w:lang w:val="en-AU"/>
        </w:rPr>
        <w:t>defame</w:t>
      </w:r>
      <w:r>
        <w:t>; traduce</w:t>
      </w:r>
      <w:r w:rsidR="0068244D">
        <w:rPr>
          <w:lang w:val="en-AU"/>
        </w:rPr>
        <w:t>”</w:t>
      </w:r>
      <w:r>
        <w:t xml:space="preserve">. According to the Shorter Oxford Dictionary (3rd ed, 1992), the </w:t>
      </w:r>
      <w:r w:rsidRPr="00A05B17">
        <w:rPr>
          <w:lang w:val="en-AU"/>
        </w:rPr>
        <w:t>current</w:t>
      </w:r>
      <w:r>
        <w:t xml:space="preserve"> meanings of vilify are:</w:t>
      </w:r>
    </w:p>
    <w:p w:rsidR="00A05B17" w:rsidRDefault="00A05B17" w:rsidP="00657A94">
      <w:pPr>
        <w:pStyle w:val="SubmissionNormal"/>
        <w:numPr>
          <w:ilvl w:val="0"/>
          <w:numId w:val="26"/>
        </w:numPr>
        <w:tabs>
          <w:tab w:val="clear" w:pos="360"/>
        </w:tabs>
        <w:spacing w:before="120" w:after="120"/>
        <w:ind w:left="709" w:hanging="357"/>
      </w:pPr>
      <w:r>
        <w:t>To make morally vile; to degrade; also to defile or dirty.</w:t>
      </w:r>
    </w:p>
    <w:p w:rsidR="00A05B17" w:rsidRDefault="00A05B17" w:rsidP="00657A94">
      <w:pPr>
        <w:pStyle w:val="SubmissionNormal"/>
        <w:numPr>
          <w:ilvl w:val="0"/>
          <w:numId w:val="26"/>
        </w:numPr>
        <w:tabs>
          <w:tab w:val="clear" w:pos="360"/>
        </w:tabs>
        <w:spacing w:before="120" w:after="120"/>
        <w:ind w:left="709" w:hanging="357"/>
      </w:pPr>
      <w:r>
        <w:t>To bring disgrace or dishonour upon.</w:t>
      </w:r>
    </w:p>
    <w:p w:rsidR="00A05B17" w:rsidRDefault="00A05B17" w:rsidP="00657A94">
      <w:pPr>
        <w:pStyle w:val="SubmissionNormal"/>
        <w:numPr>
          <w:ilvl w:val="0"/>
          <w:numId w:val="26"/>
        </w:numPr>
        <w:tabs>
          <w:tab w:val="clear" w:pos="360"/>
        </w:tabs>
        <w:spacing w:before="120" w:after="120"/>
        <w:ind w:left="709" w:hanging="357"/>
      </w:pPr>
      <w:r>
        <w:t>To deprecate or disparage in discourse; to defame or traduce; to speak evil of.</w:t>
      </w:r>
    </w:p>
    <w:p w:rsidR="00A05B17" w:rsidRPr="0063557F" w:rsidRDefault="00A05B17" w:rsidP="00657A94">
      <w:pPr>
        <w:pStyle w:val="SubmissionNormal"/>
        <w:numPr>
          <w:ilvl w:val="0"/>
          <w:numId w:val="26"/>
        </w:numPr>
        <w:tabs>
          <w:tab w:val="clear" w:pos="360"/>
        </w:tabs>
        <w:spacing w:before="120" w:after="120"/>
        <w:ind w:left="709" w:hanging="357"/>
      </w:pPr>
      <w:r>
        <w:t>To regard as worthless or of little value, to contemn or despise.</w:t>
      </w:r>
    </w:p>
    <w:p w:rsidR="00C55978" w:rsidRPr="00C55978" w:rsidRDefault="009E03DE" w:rsidP="00CF6022">
      <w:pPr>
        <w:pStyle w:val="SubmissionNormal"/>
        <w:ind w:hanging="720"/>
      </w:pPr>
      <w:r>
        <w:t>Th</w:t>
      </w:r>
      <w:r w:rsidR="00E96B41">
        <w:rPr>
          <w:lang w:val="en-AU"/>
        </w:rPr>
        <w:t>e</w:t>
      </w:r>
      <w:r>
        <w:t xml:space="preserve"> proposed definition </w:t>
      </w:r>
      <w:r w:rsidR="00E96B41">
        <w:rPr>
          <w:lang w:val="en-AU"/>
        </w:rPr>
        <w:t xml:space="preserve">in the Exposure Draft </w:t>
      </w:r>
      <w:r w:rsidR="00E46DC5" w:rsidRPr="00C67241">
        <w:rPr>
          <w:lang w:val="en-AU"/>
        </w:rPr>
        <w:t>confines</w:t>
      </w:r>
      <w:r w:rsidR="0037422B">
        <w:t xml:space="preserve"> vilification to </w:t>
      </w:r>
      <w:r w:rsidR="0037422B" w:rsidRPr="0037422B">
        <w:t>inciting hatred by a third party</w:t>
      </w:r>
      <w:r w:rsidR="0037422B">
        <w:t xml:space="preserve">. </w:t>
      </w:r>
      <w:r w:rsidR="0025470B" w:rsidRPr="00C67241">
        <w:rPr>
          <w:iCs/>
          <w:lang w:val="en-AU"/>
        </w:rPr>
        <w:t>Consequently</w:t>
      </w:r>
      <w:r w:rsidR="0037422B" w:rsidRPr="0037422B">
        <w:t xml:space="preserve"> </w:t>
      </w:r>
      <w:r w:rsidR="0025470B" w:rsidRPr="00C67241">
        <w:rPr>
          <w:lang w:val="en-AU"/>
        </w:rPr>
        <w:t>the proposed</w:t>
      </w:r>
      <w:r w:rsidR="0037422B" w:rsidRPr="0037422B">
        <w:t xml:space="preserve"> provision would not be concerned with the impact of racist conduct on the </w:t>
      </w:r>
      <w:r w:rsidR="00E46DC5" w:rsidRPr="00C67241">
        <w:rPr>
          <w:lang w:val="en-AU"/>
        </w:rPr>
        <w:t>victim</w:t>
      </w:r>
      <w:r w:rsidR="0037422B">
        <w:t xml:space="preserve">. </w:t>
      </w:r>
      <w:r w:rsidR="00B26BBA" w:rsidRPr="00C67241">
        <w:rPr>
          <w:lang w:val="en-AU"/>
        </w:rPr>
        <w:t>As outlined in detail by the Victorian Equal Opportunity and Human Rights Commission’s submission, th</w:t>
      </w:r>
      <w:r w:rsidR="0037422B" w:rsidRPr="00C67241">
        <w:rPr>
          <w:lang w:val="en-AU"/>
        </w:rPr>
        <w:t xml:space="preserve">is </w:t>
      </w:r>
      <w:r w:rsidR="00A96AA8" w:rsidRPr="00C67241">
        <w:rPr>
          <w:lang w:val="en-AU"/>
        </w:rPr>
        <w:t xml:space="preserve">proposed </w:t>
      </w:r>
      <w:r w:rsidR="0068244D" w:rsidRPr="00C67241">
        <w:rPr>
          <w:lang w:val="en-AU"/>
        </w:rPr>
        <w:t>incitement test</w:t>
      </w:r>
      <w:r w:rsidR="0037422B" w:rsidRPr="00C67241">
        <w:rPr>
          <w:lang w:val="en-AU"/>
        </w:rPr>
        <w:t xml:space="preserve"> has proven extremely difficult to satisfy in existing state racial vilification laws</w:t>
      </w:r>
      <w:r w:rsidR="00B26BBA" w:rsidRPr="00C67241">
        <w:rPr>
          <w:lang w:val="en-AU"/>
        </w:rPr>
        <w:t>.</w:t>
      </w:r>
      <w:r w:rsidR="00395E38">
        <w:rPr>
          <w:rStyle w:val="EndnoteReference"/>
          <w:lang w:val="en-AU"/>
        </w:rPr>
        <w:endnoteReference w:id="56"/>
      </w:r>
      <w:r w:rsidR="00C67241" w:rsidRPr="00C67241">
        <w:rPr>
          <w:lang w:val="en-AU"/>
        </w:rPr>
        <w:t xml:space="preserve"> </w:t>
      </w:r>
    </w:p>
    <w:p w:rsidR="00C67241" w:rsidRPr="0037422B" w:rsidRDefault="00E96B41" w:rsidP="00CF6022">
      <w:pPr>
        <w:pStyle w:val="SubmissionNormal"/>
        <w:ind w:hanging="720"/>
      </w:pPr>
      <w:r>
        <w:rPr>
          <w:lang w:val="en-AU"/>
        </w:rPr>
        <w:t>The</w:t>
      </w:r>
      <w:r w:rsidR="00842308">
        <w:rPr>
          <w:lang w:val="en-AU"/>
        </w:rPr>
        <w:t xml:space="preserve"> Campaign Steering Committee believes the</w:t>
      </w:r>
      <w:r w:rsidR="00C67241" w:rsidRPr="00C67241">
        <w:rPr>
          <w:lang w:val="en-AU"/>
        </w:rPr>
        <w:t xml:space="preserve"> term vilify should be given its ordinary meaning. </w:t>
      </w:r>
    </w:p>
    <w:p w:rsidR="00A95FA8" w:rsidRPr="00A95FA8" w:rsidRDefault="00A95FA8" w:rsidP="00A95FA8">
      <w:pPr>
        <w:pStyle w:val="Heading3"/>
      </w:pPr>
      <w:bookmarkStart w:id="23" w:name="_Toc386556850"/>
      <w:r>
        <w:rPr>
          <w:lang w:val="en-AU"/>
        </w:rPr>
        <w:t>Intimidation</w:t>
      </w:r>
      <w:bookmarkEnd w:id="23"/>
    </w:p>
    <w:p w:rsidR="00E46DC5" w:rsidRPr="00E462F4" w:rsidRDefault="0037422B" w:rsidP="00C67241">
      <w:pPr>
        <w:pStyle w:val="SubmissionNormal"/>
        <w:ind w:hanging="720"/>
      </w:pPr>
      <w:r>
        <w:t xml:space="preserve">The </w:t>
      </w:r>
      <w:r w:rsidR="0009688C" w:rsidRPr="0009688C">
        <w:rPr>
          <w:iCs/>
          <w:lang w:val="en-AU"/>
        </w:rPr>
        <w:t>Exposure Draft</w:t>
      </w:r>
      <w:r w:rsidR="0009688C">
        <w:rPr>
          <w:iCs/>
          <w:lang w:val="en-AU"/>
        </w:rPr>
        <w:t xml:space="preserve"> would</w:t>
      </w:r>
      <w:r>
        <w:t xml:space="preserve"> retain the word “intimidation”</w:t>
      </w:r>
      <w:r w:rsidR="0025470B">
        <w:rPr>
          <w:lang w:val="en-AU"/>
        </w:rPr>
        <w:t xml:space="preserve"> from the existing law</w:t>
      </w:r>
      <w:r w:rsidR="0009688C">
        <w:t xml:space="preserve"> but </w:t>
      </w:r>
      <w:r w:rsidR="00E96B41">
        <w:rPr>
          <w:lang w:val="en-AU"/>
        </w:rPr>
        <w:t xml:space="preserve">introduce a </w:t>
      </w:r>
      <w:r w:rsidR="0009688C">
        <w:t>narrow defin</w:t>
      </w:r>
      <w:r w:rsidR="00E96B41">
        <w:rPr>
          <w:lang w:val="en-AU"/>
        </w:rPr>
        <w:t xml:space="preserve">ition of </w:t>
      </w:r>
      <w:r w:rsidR="00D92121">
        <w:t xml:space="preserve">“fear of physical harm”. </w:t>
      </w:r>
      <w:r w:rsidR="00D92121" w:rsidRPr="00D92121">
        <w:t xml:space="preserve">Forms of intimidation that do not involve fear of physical harm </w:t>
      </w:r>
      <w:r w:rsidR="0025470B">
        <w:t xml:space="preserve">such as </w:t>
      </w:r>
      <w:r w:rsidR="00742E0F">
        <w:rPr>
          <w:lang w:val="en-AU"/>
        </w:rPr>
        <w:t>emotional or psychological</w:t>
      </w:r>
      <w:r w:rsidR="0025470B">
        <w:t xml:space="preserve"> harm</w:t>
      </w:r>
      <w:r w:rsidR="0025470B" w:rsidRPr="00D92121">
        <w:t xml:space="preserve"> </w:t>
      </w:r>
      <w:r w:rsidR="00D92121" w:rsidRPr="00D92121">
        <w:t>would not be covered.</w:t>
      </w:r>
      <w:r w:rsidR="00D92121">
        <w:t xml:space="preserve"> </w:t>
      </w:r>
    </w:p>
    <w:p w:rsidR="00E462F4" w:rsidRPr="00E46DC5" w:rsidRDefault="006A793E" w:rsidP="00E462F4">
      <w:pPr>
        <w:pStyle w:val="SubmissionNormal"/>
        <w:ind w:hanging="720"/>
      </w:pPr>
      <w:r>
        <w:t xml:space="preserve">In all </w:t>
      </w:r>
      <w:r w:rsidRPr="003D5B2A">
        <w:rPr>
          <w:lang w:val="en-AU"/>
        </w:rPr>
        <w:t>states</w:t>
      </w:r>
      <w:r>
        <w:t xml:space="preserve"> and territories</w:t>
      </w:r>
      <w:r w:rsidR="00E462F4">
        <w:t xml:space="preserve"> which have criminal provisions dealing with serious racial vilification, racial intimidation through threats of physical harm is considered to be the most serious form of racial vilification and is subject to criminal sanctions.</w:t>
      </w:r>
      <w:r w:rsidR="00E462F4" w:rsidRPr="00932A3D">
        <w:rPr>
          <w:sz w:val="20"/>
          <w:vertAlign w:val="superscript"/>
        </w:rPr>
        <w:endnoteReference w:id="57"/>
      </w:r>
      <w:r w:rsidR="00E462F4">
        <w:t xml:space="preserve"> </w:t>
      </w:r>
      <w:r w:rsidR="00E462F4" w:rsidRPr="00E462F4">
        <w:t xml:space="preserve">By making this most serious form of racial vilification the only kind of intimidation that is captured by the civil prohibition in the </w:t>
      </w:r>
      <w:r w:rsidR="00E462F4" w:rsidRPr="003D5B2A">
        <w:rPr>
          <w:lang w:val="en-AU"/>
        </w:rPr>
        <w:t>Racial Discrimination Act</w:t>
      </w:r>
      <w:r w:rsidR="00E462F4" w:rsidRPr="00E462F4">
        <w:t xml:space="preserve">, the </w:t>
      </w:r>
      <w:r w:rsidRPr="003D5B2A">
        <w:rPr>
          <w:lang w:val="en-AU"/>
        </w:rPr>
        <w:t>Exposure Draft</w:t>
      </w:r>
      <w:r w:rsidR="00E462F4" w:rsidRPr="00E462F4">
        <w:t xml:space="preserve"> would significantly narrow the scope of civil liability. Other </w:t>
      </w:r>
      <w:r w:rsidR="00E462F4" w:rsidRPr="00E462F4">
        <w:lastRenderedPageBreak/>
        <w:t xml:space="preserve">serious conduct that is currently prohibited in the </w:t>
      </w:r>
      <w:r w:rsidR="00E462F4" w:rsidRPr="003D5B2A">
        <w:rPr>
          <w:lang w:val="en-AU"/>
        </w:rPr>
        <w:t>Racial Discrimination Act</w:t>
      </w:r>
      <w:r w:rsidR="00E462F4" w:rsidRPr="00E462F4">
        <w:t xml:space="preserve"> would be excluded from the proposed definition.</w:t>
      </w:r>
      <w:r w:rsidR="003D5B2A">
        <w:rPr>
          <w:lang w:val="en-AU"/>
        </w:rPr>
        <w:t xml:space="preserve"> </w:t>
      </w:r>
    </w:p>
    <w:p w:rsidR="0037422B" w:rsidRPr="00C55978" w:rsidRDefault="00E462F4" w:rsidP="00E462F4">
      <w:pPr>
        <w:pStyle w:val="SubmissionNormal"/>
        <w:tabs>
          <w:tab w:val="clear" w:pos="360"/>
        </w:tabs>
        <w:ind w:hanging="720"/>
      </w:pPr>
      <w:r>
        <w:rPr>
          <w:lang w:val="en-AU"/>
        </w:rPr>
        <w:t>Further, a</w:t>
      </w:r>
      <w:r w:rsidR="00D92121">
        <w:t xml:space="preserve">s outlined </w:t>
      </w:r>
      <w:r w:rsidR="00617316">
        <w:rPr>
          <w:lang w:val="en-AU"/>
        </w:rPr>
        <w:t xml:space="preserve">above </w:t>
      </w:r>
      <w:r w:rsidR="00617316">
        <w:t xml:space="preserve">in section </w:t>
      </w:r>
      <w:r w:rsidR="00617316">
        <w:rPr>
          <w:lang w:val="en-AU"/>
        </w:rPr>
        <w:t>3</w:t>
      </w:r>
      <w:r w:rsidR="00A35435">
        <w:rPr>
          <w:lang w:val="en-AU"/>
        </w:rPr>
        <w:t>(</w:t>
      </w:r>
      <w:r w:rsidR="00D92121">
        <w:t>b</w:t>
      </w:r>
      <w:r w:rsidR="00A35435">
        <w:rPr>
          <w:lang w:val="en-AU"/>
        </w:rPr>
        <w:t>)</w:t>
      </w:r>
      <w:r w:rsidR="00D92121">
        <w:t xml:space="preserve"> of this submission </w:t>
      </w:r>
      <w:r w:rsidR="003D5B2A">
        <w:rPr>
          <w:lang w:val="en-AU"/>
        </w:rPr>
        <w:t>the proposed</w:t>
      </w:r>
      <w:r w:rsidR="00D92121">
        <w:t xml:space="preserve"> definition </w:t>
      </w:r>
      <w:r w:rsidR="00D92121" w:rsidRPr="00D92121">
        <w:rPr>
          <w:lang w:val="en-AU"/>
        </w:rPr>
        <w:t xml:space="preserve">neglects the evidence </w:t>
      </w:r>
      <w:r w:rsidR="00D92121">
        <w:rPr>
          <w:lang w:val="en-AU"/>
        </w:rPr>
        <w:t>in relation to Aboriginal and Torres Strait Islander people</w:t>
      </w:r>
      <w:r w:rsidR="0025470B">
        <w:rPr>
          <w:lang w:val="en-AU"/>
        </w:rPr>
        <w:t>’</w:t>
      </w:r>
      <w:r w:rsidR="00D92121">
        <w:rPr>
          <w:lang w:val="en-AU"/>
        </w:rPr>
        <w:t>s</w:t>
      </w:r>
      <w:r w:rsidR="00D92121" w:rsidRPr="00D92121">
        <w:rPr>
          <w:lang w:val="en-AU"/>
        </w:rPr>
        <w:t xml:space="preserve"> experiences of racism and racial discrimination</w:t>
      </w:r>
      <w:r w:rsidR="00D92121">
        <w:rPr>
          <w:lang w:val="en-AU"/>
        </w:rPr>
        <w:t>.</w:t>
      </w:r>
      <w:r w:rsidR="002B6770">
        <w:rPr>
          <w:lang w:val="en-AU"/>
        </w:rPr>
        <w:t xml:space="preserve"> </w:t>
      </w:r>
    </w:p>
    <w:p w:rsidR="00C55978" w:rsidRPr="00D92121" w:rsidRDefault="00842308" w:rsidP="00E462F4">
      <w:pPr>
        <w:pStyle w:val="SubmissionNormal"/>
        <w:tabs>
          <w:tab w:val="clear" w:pos="360"/>
        </w:tabs>
        <w:ind w:hanging="720"/>
      </w:pPr>
      <w:r w:rsidRPr="00842308">
        <w:rPr>
          <w:lang w:val="en-AU"/>
        </w:rPr>
        <w:t xml:space="preserve">The Campaign Steering Committee believes the term </w:t>
      </w:r>
      <w:r>
        <w:rPr>
          <w:lang w:val="en-AU"/>
        </w:rPr>
        <w:t>intimidation should</w:t>
      </w:r>
      <w:r w:rsidR="00EF3F92">
        <w:rPr>
          <w:lang w:val="en-AU"/>
        </w:rPr>
        <w:t xml:space="preserve"> </w:t>
      </w:r>
      <w:r>
        <w:rPr>
          <w:lang w:val="en-AU"/>
        </w:rPr>
        <w:t xml:space="preserve">be </w:t>
      </w:r>
      <w:r w:rsidR="00EF3F92">
        <w:rPr>
          <w:lang w:val="en-AU"/>
        </w:rPr>
        <w:t>given its ordinary meaning, whic</w:t>
      </w:r>
      <w:r w:rsidR="00742E0F">
        <w:rPr>
          <w:lang w:val="en-AU"/>
        </w:rPr>
        <w:t>h recognises that intimidation</w:t>
      </w:r>
      <w:r w:rsidR="00EF3F92">
        <w:rPr>
          <w:lang w:val="en-AU"/>
        </w:rPr>
        <w:t xml:space="preserve"> is not limited to causing physical harm but includes conduct causing</w:t>
      </w:r>
      <w:r w:rsidR="009F6904">
        <w:rPr>
          <w:lang w:val="en-AU"/>
        </w:rPr>
        <w:t xml:space="preserve"> </w:t>
      </w:r>
      <w:r w:rsidR="00742E0F">
        <w:rPr>
          <w:lang w:val="en-AU"/>
        </w:rPr>
        <w:t>emotional or psychological</w:t>
      </w:r>
      <w:r w:rsidR="00742E0F">
        <w:t xml:space="preserve"> </w:t>
      </w:r>
      <w:r w:rsidR="00EF3F92">
        <w:rPr>
          <w:lang w:val="en-AU"/>
        </w:rPr>
        <w:t>harm</w:t>
      </w:r>
      <w:r>
        <w:rPr>
          <w:lang w:val="en-AU"/>
        </w:rPr>
        <w:t xml:space="preserve">. </w:t>
      </w:r>
    </w:p>
    <w:p w:rsidR="00D92121" w:rsidRPr="00120045" w:rsidRDefault="00120045" w:rsidP="00F32A50">
      <w:pPr>
        <w:pStyle w:val="Heading3"/>
        <w:tabs>
          <w:tab w:val="clear" w:pos="851"/>
        </w:tabs>
      </w:pPr>
      <w:bookmarkStart w:id="24" w:name="_Toc386556851"/>
      <w:r>
        <w:t>Reasonable person test</w:t>
      </w:r>
      <w:bookmarkEnd w:id="24"/>
    </w:p>
    <w:p w:rsidR="002450D5" w:rsidRPr="002450D5" w:rsidRDefault="002450D5" w:rsidP="002450D5">
      <w:pPr>
        <w:pStyle w:val="SubmissionNormal"/>
        <w:ind w:hanging="720"/>
      </w:pPr>
      <w:r w:rsidRPr="002450D5">
        <w:t xml:space="preserve">The current test under </w:t>
      </w:r>
      <w:r w:rsidR="000D3546">
        <w:rPr>
          <w:lang w:val="en-AU"/>
        </w:rPr>
        <w:t>section</w:t>
      </w:r>
      <w:r w:rsidRPr="002450D5">
        <w:t xml:space="preserve"> 18C to determine whether conduct is </w:t>
      </w:r>
      <w:r w:rsidR="00E96B41">
        <w:rPr>
          <w:lang w:val="en-AU"/>
        </w:rPr>
        <w:t>“</w:t>
      </w:r>
      <w:r w:rsidRPr="002450D5">
        <w:t>reasonably likely</w:t>
      </w:r>
      <w:r w:rsidR="00E96B41">
        <w:rPr>
          <w:lang w:val="en-AU"/>
        </w:rPr>
        <w:t>”</w:t>
      </w:r>
      <w:r w:rsidRPr="002450D5">
        <w:t xml:space="preserve"> to </w:t>
      </w:r>
      <w:r w:rsidR="00E96B41">
        <w:rPr>
          <w:lang w:val="en-AU"/>
        </w:rPr>
        <w:t>“</w:t>
      </w:r>
      <w:r w:rsidRPr="002450D5">
        <w:t>offend, insult, humiliate or intimidate</w:t>
      </w:r>
      <w:r w:rsidR="00E96B41">
        <w:rPr>
          <w:lang w:val="en-AU"/>
        </w:rPr>
        <w:t>”</w:t>
      </w:r>
      <w:r w:rsidRPr="002450D5">
        <w:t xml:space="preserve"> is an objective one.</w:t>
      </w:r>
      <w:r>
        <w:rPr>
          <w:rStyle w:val="EndnoteReference"/>
        </w:rPr>
        <w:endnoteReference w:id="58"/>
      </w:r>
      <w:r w:rsidR="00617316">
        <w:t xml:space="preserve"> </w:t>
      </w:r>
      <w:r w:rsidRPr="002450D5">
        <w:t>The court does not simply rely on how a particular person or group of people subjectively felt about or reacted to the doing of the act complained of.</w:t>
      </w:r>
      <w:r>
        <w:rPr>
          <w:rStyle w:val="EndnoteReference"/>
        </w:rPr>
        <w:endnoteReference w:id="59"/>
      </w:r>
      <w:r w:rsidRPr="002450D5">
        <w:t xml:space="preserve"> Rather, the court assesses whether, objectively, the act complained of was reasonably likely, in all the circumstances, to offend, insult, humiliate or intimidate another person or group of people.</w:t>
      </w:r>
    </w:p>
    <w:p w:rsidR="002450D5" w:rsidRPr="002450D5" w:rsidRDefault="002450D5" w:rsidP="002450D5">
      <w:pPr>
        <w:pStyle w:val="SubmissionNormal"/>
        <w:ind w:hanging="720"/>
      </w:pPr>
      <w:r w:rsidRPr="002450D5">
        <w:t xml:space="preserve">Evidence </w:t>
      </w:r>
      <w:r w:rsidRPr="002450D5">
        <w:rPr>
          <w:lang w:val="en-AU"/>
        </w:rPr>
        <w:t>that</w:t>
      </w:r>
      <w:r w:rsidRPr="002450D5">
        <w:t xml:space="preserve"> a member of a particular racial group was in fact offended by the conduct in question, is admissible on, but not determinative of, the issue of contravention.</w:t>
      </w:r>
      <w:r>
        <w:rPr>
          <w:rStyle w:val="EndnoteReference"/>
        </w:rPr>
        <w:endnoteReference w:id="60"/>
      </w:r>
    </w:p>
    <w:p w:rsidR="00120045" w:rsidRPr="00CC26C2" w:rsidRDefault="00120045" w:rsidP="00C11014">
      <w:pPr>
        <w:pStyle w:val="SubmissionNormal"/>
        <w:ind w:hanging="720"/>
      </w:pPr>
      <w:r>
        <w:t xml:space="preserve">The </w:t>
      </w:r>
      <w:r w:rsidR="0009688C" w:rsidRPr="0009688C">
        <w:rPr>
          <w:lang w:val="en-AU"/>
        </w:rPr>
        <w:t>Exposure Draft</w:t>
      </w:r>
      <w:r w:rsidR="0009688C">
        <w:rPr>
          <w:lang w:val="en-AU"/>
        </w:rPr>
        <w:t xml:space="preserve"> would</w:t>
      </w:r>
      <w:r>
        <w:t xml:space="preserve"> </w:t>
      </w:r>
      <w:r w:rsidR="00266E06">
        <w:t xml:space="preserve">change </w:t>
      </w:r>
      <w:r w:rsidR="00CC26C2">
        <w:t xml:space="preserve">the test </w:t>
      </w:r>
      <w:r w:rsidR="00D473C4">
        <w:t>of what is reasonably likely</w:t>
      </w:r>
      <w:r w:rsidR="00CC26C2" w:rsidRPr="00CC26C2">
        <w:t xml:space="preserve"> to vilify or intimidate </w:t>
      </w:r>
      <w:r w:rsidR="00CC26C2" w:rsidRPr="00CF6022">
        <w:rPr>
          <w:iCs/>
        </w:rPr>
        <w:t>to</w:t>
      </w:r>
      <w:r w:rsidR="00CC26C2" w:rsidRPr="00CC26C2">
        <w:t xml:space="preserve"> be based </w:t>
      </w:r>
      <w:r w:rsidR="00295832">
        <w:rPr>
          <w:lang w:val="en-AU"/>
        </w:rPr>
        <w:t>from</w:t>
      </w:r>
      <w:r w:rsidR="00CC26C2" w:rsidRPr="00CC26C2">
        <w:t xml:space="preserve"> the </w:t>
      </w:r>
      <w:r w:rsidR="00DF6285">
        <w:rPr>
          <w:lang w:val="en-AU"/>
        </w:rPr>
        <w:t>perspective</w:t>
      </w:r>
      <w:r w:rsidR="00CC26C2" w:rsidRPr="00CC26C2">
        <w:t xml:space="preserve"> of the “ordinary reasonable member of the Australian community</w:t>
      </w:r>
      <w:r w:rsidR="00CC26C2">
        <w:t>, not by the standards of any particular group within the Australian community”.</w:t>
      </w:r>
    </w:p>
    <w:p w:rsidR="00266E06" w:rsidRPr="00266E06" w:rsidRDefault="00CC26C2" w:rsidP="00CF6022">
      <w:pPr>
        <w:pStyle w:val="SubmissionNormal"/>
        <w:ind w:hanging="720"/>
      </w:pPr>
      <w:r>
        <w:t>This</w:t>
      </w:r>
      <w:r w:rsidR="00A7265C">
        <w:rPr>
          <w:lang w:val="en-AU"/>
        </w:rPr>
        <w:t xml:space="preserve"> proposed</w:t>
      </w:r>
      <w:r>
        <w:t xml:space="preserve"> test is problematic </w:t>
      </w:r>
      <w:r w:rsidR="00D473C4">
        <w:t xml:space="preserve">as many </w:t>
      </w:r>
      <w:r w:rsidR="00D37442" w:rsidRPr="00D37442">
        <w:t>ordinary reasonable member</w:t>
      </w:r>
      <w:r w:rsidR="00A35435">
        <w:rPr>
          <w:lang w:val="en-AU"/>
        </w:rPr>
        <w:t>s</w:t>
      </w:r>
      <w:r w:rsidR="00D37442" w:rsidRPr="00D37442">
        <w:t xml:space="preserve"> of the Australian community</w:t>
      </w:r>
      <w:r w:rsidR="00D37442">
        <w:t xml:space="preserve"> </w:t>
      </w:r>
      <w:r w:rsidR="00D37442" w:rsidRPr="00D37442">
        <w:rPr>
          <w:lang w:val="en-AU"/>
        </w:rPr>
        <w:t>will</w:t>
      </w:r>
      <w:r w:rsidR="00D37442">
        <w:t xml:space="preserve"> not have </w:t>
      </w:r>
      <w:r w:rsidR="00D473C4">
        <w:rPr>
          <w:lang w:val="en-AU"/>
        </w:rPr>
        <w:t>experienced discrimination</w:t>
      </w:r>
      <w:r w:rsidR="00D37442">
        <w:t xml:space="preserve"> on the basis of their race and therefore are not in position to </w:t>
      </w:r>
      <w:r w:rsidR="00D37442" w:rsidRPr="00D37442">
        <w:t>conceive</w:t>
      </w:r>
      <w:r w:rsidR="00D37442" w:rsidRPr="00D37442">
        <w:rPr>
          <w:lang w:val="en-AU"/>
        </w:rPr>
        <w:t xml:space="preserve"> of the profound impact of such </w:t>
      </w:r>
      <w:r w:rsidR="00D473C4">
        <w:rPr>
          <w:lang w:val="en-AU"/>
        </w:rPr>
        <w:t>discrimination</w:t>
      </w:r>
      <w:r w:rsidR="00D37442">
        <w:rPr>
          <w:lang w:val="en-AU"/>
        </w:rPr>
        <w:t xml:space="preserve">. </w:t>
      </w:r>
      <w:r w:rsidR="00266E06">
        <w:rPr>
          <w:lang w:val="en-AU"/>
        </w:rPr>
        <w:t>Further</w:t>
      </w:r>
      <w:r w:rsidR="00A96AA8">
        <w:rPr>
          <w:lang w:val="en-AU"/>
        </w:rPr>
        <w:t>,</w:t>
      </w:r>
      <w:r w:rsidR="00266E06">
        <w:rPr>
          <w:lang w:val="en-AU"/>
        </w:rPr>
        <w:t xml:space="preserve"> in circumstances where prejudice</w:t>
      </w:r>
      <w:r w:rsidR="007C4DE9">
        <w:rPr>
          <w:lang w:val="en-AU"/>
        </w:rPr>
        <w:t xml:space="preserve"> against a particular group</w:t>
      </w:r>
      <w:r w:rsidR="00266E06">
        <w:rPr>
          <w:lang w:val="en-AU"/>
        </w:rPr>
        <w:t xml:space="preserve"> is stronger and more widespread within the community it will </w:t>
      </w:r>
      <w:r w:rsidR="00A96AA8">
        <w:rPr>
          <w:lang w:val="en-AU"/>
        </w:rPr>
        <w:t>be</w:t>
      </w:r>
      <w:r w:rsidR="00266E06">
        <w:rPr>
          <w:lang w:val="en-AU"/>
        </w:rPr>
        <w:t xml:space="preserve"> more difficult for </w:t>
      </w:r>
      <w:r w:rsidR="007C4DE9">
        <w:rPr>
          <w:lang w:val="en-AU"/>
        </w:rPr>
        <w:t>a</w:t>
      </w:r>
      <w:r w:rsidR="00266E06">
        <w:rPr>
          <w:lang w:val="en-AU"/>
        </w:rPr>
        <w:t xml:space="preserve"> victim </w:t>
      </w:r>
      <w:r w:rsidR="007C4DE9">
        <w:rPr>
          <w:lang w:val="en-AU"/>
        </w:rPr>
        <w:t xml:space="preserve">from that group </w:t>
      </w:r>
      <w:r w:rsidR="00266E06">
        <w:rPr>
          <w:lang w:val="en-AU"/>
        </w:rPr>
        <w:t xml:space="preserve">to demonstrate racial </w:t>
      </w:r>
      <w:r w:rsidR="00EE6AD4">
        <w:rPr>
          <w:lang w:val="en-AU"/>
        </w:rPr>
        <w:t>hatred</w:t>
      </w:r>
      <w:r w:rsidR="00266E06">
        <w:rPr>
          <w:lang w:val="en-AU"/>
        </w:rPr>
        <w:t xml:space="preserve">. </w:t>
      </w:r>
    </w:p>
    <w:p w:rsidR="00CC26C2" w:rsidRDefault="00D37442" w:rsidP="00CF6022">
      <w:pPr>
        <w:pStyle w:val="SubmissionNormal"/>
        <w:ind w:hanging="720"/>
      </w:pPr>
      <w:r>
        <w:rPr>
          <w:lang w:val="en-AU"/>
        </w:rPr>
        <w:t xml:space="preserve">As a minimum the </w:t>
      </w:r>
      <w:r w:rsidRPr="00D37442">
        <w:rPr>
          <w:lang w:val="en-AU"/>
        </w:rPr>
        <w:t xml:space="preserve">impact </w:t>
      </w:r>
      <w:r w:rsidRPr="00CF6022">
        <w:t>on</w:t>
      </w:r>
      <w:r w:rsidRPr="00D37442">
        <w:rPr>
          <w:lang w:val="en-AU"/>
        </w:rPr>
        <w:t xml:space="preserve"> the victim’s group should remain a relevant consi</w:t>
      </w:r>
      <w:r>
        <w:rPr>
          <w:lang w:val="en-AU"/>
        </w:rPr>
        <w:t xml:space="preserve">deration when assessing </w:t>
      </w:r>
      <w:r w:rsidR="00E55CBA">
        <w:rPr>
          <w:lang w:val="en-AU"/>
        </w:rPr>
        <w:t xml:space="preserve">the </w:t>
      </w:r>
      <w:r>
        <w:rPr>
          <w:lang w:val="en-AU"/>
        </w:rPr>
        <w:t>reasonable person test.</w:t>
      </w:r>
    </w:p>
    <w:p w:rsidR="00F64BEC" w:rsidRDefault="00CC26C2" w:rsidP="00F32A50">
      <w:pPr>
        <w:pStyle w:val="Heading3"/>
        <w:tabs>
          <w:tab w:val="clear" w:pos="851"/>
        </w:tabs>
      </w:pPr>
      <w:bookmarkStart w:id="25" w:name="_Toc386556852"/>
      <w:r>
        <w:t>Exemption</w:t>
      </w:r>
      <w:bookmarkEnd w:id="25"/>
      <w:r>
        <w:t xml:space="preserve"> </w:t>
      </w:r>
    </w:p>
    <w:p w:rsidR="00DD0936" w:rsidRPr="00DD0936" w:rsidRDefault="00DD0936" w:rsidP="00CF6022">
      <w:pPr>
        <w:pStyle w:val="SubmissionNormal"/>
        <w:tabs>
          <w:tab w:val="clear" w:pos="360"/>
        </w:tabs>
        <w:ind w:hanging="720"/>
      </w:pPr>
      <w:r w:rsidRPr="00DD0936">
        <w:t xml:space="preserve">Under existing law, </w:t>
      </w:r>
      <w:r w:rsidR="00580721">
        <w:t xml:space="preserve">the protections contained in 18C do not apply </w:t>
      </w:r>
      <w:r w:rsidRPr="00DD0936">
        <w:t xml:space="preserve">if </w:t>
      </w:r>
      <w:r w:rsidR="00580721">
        <w:t>a person has</w:t>
      </w:r>
      <w:r w:rsidRPr="00DD0936">
        <w:t xml:space="preserve"> acted “reasonably and in good faith” in </w:t>
      </w:r>
      <w:r w:rsidR="00580721" w:rsidRPr="00580721">
        <w:t xml:space="preserve">the </w:t>
      </w:r>
      <w:r w:rsidR="00580721">
        <w:t>“</w:t>
      </w:r>
      <w:r w:rsidR="00580721" w:rsidRPr="00580721">
        <w:t>performance, exhibition or distribution of an artistic work</w:t>
      </w:r>
      <w:r w:rsidR="00580721">
        <w:t xml:space="preserve">” or </w:t>
      </w:r>
      <w:r w:rsidR="00580721" w:rsidRPr="00580721">
        <w:t xml:space="preserve">in the </w:t>
      </w:r>
      <w:r w:rsidR="00580721">
        <w:t>“</w:t>
      </w:r>
      <w:r w:rsidR="00580721" w:rsidRPr="00580721">
        <w:t>course of any statement, publication, discussion or debate made or held for any genuine academic, artistic or scientific purpose or any other genuine purpose in the public interest</w:t>
      </w:r>
      <w:r w:rsidR="00580721">
        <w:t>”</w:t>
      </w:r>
      <w:r w:rsidRPr="00DD0936">
        <w:t xml:space="preserve">. Additionally, </w:t>
      </w:r>
      <w:r w:rsidR="00580721">
        <w:t xml:space="preserve">the “reasonable and good faith” exemption applies in making or publishing </w:t>
      </w:r>
      <w:r w:rsidR="00327D4F">
        <w:rPr>
          <w:lang w:val="en-AU"/>
        </w:rPr>
        <w:t>a “</w:t>
      </w:r>
      <w:r w:rsidR="00580721" w:rsidRPr="00580721">
        <w:t>fair and accurate report of any event or matter of public interest</w:t>
      </w:r>
      <w:r w:rsidRPr="00DD0936">
        <w:t>” or is “</w:t>
      </w:r>
      <w:r w:rsidR="00327D4F" w:rsidRPr="00327D4F">
        <w:t>fair comment on any event or matter of public interest if the comment is an expression of a genuine belief held by the person making the comment</w:t>
      </w:r>
      <w:r w:rsidR="00327D4F">
        <w:rPr>
          <w:lang w:val="en-AU"/>
        </w:rPr>
        <w:t>”</w:t>
      </w:r>
      <w:r w:rsidRPr="00DD0936">
        <w:t>.</w:t>
      </w:r>
    </w:p>
    <w:p w:rsidR="002450D5" w:rsidRPr="002450D5" w:rsidRDefault="00D473C4" w:rsidP="00A7265C">
      <w:pPr>
        <w:pStyle w:val="SubmissionNormal"/>
        <w:tabs>
          <w:tab w:val="clear" w:pos="360"/>
        </w:tabs>
        <w:ind w:hanging="720"/>
      </w:pPr>
      <w:r>
        <w:rPr>
          <w:lang w:val="en-AU"/>
        </w:rPr>
        <w:lastRenderedPageBreak/>
        <w:t>S</w:t>
      </w:r>
      <w:r w:rsidR="00617316">
        <w:rPr>
          <w:lang w:val="en-AU"/>
        </w:rPr>
        <w:t xml:space="preserve">ubsection (4) </w:t>
      </w:r>
      <w:r w:rsidR="00FD23F8">
        <w:rPr>
          <w:lang w:val="en-AU"/>
        </w:rPr>
        <w:t>the</w:t>
      </w:r>
      <w:r w:rsidR="00D37442" w:rsidRPr="00924499">
        <w:t xml:space="preserve"> </w:t>
      </w:r>
      <w:r w:rsidR="0009688C" w:rsidRPr="0009688C">
        <w:t>Exposure Draft</w:t>
      </w:r>
      <w:r w:rsidR="0009688C">
        <w:rPr>
          <w:lang w:val="en-AU"/>
        </w:rPr>
        <w:t xml:space="preserve"> would</w:t>
      </w:r>
      <w:r w:rsidR="00924499" w:rsidRPr="00924499">
        <w:t xml:space="preserve"> </w:t>
      </w:r>
      <w:r w:rsidR="00A7265C">
        <w:rPr>
          <w:lang w:val="en-AU"/>
        </w:rPr>
        <w:t>create an exemption for</w:t>
      </w:r>
      <w:r w:rsidR="00924499" w:rsidRPr="00924499">
        <w:t xml:space="preserve"> </w:t>
      </w:r>
      <w:r w:rsidR="00E55CBA" w:rsidRPr="007C4DE9">
        <w:rPr>
          <w:lang w:val="en-AU"/>
        </w:rPr>
        <w:t>“</w:t>
      </w:r>
      <w:r w:rsidR="007C4DE9" w:rsidRPr="007C4DE9">
        <w:t xml:space="preserve">words, sounds, images or writing spoken, </w:t>
      </w:r>
      <w:r w:rsidR="007C4DE9" w:rsidRPr="007C4DE9">
        <w:rPr>
          <w:lang w:val="en-AU"/>
        </w:rPr>
        <w:t>broadcast</w:t>
      </w:r>
      <w:r w:rsidR="007C4DE9" w:rsidRPr="007C4DE9">
        <w:t>, published or otherwise communicated in the course of participating in the public discussion of any political, social, cultural, religious, artistic,</w:t>
      </w:r>
      <w:r w:rsidR="007C4DE9">
        <w:t xml:space="preserve"> academic or scientific matter</w:t>
      </w:r>
      <w:r w:rsidR="007C4DE9">
        <w:rPr>
          <w:lang w:val="en-AU"/>
        </w:rPr>
        <w:t>”</w:t>
      </w:r>
      <w:r w:rsidR="007C4DE9">
        <w:t>.</w:t>
      </w:r>
      <w:r w:rsidR="00924499">
        <w:t xml:space="preserve"> </w:t>
      </w:r>
      <w:r w:rsidR="00924499" w:rsidRPr="007C4DE9">
        <w:rPr>
          <w:lang w:val="en-AU"/>
        </w:rPr>
        <w:t xml:space="preserve">The current requirement that such conduct be reasonable and in good faith </w:t>
      </w:r>
      <w:r w:rsidR="002450D5">
        <w:rPr>
          <w:lang w:val="en-AU"/>
        </w:rPr>
        <w:t>has been removed</w:t>
      </w:r>
      <w:r w:rsidR="00A7265C">
        <w:rPr>
          <w:lang w:val="en-AU"/>
        </w:rPr>
        <w:t>.</w:t>
      </w:r>
    </w:p>
    <w:p w:rsidR="00DD0936" w:rsidRPr="00327D4F" w:rsidRDefault="005D398B" w:rsidP="00CF6022">
      <w:pPr>
        <w:pStyle w:val="SubmissionNormal"/>
        <w:tabs>
          <w:tab w:val="clear" w:pos="360"/>
        </w:tabs>
        <w:ind w:hanging="720"/>
      </w:pPr>
      <w:r w:rsidRPr="005D398B">
        <w:rPr>
          <w:lang w:val="en-AU"/>
        </w:rPr>
        <w:t>T</w:t>
      </w:r>
      <w:r w:rsidR="002450D5" w:rsidRPr="005D398B">
        <w:rPr>
          <w:lang w:val="en-AU"/>
        </w:rPr>
        <w:t xml:space="preserve">he </w:t>
      </w:r>
      <w:r w:rsidR="00A7265C" w:rsidRPr="005D398B">
        <w:rPr>
          <w:lang w:val="en-AU"/>
        </w:rPr>
        <w:t xml:space="preserve">main </w:t>
      </w:r>
      <w:r w:rsidR="002450D5" w:rsidRPr="005D398B">
        <w:rPr>
          <w:lang w:val="en-AU"/>
        </w:rPr>
        <w:t>substantive difference between the proposed subsection (4) a</w:t>
      </w:r>
      <w:r w:rsidR="00A7265C" w:rsidRPr="005D398B">
        <w:rPr>
          <w:lang w:val="en-AU"/>
        </w:rPr>
        <w:t>nd the existing exemptions in s</w:t>
      </w:r>
      <w:r w:rsidR="00043AD2" w:rsidRPr="005D398B">
        <w:rPr>
          <w:lang w:val="en-AU"/>
        </w:rPr>
        <w:t>ection</w:t>
      </w:r>
      <w:r w:rsidR="00A7265C" w:rsidRPr="005D398B">
        <w:rPr>
          <w:lang w:val="en-AU"/>
        </w:rPr>
        <w:t xml:space="preserve"> </w:t>
      </w:r>
      <w:r w:rsidR="002450D5" w:rsidRPr="005D398B">
        <w:rPr>
          <w:lang w:val="en-AU"/>
        </w:rPr>
        <w:t>18D is the omission of the requirement for the conduct to be engaged in reasonably and in good faith</w:t>
      </w:r>
      <w:r w:rsidR="00924499" w:rsidRPr="005D398B">
        <w:rPr>
          <w:lang w:val="en-AU"/>
        </w:rPr>
        <w:t>.</w:t>
      </w:r>
      <w:r w:rsidRPr="005D398B">
        <w:rPr>
          <w:lang w:val="en-AU"/>
        </w:rPr>
        <w:t xml:space="preserve"> </w:t>
      </w:r>
      <w:r w:rsidR="00DD0936" w:rsidRPr="005D398B">
        <w:rPr>
          <w:lang w:val="en-AU"/>
        </w:rPr>
        <w:t xml:space="preserve">This </w:t>
      </w:r>
      <w:r>
        <w:rPr>
          <w:lang w:val="en-AU"/>
        </w:rPr>
        <w:t>would create an extremely broad</w:t>
      </w:r>
      <w:r w:rsidR="00DD0936" w:rsidRPr="005D398B">
        <w:rPr>
          <w:lang w:val="en-AU"/>
        </w:rPr>
        <w:t xml:space="preserve"> </w:t>
      </w:r>
      <w:r w:rsidR="00327D4F" w:rsidRPr="005D398B">
        <w:rPr>
          <w:lang w:val="en-AU"/>
        </w:rPr>
        <w:t>exemption</w:t>
      </w:r>
      <w:r w:rsidR="00DD0936" w:rsidRPr="005D398B">
        <w:rPr>
          <w:lang w:val="en-AU"/>
        </w:rPr>
        <w:t xml:space="preserve">. </w:t>
      </w:r>
      <w:r w:rsidR="00327D4F" w:rsidRPr="005D398B">
        <w:rPr>
          <w:lang w:val="en-AU"/>
        </w:rPr>
        <w:t xml:space="preserve">The </w:t>
      </w:r>
      <w:r w:rsidR="005020CF" w:rsidRPr="005D398B">
        <w:rPr>
          <w:lang w:val="en-AU"/>
        </w:rPr>
        <w:t>President</w:t>
      </w:r>
      <w:r w:rsidR="00327D4F" w:rsidRPr="005D398B">
        <w:rPr>
          <w:lang w:val="en-AU"/>
        </w:rPr>
        <w:t xml:space="preserve"> of the </w:t>
      </w:r>
      <w:r w:rsidR="00397E33">
        <w:rPr>
          <w:lang w:val="en-AU"/>
        </w:rPr>
        <w:t>Australian Human Rights Commission</w:t>
      </w:r>
      <w:r w:rsidR="00327D4F" w:rsidRPr="005D398B">
        <w:rPr>
          <w:lang w:val="en-AU"/>
        </w:rPr>
        <w:t xml:space="preserve"> has stated:</w:t>
      </w:r>
    </w:p>
    <w:p w:rsidR="00327D4F" w:rsidRPr="00327D4F" w:rsidRDefault="00327D4F" w:rsidP="00327D4F">
      <w:pPr>
        <w:pStyle w:val="SubmissionNormal"/>
        <w:numPr>
          <w:ilvl w:val="0"/>
          <w:numId w:val="0"/>
        </w:numPr>
        <w:ind w:left="720"/>
        <w:rPr>
          <w:sz w:val="22"/>
          <w:szCs w:val="22"/>
        </w:rPr>
      </w:pPr>
      <w:r w:rsidRPr="00327D4F">
        <w:rPr>
          <w:sz w:val="22"/>
          <w:szCs w:val="22"/>
        </w:rPr>
        <w:t>This astonishingly broad exemption will positively permit racial vilification and intimidation in virtually all public discussions. Indeed, it is hard to think of examples of racial vilification or intimidation in public that will not be exempted by these changes. Will, for example, racial vilification on public transport, at football matches or the factory canteen be protected because this is a ‘social’, ‘cultural’ or ‘religious’ matter?</w:t>
      </w:r>
      <w:r>
        <w:rPr>
          <w:rStyle w:val="EndnoteReference"/>
          <w:szCs w:val="22"/>
        </w:rPr>
        <w:endnoteReference w:id="61"/>
      </w:r>
    </w:p>
    <w:p w:rsidR="000558D8" w:rsidRPr="000558D8" w:rsidRDefault="00846EE0" w:rsidP="002450D5">
      <w:pPr>
        <w:pStyle w:val="SubmissionNormal"/>
        <w:tabs>
          <w:tab w:val="clear" w:pos="360"/>
        </w:tabs>
        <w:ind w:hanging="720"/>
      </w:pPr>
      <w:r>
        <w:rPr>
          <w:lang w:val="en-AU"/>
        </w:rPr>
        <w:t>I</w:t>
      </w:r>
      <w:r w:rsidR="002450D5" w:rsidRPr="00846EE0">
        <w:t>f a comment on a matter of public interest in relati</w:t>
      </w:r>
      <w:r w:rsidR="000558D8">
        <w:t>on to a particular ethnic group</w:t>
      </w:r>
      <w:r w:rsidR="000558D8">
        <w:rPr>
          <w:lang w:val="en-AU"/>
        </w:rPr>
        <w:t>:</w:t>
      </w:r>
    </w:p>
    <w:p w:rsidR="00C94088" w:rsidRDefault="002450D5" w:rsidP="00C94088">
      <w:pPr>
        <w:pStyle w:val="SubmissionNormal"/>
        <w:numPr>
          <w:ilvl w:val="0"/>
          <w:numId w:val="0"/>
        </w:numPr>
        <w:ind w:left="720"/>
        <w:rPr>
          <w:lang w:val="en-AU"/>
        </w:rPr>
      </w:pPr>
      <w:r w:rsidRPr="00C94088">
        <w:rPr>
          <w:sz w:val="22"/>
          <w:szCs w:val="22"/>
        </w:rPr>
        <w:t>was written in a way that offered gratuitous insults by, for example, referring to members of the group in derogatory racist slang terms, then it would be unlikely that the comment would be offered “reasonably</w:t>
      </w:r>
      <w:r w:rsidR="00681E70" w:rsidRPr="00C94088">
        <w:rPr>
          <w:sz w:val="22"/>
          <w:szCs w:val="22"/>
          <w:lang w:val="en-AU"/>
        </w:rPr>
        <w:t>”</w:t>
      </w:r>
      <w:r w:rsidRPr="00C94088">
        <w:rPr>
          <w:sz w:val="22"/>
          <w:szCs w:val="22"/>
        </w:rPr>
        <w:t>.</w:t>
      </w:r>
      <w:r w:rsidRPr="00C154F8">
        <w:rPr>
          <w:sz w:val="20"/>
          <w:szCs w:val="20"/>
          <w:vertAlign w:val="superscript"/>
        </w:rPr>
        <w:endnoteReference w:id="62"/>
      </w:r>
      <w:r w:rsidRPr="00846EE0">
        <w:t xml:space="preserve"> </w:t>
      </w:r>
    </w:p>
    <w:p w:rsidR="002450D5" w:rsidRPr="00846EE0" w:rsidRDefault="002450D5" w:rsidP="000558D8">
      <w:pPr>
        <w:pStyle w:val="SubmissionNormal"/>
        <w:numPr>
          <w:ilvl w:val="0"/>
          <w:numId w:val="0"/>
        </w:numPr>
        <w:ind w:left="360"/>
      </w:pPr>
      <w:r w:rsidRPr="00846EE0">
        <w:t xml:space="preserve">If subsection (4) of the </w:t>
      </w:r>
      <w:r w:rsidR="00617316">
        <w:rPr>
          <w:lang w:val="en-AU"/>
        </w:rPr>
        <w:t xml:space="preserve">Exposure </w:t>
      </w:r>
      <w:r w:rsidR="000D3546">
        <w:rPr>
          <w:lang w:val="en-AU"/>
        </w:rPr>
        <w:t>Draft</w:t>
      </w:r>
      <w:r w:rsidRPr="00846EE0">
        <w:t xml:space="preserve"> is not appropriately qualified, then there is a significant risk that it will protect mere racist abuse offered up in the</w:t>
      </w:r>
      <w:r w:rsidR="00043AD2">
        <w:t xml:space="preserve"> course of a public discussion.</w:t>
      </w:r>
    </w:p>
    <w:p w:rsidR="00846EE0" w:rsidRPr="00846EE0" w:rsidRDefault="00846EE0" w:rsidP="00846EE0">
      <w:pPr>
        <w:pStyle w:val="SubmissionNormal"/>
        <w:tabs>
          <w:tab w:val="clear" w:pos="360"/>
        </w:tabs>
        <w:ind w:hanging="720"/>
      </w:pPr>
      <w:r w:rsidRPr="00846EE0">
        <w:rPr>
          <w:lang w:val="en-AU"/>
        </w:rPr>
        <w:t xml:space="preserve">As </w:t>
      </w:r>
      <w:r w:rsidRPr="00846EE0">
        <w:t>outlined</w:t>
      </w:r>
      <w:r w:rsidRPr="00846EE0">
        <w:rPr>
          <w:lang w:val="en-AU"/>
        </w:rPr>
        <w:t xml:space="preserve"> by the </w:t>
      </w:r>
      <w:r w:rsidR="00397E33">
        <w:rPr>
          <w:lang w:val="en-AU"/>
        </w:rPr>
        <w:t>Australian Human Rights Commission</w:t>
      </w:r>
      <w:r w:rsidRPr="00846EE0">
        <w:rPr>
          <w:lang w:val="en-AU"/>
        </w:rPr>
        <w:t>:</w:t>
      </w:r>
    </w:p>
    <w:p w:rsidR="00DD0936" w:rsidRPr="00D473C4" w:rsidRDefault="003964DE" w:rsidP="00846EE0">
      <w:pPr>
        <w:pStyle w:val="SubmissionNormal"/>
        <w:numPr>
          <w:ilvl w:val="0"/>
          <w:numId w:val="0"/>
        </w:numPr>
        <w:ind w:left="720"/>
        <w:rPr>
          <w:sz w:val="22"/>
          <w:szCs w:val="22"/>
          <w:lang w:val="en-AU"/>
        </w:rPr>
      </w:pPr>
      <w:r w:rsidRPr="00D473C4">
        <w:rPr>
          <w:sz w:val="22"/>
          <w:szCs w:val="22"/>
        </w:rPr>
        <w:t xml:space="preserve">A requirement of ‘good faith’ would also prohibit racist abuse offered up in the course of a public discussion. In </w:t>
      </w:r>
      <w:proofErr w:type="spellStart"/>
      <w:r w:rsidRPr="00D473C4">
        <w:rPr>
          <w:i/>
          <w:sz w:val="22"/>
          <w:szCs w:val="22"/>
        </w:rPr>
        <w:t>Toben</w:t>
      </w:r>
      <w:proofErr w:type="spellEnd"/>
      <w:r w:rsidRPr="00D473C4">
        <w:rPr>
          <w:i/>
          <w:sz w:val="22"/>
          <w:szCs w:val="22"/>
        </w:rPr>
        <w:t xml:space="preserve"> v Jones</w:t>
      </w:r>
      <w:r w:rsidRPr="00D473C4">
        <w:rPr>
          <w:sz w:val="22"/>
          <w:szCs w:val="22"/>
        </w:rPr>
        <w:t>, a case that dealt with a website that contained a range of anti-Semitic material, the trial judge noted that the material did not satisfy the test of ‘good faith’ because it was ‘deliberately provocative and inflammatory’, it was ‘contrived to smear’ Jews and to ‘paint Jews in a bad light’. One example of this was the use of the phrase ‘Jewish-Bolshevik Holocaust’ which, in the context in which it was used, conveyed that Jews as a group were responsible for perpetrating a ‘Holocaust’ comparable to that ascribed in modern history to the Nazis</w:t>
      </w:r>
      <w:r w:rsidRPr="00D473C4">
        <w:rPr>
          <w:sz w:val="22"/>
          <w:szCs w:val="22"/>
          <w:lang w:val="en-AU"/>
        </w:rPr>
        <w:t>.</w:t>
      </w:r>
    </w:p>
    <w:p w:rsidR="00846EE0" w:rsidRDefault="00846EE0" w:rsidP="00846EE0">
      <w:pPr>
        <w:pStyle w:val="SubmissionNormal"/>
        <w:numPr>
          <w:ilvl w:val="0"/>
          <w:numId w:val="0"/>
        </w:numPr>
        <w:ind w:left="720"/>
        <w:rPr>
          <w:lang w:val="en-AU"/>
        </w:rPr>
      </w:pPr>
      <w:r w:rsidRPr="000B4C5D">
        <w:rPr>
          <w:sz w:val="22"/>
          <w:szCs w:val="22"/>
          <w:lang w:val="en-AU"/>
        </w:rPr>
        <w:t xml:space="preserve">The </w:t>
      </w:r>
      <w:r w:rsidR="00CF136E">
        <w:rPr>
          <w:sz w:val="22"/>
          <w:szCs w:val="22"/>
          <w:lang w:val="en-AU"/>
        </w:rPr>
        <w:t>[Racial Discrimination Act]</w:t>
      </w:r>
      <w:r w:rsidRPr="000B4C5D">
        <w:rPr>
          <w:sz w:val="22"/>
          <w:szCs w:val="22"/>
          <w:lang w:val="en-AU"/>
        </w:rPr>
        <w:t xml:space="preserve"> should not permit gratuitous racial abuse, even if it occurs in the course of a ‘public discussion’ about some other issue. If conduct that would otherwise be reasonably likely to humiliate, vilify or intimidate on the basis of race is to be protected by a free speech exemption because it occurred in the course of a public discussion, then it is appropriate to require that discussion to have been carried out in good faith.</w:t>
      </w:r>
      <w:r>
        <w:rPr>
          <w:rStyle w:val="EndnoteReference"/>
          <w:lang w:val="en-AU"/>
        </w:rPr>
        <w:endnoteReference w:id="63"/>
      </w:r>
      <w:r w:rsidRPr="00846EE0">
        <w:rPr>
          <w:lang w:val="en-AU"/>
        </w:rPr>
        <w:t xml:space="preserve"> </w:t>
      </w:r>
      <w:r w:rsidRPr="000B4C5D">
        <w:rPr>
          <w:sz w:val="22"/>
          <w:szCs w:val="22"/>
          <w:lang w:val="en-AU"/>
        </w:rPr>
        <w:t>(</w:t>
      </w:r>
      <w:proofErr w:type="gramStart"/>
      <w:r w:rsidRPr="000B4C5D">
        <w:rPr>
          <w:sz w:val="22"/>
          <w:szCs w:val="22"/>
          <w:lang w:val="en-AU"/>
        </w:rPr>
        <w:t>notes</w:t>
      </w:r>
      <w:proofErr w:type="gramEnd"/>
      <w:r w:rsidRPr="000B4C5D">
        <w:rPr>
          <w:sz w:val="22"/>
          <w:szCs w:val="22"/>
          <w:lang w:val="en-AU"/>
        </w:rPr>
        <w:t xml:space="preserve"> excluded).</w:t>
      </w:r>
    </w:p>
    <w:p w:rsidR="00846EE0" w:rsidRPr="00846EE0" w:rsidRDefault="00846EE0" w:rsidP="00846EE0">
      <w:pPr>
        <w:pStyle w:val="SubmissionNormal"/>
        <w:tabs>
          <w:tab w:val="clear" w:pos="360"/>
        </w:tabs>
        <w:ind w:hanging="720"/>
        <w:rPr>
          <w:lang w:val="en-AU"/>
        </w:rPr>
      </w:pPr>
      <w:r>
        <w:rPr>
          <w:lang w:val="en-AU"/>
        </w:rPr>
        <w:t>The Campaign Steering Committee firmly believes the requirement of good faith is essential for proper operation of exemptions to protections against racial</w:t>
      </w:r>
      <w:r w:rsidR="00CF136E">
        <w:rPr>
          <w:lang w:val="en-AU"/>
        </w:rPr>
        <w:t xml:space="preserve"> hatred</w:t>
      </w:r>
      <w:r>
        <w:rPr>
          <w:lang w:val="en-AU"/>
        </w:rPr>
        <w:t xml:space="preserve">. </w:t>
      </w:r>
    </w:p>
    <w:p w:rsidR="00747F59" w:rsidRPr="00747F59" w:rsidRDefault="00747F59" w:rsidP="00F32A50">
      <w:pPr>
        <w:pStyle w:val="Heading3"/>
        <w:tabs>
          <w:tab w:val="clear" w:pos="851"/>
        </w:tabs>
      </w:pPr>
      <w:bookmarkStart w:id="26" w:name="_Toc386556853"/>
      <w:r w:rsidRPr="00747F59">
        <w:lastRenderedPageBreak/>
        <w:t>Other changes</w:t>
      </w:r>
      <w:bookmarkEnd w:id="26"/>
    </w:p>
    <w:p w:rsidR="003B3050" w:rsidRPr="003B3050" w:rsidRDefault="00747F59" w:rsidP="00CF6022">
      <w:pPr>
        <w:pStyle w:val="SubmissionNormal"/>
        <w:tabs>
          <w:tab w:val="clear" w:pos="360"/>
        </w:tabs>
        <w:ind w:hanging="720"/>
      </w:pPr>
      <w:r w:rsidRPr="00747F59">
        <w:t xml:space="preserve">The </w:t>
      </w:r>
      <w:r w:rsidR="00CF136E">
        <w:rPr>
          <w:lang w:val="en-AU"/>
        </w:rPr>
        <w:t>Exposure Draft</w:t>
      </w:r>
      <w:r w:rsidRPr="00747F59">
        <w:t xml:space="preserve"> also </w:t>
      </w:r>
      <w:r w:rsidR="00CF136E">
        <w:rPr>
          <w:lang w:val="en-AU"/>
        </w:rPr>
        <w:t xml:space="preserve">seeks to </w:t>
      </w:r>
      <w:r w:rsidRPr="00747F59">
        <w:t xml:space="preserve">remove the existing section 18B, which </w:t>
      </w:r>
      <w:r w:rsidR="00396F2E" w:rsidRPr="00396F2E">
        <w:rPr>
          <w:lang w:val="en-AU"/>
        </w:rPr>
        <w:t>provides that if an act is done for two or more reasons and one of those reasons is the race of a person, then the act is taken to be done because of race</w:t>
      </w:r>
      <w:r w:rsidR="005261E9" w:rsidRPr="005261E9">
        <w:rPr>
          <w:lang w:val="en-AU"/>
        </w:rPr>
        <w:t xml:space="preserve">. </w:t>
      </w:r>
    </w:p>
    <w:p w:rsidR="00396F2E" w:rsidRPr="00396F2E" w:rsidRDefault="003B3050" w:rsidP="00CF6022">
      <w:pPr>
        <w:pStyle w:val="SubmissionNormal"/>
        <w:tabs>
          <w:tab w:val="clear" w:pos="360"/>
        </w:tabs>
        <w:ind w:hanging="720"/>
      </w:pPr>
      <w:r w:rsidRPr="00846EE0">
        <w:rPr>
          <w:lang w:val="en-AU"/>
        </w:rPr>
        <w:t xml:space="preserve">No reason for this proposed change has been provided. </w:t>
      </w:r>
      <w:r w:rsidR="00DF6285">
        <w:rPr>
          <w:lang w:val="en-AU"/>
        </w:rPr>
        <w:t>Provisions like section 18B of the Racial Discrimination Act are</w:t>
      </w:r>
      <w:r w:rsidRPr="00846EE0">
        <w:rPr>
          <w:lang w:val="en-AU"/>
        </w:rPr>
        <w:t xml:space="preserve"> common in anti-discrimination law, for example</w:t>
      </w:r>
      <w:r w:rsidR="00CF136E">
        <w:rPr>
          <w:lang w:val="en-AU"/>
        </w:rPr>
        <w:t xml:space="preserve"> section 10 of</w:t>
      </w:r>
      <w:r w:rsidRPr="00846EE0">
        <w:rPr>
          <w:lang w:val="en-AU"/>
        </w:rPr>
        <w:t xml:space="preserve"> </w:t>
      </w:r>
      <w:r w:rsidRPr="00846EE0">
        <w:rPr>
          <w:i/>
          <w:lang w:val="en-AU"/>
        </w:rPr>
        <w:t>Disability Discrimination Act 1992</w:t>
      </w:r>
      <w:r w:rsidR="00CF136E">
        <w:rPr>
          <w:lang w:val="en-AU"/>
        </w:rPr>
        <w:t xml:space="preserve"> (Cth) </w:t>
      </w:r>
      <w:r w:rsidRPr="00846EE0">
        <w:rPr>
          <w:lang w:val="en-AU"/>
        </w:rPr>
        <w:t xml:space="preserve">contains an identical provision. </w:t>
      </w:r>
      <w:r w:rsidR="003A6E55" w:rsidRPr="00846EE0">
        <w:rPr>
          <w:lang w:val="en-AU"/>
        </w:rPr>
        <w:t xml:space="preserve">Removing this provision could make it difficult to establish the necessary causal connection </w:t>
      </w:r>
      <w:r w:rsidR="00776F71" w:rsidRPr="00846EE0">
        <w:rPr>
          <w:lang w:val="en-AU"/>
        </w:rPr>
        <w:t>between</w:t>
      </w:r>
      <w:r w:rsidR="003A6E55" w:rsidRPr="00846EE0">
        <w:rPr>
          <w:lang w:val="en-AU"/>
        </w:rPr>
        <w:t xml:space="preserve"> </w:t>
      </w:r>
      <w:r w:rsidR="00776F71" w:rsidRPr="00846EE0">
        <w:rPr>
          <w:lang w:val="en-AU"/>
        </w:rPr>
        <w:t>the conduct and the racial element.</w:t>
      </w:r>
      <w:r w:rsidR="00776F71">
        <w:rPr>
          <w:rStyle w:val="EndnoteReference"/>
          <w:lang w:val="en-AU"/>
        </w:rPr>
        <w:endnoteReference w:id="64"/>
      </w:r>
      <w:r w:rsidR="00CF136E">
        <w:rPr>
          <w:lang w:val="en-AU"/>
        </w:rPr>
        <w:t xml:space="preserve"> </w:t>
      </w:r>
    </w:p>
    <w:p w:rsidR="003B3050" w:rsidRPr="005261E9" w:rsidRDefault="00396F2E" w:rsidP="00CF6022">
      <w:pPr>
        <w:pStyle w:val="SubmissionNormal"/>
        <w:tabs>
          <w:tab w:val="clear" w:pos="360"/>
        </w:tabs>
        <w:ind w:hanging="720"/>
      </w:pPr>
      <w:r>
        <w:rPr>
          <w:lang w:val="en-AU"/>
        </w:rPr>
        <w:t>The Campaign Steering Committee believes that s</w:t>
      </w:r>
      <w:r w:rsidR="00CF136E">
        <w:rPr>
          <w:lang w:val="en-AU"/>
        </w:rPr>
        <w:t xml:space="preserve">ection 18B should not be removed. </w:t>
      </w:r>
    </w:p>
    <w:p w:rsidR="00396F2E" w:rsidRPr="00396F2E" w:rsidRDefault="00CF136E" w:rsidP="00846EE0">
      <w:pPr>
        <w:pStyle w:val="SubmissionNormal"/>
        <w:tabs>
          <w:tab w:val="clear" w:pos="360"/>
        </w:tabs>
        <w:ind w:hanging="720"/>
      </w:pPr>
      <w:r w:rsidRPr="00396F2E">
        <w:rPr>
          <w:lang w:val="en-AU"/>
        </w:rPr>
        <w:t>The Exposure D</w:t>
      </w:r>
      <w:r w:rsidR="00846EE0" w:rsidRPr="00396F2E">
        <w:rPr>
          <w:lang w:val="en-AU"/>
        </w:rPr>
        <w:t xml:space="preserve">raft </w:t>
      </w:r>
      <w:r w:rsidRPr="00396F2E">
        <w:rPr>
          <w:lang w:val="en-AU"/>
        </w:rPr>
        <w:t xml:space="preserve">also </w:t>
      </w:r>
      <w:r w:rsidR="00846EE0" w:rsidRPr="00396F2E">
        <w:rPr>
          <w:lang w:val="en-AU"/>
        </w:rPr>
        <w:t>proposes to repeal section 18E which provides for vicarious liability for employers and principles for acts done by their employees or agents in connection with their duties</w:t>
      </w:r>
      <w:r w:rsidR="00747F59" w:rsidRPr="00747F59">
        <w:t xml:space="preserve">. </w:t>
      </w:r>
    </w:p>
    <w:p w:rsidR="00396F2E" w:rsidRPr="00396F2E" w:rsidRDefault="005261E9" w:rsidP="00846EE0">
      <w:pPr>
        <w:pStyle w:val="SubmissionNormal"/>
        <w:tabs>
          <w:tab w:val="clear" w:pos="360"/>
        </w:tabs>
        <w:ind w:hanging="720"/>
      </w:pPr>
      <w:r w:rsidRPr="00396F2E">
        <w:rPr>
          <w:lang w:val="en-AU"/>
        </w:rPr>
        <w:t xml:space="preserve">There is no justification for the removal of this section. </w:t>
      </w:r>
      <w:r w:rsidR="00846EE0" w:rsidRPr="00846EE0">
        <w:t xml:space="preserve">Vicarious liability provisions exist in each of the federal discrimination </w:t>
      </w:r>
      <w:r w:rsidR="00C32561">
        <w:rPr>
          <w:lang w:val="en-AU"/>
        </w:rPr>
        <w:t>acts</w:t>
      </w:r>
      <w:r w:rsidR="00846EE0" w:rsidRPr="00846EE0">
        <w:t>.</w:t>
      </w:r>
      <w:r w:rsidR="00846EE0" w:rsidRPr="00305590">
        <w:rPr>
          <w:sz w:val="20"/>
          <w:szCs w:val="20"/>
          <w:vertAlign w:val="superscript"/>
        </w:rPr>
        <w:endnoteReference w:id="65"/>
      </w:r>
      <w:r w:rsidR="00305590">
        <w:t xml:space="preserve"> </w:t>
      </w:r>
    </w:p>
    <w:p w:rsidR="00846EE0" w:rsidRPr="005261E9" w:rsidRDefault="00396F2E" w:rsidP="00846EE0">
      <w:pPr>
        <w:pStyle w:val="SubmissionNormal"/>
        <w:tabs>
          <w:tab w:val="clear" w:pos="360"/>
        </w:tabs>
        <w:ind w:hanging="720"/>
      </w:pPr>
      <w:r>
        <w:rPr>
          <w:lang w:val="en-AU"/>
        </w:rPr>
        <w:t>The Campaign Steering Committee believes that s</w:t>
      </w:r>
      <w:r w:rsidR="00846EE0" w:rsidRPr="00396F2E">
        <w:rPr>
          <w:lang w:val="en-AU"/>
        </w:rPr>
        <w:t xml:space="preserve">ection 18E should not be removed. </w:t>
      </w:r>
    </w:p>
    <w:p w:rsidR="005261E9" w:rsidRPr="007C4DE9" w:rsidRDefault="005261E9" w:rsidP="00F32A50">
      <w:pPr>
        <w:pStyle w:val="Heading3"/>
        <w:tabs>
          <w:tab w:val="clear" w:pos="851"/>
        </w:tabs>
      </w:pPr>
      <w:bookmarkStart w:id="27" w:name="_Toc386556854"/>
      <w:r>
        <w:rPr>
          <w:lang w:val="en-AU"/>
        </w:rPr>
        <w:t>Concluding views on the proposed amendments</w:t>
      </w:r>
      <w:bookmarkEnd w:id="27"/>
    </w:p>
    <w:p w:rsidR="007C4DE9" w:rsidRPr="00B87D8A" w:rsidRDefault="00A96AA8" w:rsidP="00CF6022">
      <w:pPr>
        <w:pStyle w:val="SubmissionNormal"/>
        <w:tabs>
          <w:tab w:val="clear" w:pos="360"/>
        </w:tabs>
        <w:ind w:hanging="720"/>
      </w:pPr>
      <w:r>
        <w:rPr>
          <w:lang w:val="en-AU"/>
        </w:rPr>
        <w:t>When examined holistically the</w:t>
      </w:r>
      <w:r w:rsidRPr="00A96AA8">
        <w:rPr>
          <w:lang w:val="en-AU"/>
        </w:rPr>
        <w:t xml:space="preserve"> proposed changes </w:t>
      </w:r>
      <w:r w:rsidR="00CF136E">
        <w:rPr>
          <w:lang w:val="en-AU"/>
        </w:rPr>
        <w:t xml:space="preserve">in the Exposure Draft </w:t>
      </w:r>
      <w:r w:rsidR="009F6C77">
        <w:rPr>
          <w:lang w:val="en-AU"/>
        </w:rPr>
        <w:t xml:space="preserve">will operate to severely restrict protections against racial </w:t>
      </w:r>
      <w:r w:rsidR="00CF136E">
        <w:rPr>
          <w:lang w:val="en-AU"/>
        </w:rPr>
        <w:t>hatred</w:t>
      </w:r>
      <w:r w:rsidR="009F6C77">
        <w:rPr>
          <w:lang w:val="en-AU"/>
        </w:rPr>
        <w:t xml:space="preserve">. </w:t>
      </w:r>
      <w:r w:rsidR="001F4378">
        <w:rPr>
          <w:lang w:val="en-AU"/>
        </w:rPr>
        <w:t>As outlined above in section 5(e</w:t>
      </w:r>
      <w:r w:rsidR="009F6C77">
        <w:rPr>
          <w:lang w:val="en-AU"/>
        </w:rPr>
        <w:t xml:space="preserve">) the </w:t>
      </w:r>
      <w:r w:rsidR="00CF136E">
        <w:rPr>
          <w:lang w:val="en-AU"/>
        </w:rPr>
        <w:t xml:space="preserve">proposed </w:t>
      </w:r>
      <w:r w:rsidR="009F6C77">
        <w:rPr>
          <w:lang w:val="en-AU"/>
        </w:rPr>
        <w:t xml:space="preserve">extremely broad exemptions </w:t>
      </w:r>
      <w:r w:rsidR="00CF136E">
        <w:rPr>
          <w:lang w:val="en-AU"/>
        </w:rPr>
        <w:t>would ensure that it</w:t>
      </w:r>
      <w:r w:rsidR="00B87D8A">
        <w:rPr>
          <w:lang w:val="en-AU"/>
        </w:rPr>
        <w:t xml:space="preserve"> is difficult to imagine any public discussion that </w:t>
      </w:r>
      <w:r w:rsidR="00806D03">
        <w:rPr>
          <w:lang w:val="en-AU"/>
        </w:rPr>
        <w:t>would not be</w:t>
      </w:r>
      <w:r w:rsidR="00B87D8A">
        <w:rPr>
          <w:lang w:val="en-AU"/>
        </w:rPr>
        <w:t xml:space="preserve"> exempted from the protections that remain. </w:t>
      </w:r>
    </w:p>
    <w:p w:rsidR="00846EE0" w:rsidRPr="00846EE0" w:rsidRDefault="00846EE0" w:rsidP="00806D03">
      <w:pPr>
        <w:pStyle w:val="SubmissionNormal"/>
        <w:tabs>
          <w:tab w:val="clear" w:pos="360"/>
        </w:tabs>
        <w:ind w:hanging="720"/>
      </w:pPr>
      <w:r>
        <w:t xml:space="preserve">See Appendix 3 for case studies on how current protections </w:t>
      </w:r>
      <w:r w:rsidR="00C42605">
        <w:rPr>
          <w:lang w:val="en-AU"/>
        </w:rPr>
        <w:t xml:space="preserve">against racial hatred </w:t>
      </w:r>
      <w:r>
        <w:t xml:space="preserve">would be weakened by the </w:t>
      </w:r>
      <w:r w:rsidR="00770FED" w:rsidRPr="00770FED">
        <w:rPr>
          <w:lang w:val="en-AU"/>
        </w:rPr>
        <w:t>Exposure Draft</w:t>
      </w:r>
      <w:r>
        <w:t>.</w:t>
      </w:r>
    </w:p>
    <w:p w:rsidR="001F4378" w:rsidRPr="001F4378" w:rsidRDefault="00B87D8A" w:rsidP="00806D03">
      <w:pPr>
        <w:pStyle w:val="SubmissionNormal"/>
        <w:tabs>
          <w:tab w:val="clear" w:pos="360"/>
        </w:tabs>
        <w:ind w:hanging="720"/>
      </w:pPr>
      <w:r>
        <w:t xml:space="preserve">As </w:t>
      </w:r>
      <w:r w:rsidR="00617316">
        <w:rPr>
          <w:lang w:val="en-AU"/>
        </w:rPr>
        <w:t>demonstrated above in section 3 of this submission</w:t>
      </w:r>
      <w:r w:rsidR="00C42605">
        <w:rPr>
          <w:lang w:val="en-AU"/>
        </w:rPr>
        <w:t>,</w:t>
      </w:r>
      <w:r>
        <w:t xml:space="preserve"> racism and </w:t>
      </w:r>
      <w:r w:rsidR="00C65EEC">
        <w:t>discrimination,</w:t>
      </w:r>
      <w:r>
        <w:t xml:space="preserve"> </w:t>
      </w:r>
      <w:r w:rsidR="00C65EEC">
        <w:t>both interpersonal and systemic, have significant impacts</w:t>
      </w:r>
      <w:r>
        <w:t xml:space="preserve"> on the physical and mental health</w:t>
      </w:r>
      <w:r w:rsidR="00D473C4">
        <w:rPr>
          <w:lang w:val="en-AU"/>
        </w:rPr>
        <w:t xml:space="preserve"> and wellbeing</w:t>
      </w:r>
      <w:r>
        <w:t xml:space="preserve"> of Aboriginal and Torres </w:t>
      </w:r>
      <w:r w:rsidRPr="00806D03">
        <w:rPr>
          <w:lang w:val="en-AU"/>
        </w:rPr>
        <w:t>Strait</w:t>
      </w:r>
      <w:r>
        <w:t xml:space="preserve"> Islander people.</w:t>
      </w:r>
    </w:p>
    <w:p w:rsidR="00B87D8A" w:rsidRPr="009F6C77" w:rsidRDefault="00C65EEC" w:rsidP="00806D03">
      <w:pPr>
        <w:pStyle w:val="SubmissionNormal"/>
        <w:tabs>
          <w:tab w:val="clear" w:pos="360"/>
        </w:tabs>
        <w:ind w:hanging="720"/>
      </w:pPr>
      <w:r>
        <w:t xml:space="preserve">If the </w:t>
      </w:r>
      <w:r w:rsidR="00770FED" w:rsidRPr="00770FED">
        <w:rPr>
          <w:lang w:val="en-AU"/>
        </w:rPr>
        <w:t>Exposure Draft</w:t>
      </w:r>
      <w:r>
        <w:t xml:space="preserve"> is enacted into law the Campaign Steering Committee would be </w:t>
      </w:r>
      <w:r w:rsidR="005F64E3">
        <w:rPr>
          <w:lang w:val="en-AU"/>
        </w:rPr>
        <w:t xml:space="preserve">extremely </w:t>
      </w:r>
      <w:r>
        <w:t xml:space="preserve">concerned about the potential negative impacts </w:t>
      </w:r>
      <w:r w:rsidR="00C42605">
        <w:rPr>
          <w:lang w:val="en-AU"/>
        </w:rPr>
        <w:t>the weakening of protections against racial hatred</w:t>
      </w:r>
      <w:r>
        <w:t xml:space="preserve"> would have on the health of Aboriginal and Torres Strait Islander people. </w:t>
      </w:r>
    </w:p>
    <w:p w:rsidR="00D355B6" w:rsidRPr="00D355B6" w:rsidRDefault="00AC08E1" w:rsidP="00F32A50">
      <w:pPr>
        <w:pStyle w:val="Heading1"/>
        <w:numPr>
          <w:ilvl w:val="0"/>
          <w:numId w:val="16"/>
        </w:numPr>
        <w:tabs>
          <w:tab w:val="clear" w:pos="851"/>
        </w:tabs>
        <w:rPr>
          <w:rFonts w:cs="Arial"/>
        </w:rPr>
      </w:pPr>
      <w:bookmarkStart w:id="28" w:name="_Toc386556855"/>
      <w:r>
        <w:rPr>
          <w:rFonts w:cs="Arial"/>
          <w:lang w:val="en-AU"/>
        </w:rPr>
        <w:t>Conclusion</w:t>
      </w:r>
      <w:bookmarkEnd w:id="28"/>
      <w:r>
        <w:rPr>
          <w:rFonts w:cs="Arial"/>
          <w:lang w:val="en-AU"/>
        </w:rPr>
        <w:t xml:space="preserve"> </w:t>
      </w:r>
    </w:p>
    <w:p w:rsidR="00034CEA" w:rsidRPr="00034CEA" w:rsidRDefault="00034CEA" w:rsidP="00CF6022">
      <w:pPr>
        <w:pStyle w:val="SubmissionNormal"/>
        <w:tabs>
          <w:tab w:val="clear" w:pos="360"/>
        </w:tabs>
        <w:ind w:hanging="720"/>
        <w:rPr>
          <w:rFonts w:cs="Arial"/>
        </w:rPr>
      </w:pPr>
      <w:r w:rsidRPr="00034CEA">
        <w:rPr>
          <w:rFonts w:cs="Arial"/>
        </w:rPr>
        <w:t xml:space="preserve">Evidence clearly demonstrates that experiences of racism and discrimination have a negative impact on Aboriginal and Torres Strait Islander people’s physical and mental health. </w:t>
      </w:r>
    </w:p>
    <w:p w:rsidR="00034CEA" w:rsidRPr="00034CEA" w:rsidRDefault="00034CEA" w:rsidP="00CF6022">
      <w:pPr>
        <w:pStyle w:val="SubmissionNormal"/>
        <w:tabs>
          <w:tab w:val="clear" w:pos="360"/>
        </w:tabs>
        <w:ind w:hanging="720"/>
        <w:rPr>
          <w:rFonts w:cs="Arial"/>
        </w:rPr>
      </w:pPr>
      <w:r>
        <w:rPr>
          <w:rFonts w:cs="Arial"/>
          <w:lang w:val="en-AU"/>
        </w:rPr>
        <w:lastRenderedPageBreak/>
        <w:t xml:space="preserve">Addressing racism is therefore a critical component of efforts to close the unacceptable </w:t>
      </w:r>
      <w:r w:rsidR="00524529">
        <w:rPr>
          <w:rFonts w:cs="Arial"/>
          <w:lang w:val="en-AU"/>
        </w:rPr>
        <w:t xml:space="preserve">health and life expectancy gap between Aboriginal and Torres Strait Islander people and other Australians. </w:t>
      </w:r>
    </w:p>
    <w:p w:rsidR="00500505" w:rsidRPr="00500505" w:rsidRDefault="00553008" w:rsidP="00CF6022">
      <w:pPr>
        <w:pStyle w:val="SubmissionNormal"/>
        <w:tabs>
          <w:tab w:val="clear" w:pos="360"/>
        </w:tabs>
        <w:ind w:hanging="720"/>
      </w:pPr>
      <w:r w:rsidRPr="00553008">
        <w:t xml:space="preserve">The </w:t>
      </w:r>
      <w:r w:rsidR="00F10BCC" w:rsidRPr="00F10BCC">
        <w:rPr>
          <w:rFonts w:cs="Arial"/>
        </w:rPr>
        <w:t>Campaign Steering Committee</w:t>
      </w:r>
      <w:r w:rsidRPr="00553008">
        <w:t xml:space="preserve"> firmly believes that strong anti-racism measures are required to combat the ongoing damage caused by interpersonal and </w:t>
      </w:r>
      <w:r w:rsidRPr="00621EE3">
        <w:rPr>
          <w:rFonts w:cs="Arial"/>
        </w:rPr>
        <w:t>systemic</w:t>
      </w:r>
      <w:r w:rsidRPr="00553008">
        <w:t xml:space="preserve"> racism. </w:t>
      </w:r>
      <w:r w:rsidR="00500505" w:rsidRPr="00553008">
        <w:t xml:space="preserve">This includes the need for strong legislative protections against </w:t>
      </w:r>
      <w:r w:rsidR="00500505">
        <w:rPr>
          <w:lang w:val="en-AU"/>
        </w:rPr>
        <w:t xml:space="preserve">racial hatred which </w:t>
      </w:r>
      <w:r w:rsidR="00F20AB3">
        <w:rPr>
          <w:lang w:val="en-AU"/>
        </w:rPr>
        <w:t>play an important role in shaping acceptable social norms.</w:t>
      </w:r>
    </w:p>
    <w:p w:rsidR="00553008" w:rsidRPr="00553008" w:rsidRDefault="00846EE0" w:rsidP="00CF6022">
      <w:pPr>
        <w:pStyle w:val="SubmissionNormal"/>
        <w:tabs>
          <w:tab w:val="clear" w:pos="360"/>
        </w:tabs>
        <w:ind w:hanging="720"/>
      </w:pPr>
      <w:r w:rsidRPr="001F4378">
        <w:rPr>
          <w:lang w:val="en-AU"/>
        </w:rPr>
        <w:t>S</w:t>
      </w:r>
      <w:r w:rsidR="00F20AB3">
        <w:rPr>
          <w:lang w:val="en-AU"/>
        </w:rPr>
        <w:t xml:space="preserve">trong legislative protections against racism and racial hatred should be complemented by education and awareness raising programs to </w:t>
      </w:r>
      <w:r w:rsidR="00F20AB3" w:rsidRPr="00F20AB3">
        <w:rPr>
          <w:lang w:val="en"/>
        </w:rPr>
        <w:t>promote a community understanding of and respect for human rights and for people’s responsibilities</w:t>
      </w:r>
      <w:r>
        <w:rPr>
          <w:lang w:val="en-AU"/>
        </w:rPr>
        <w:t>.</w:t>
      </w:r>
      <w:r w:rsidR="00F20AB3">
        <w:rPr>
          <w:lang w:val="en-AU"/>
        </w:rPr>
        <w:t xml:space="preserve"> </w:t>
      </w:r>
      <w:r w:rsidR="00F20AB3">
        <w:t>There is a critical role for educative measures that promote cultural diversity, tolerance and the value of the multicultural nature of our society, while also sending a strong message of opposition to racial discrimination and hatred.</w:t>
      </w:r>
      <w:r>
        <w:rPr>
          <w:rStyle w:val="EndnoteReference"/>
          <w:lang w:val="en-AU"/>
        </w:rPr>
        <w:endnoteReference w:id="66"/>
      </w:r>
    </w:p>
    <w:p w:rsidR="00524529" w:rsidRPr="00657A94" w:rsidRDefault="004445EA" w:rsidP="00CF6022">
      <w:pPr>
        <w:pStyle w:val="SubmissionNormal"/>
        <w:tabs>
          <w:tab w:val="clear" w:pos="360"/>
        </w:tabs>
        <w:ind w:hanging="720"/>
      </w:pPr>
      <w:r>
        <w:rPr>
          <w:lang w:val="en-AU"/>
        </w:rPr>
        <w:t>The</w:t>
      </w:r>
      <w:r w:rsidR="00262ABE">
        <w:t xml:space="preserve"> Australian Government is committed to the national effort to close the gap in health and life expectancy. The </w:t>
      </w:r>
      <w:r w:rsidR="00F10BCC" w:rsidRPr="00F10BCC">
        <w:rPr>
          <w:lang w:val="en-AU"/>
        </w:rPr>
        <w:t>Campaign Steering Committee</w:t>
      </w:r>
      <w:r w:rsidR="00262ABE">
        <w:t xml:space="preserve"> believes that as part of this effort the Australian Government must fully </w:t>
      </w:r>
      <w:r w:rsidR="00524529" w:rsidRPr="00524529">
        <w:t xml:space="preserve">consider the impacts </w:t>
      </w:r>
      <w:r w:rsidR="00262ABE">
        <w:t>to the</w:t>
      </w:r>
      <w:r w:rsidR="00262ABE" w:rsidRPr="00524529">
        <w:t xml:space="preserve"> physical and mental health of Aboriginal and Torres Strait Islander people </w:t>
      </w:r>
      <w:r w:rsidR="00262ABE">
        <w:t xml:space="preserve">before making any amendment to </w:t>
      </w:r>
      <w:r w:rsidR="008E1FAA">
        <w:rPr>
          <w:lang w:val="en-AU"/>
        </w:rPr>
        <w:t>Part IIA of the</w:t>
      </w:r>
      <w:r w:rsidR="00524529" w:rsidRPr="00524529">
        <w:t xml:space="preserve"> Racial</w:t>
      </w:r>
      <w:r w:rsidR="00262ABE">
        <w:t xml:space="preserve"> Discrimination Act</w:t>
      </w:r>
      <w:r w:rsidR="00524529" w:rsidRPr="00524529">
        <w:t>.</w:t>
      </w:r>
    </w:p>
    <w:p w:rsidR="00657A94" w:rsidRPr="00E562E3" w:rsidRDefault="00657A94" w:rsidP="00CF6022">
      <w:pPr>
        <w:pStyle w:val="SubmissionNormal"/>
        <w:tabs>
          <w:tab w:val="clear" w:pos="360"/>
        </w:tabs>
        <w:ind w:hanging="720"/>
      </w:pPr>
      <w:r w:rsidRPr="004445EA">
        <w:t>The Campaign Steering Committee believes that the Exposure Draft should not be introduced into parliament</w:t>
      </w:r>
      <w:r>
        <w:rPr>
          <w:lang w:val="en-AU"/>
        </w:rPr>
        <w:t>.</w:t>
      </w:r>
    </w:p>
    <w:p w:rsidR="00E23FE7" w:rsidRPr="003566C4" w:rsidRDefault="00E23FE7" w:rsidP="0051176C">
      <w:pPr>
        <w:pStyle w:val="SubmissionNormal"/>
        <w:numPr>
          <w:ilvl w:val="0"/>
          <w:numId w:val="0"/>
        </w:numPr>
        <w:ind w:left="360" w:hanging="360"/>
      </w:pPr>
    </w:p>
    <w:p w:rsidR="00E23FE7" w:rsidRDefault="00E23FE7" w:rsidP="00B63D24">
      <w:pPr>
        <w:sectPr w:rsidR="00E23FE7"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pPr>
    </w:p>
    <w:p w:rsidR="00E23FE7" w:rsidRDefault="00E23FE7" w:rsidP="00B34A7A">
      <w:pPr>
        <w:pStyle w:val="Heading1"/>
        <w:numPr>
          <w:ilvl w:val="0"/>
          <w:numId w:val="0"/>
        </w:numPr>
      </w:pPr>
      <w:bookmarkStart w:id="29" w:name="_Toc386556856"/>
      <w:r>
        <w:lastRenderedPageBreak/>
        <w:t xml:space="preserve">Appendix 1: </w:t>
      </w:r>
      <w:r w:rsidRPr="00B34A7A">
        <w:t>Membership and a brief history of the Close the Gap Campaign Steering Committee</w:t>
      </w:r>
      <w:bookmarkEnd w:id="29"/>
    </w:p>
    <w:p w:rsidR="00687766" w:rsidRPr="00687766" w:rsidRDefault="00687766" w:rsidP="00687766">
      <w:pPr>
        <w:spacing w:before="0" w:after="0"/>
        <w:ind w:right="576"/>
        <w:rPr>
          <w:rFonts w:eastAsia="Calibri" w:cs="Arial"/>
          <w:lang w:val="en-US" w:eastAsia="en-US"/>
        </w:rPr>
      </w:pPr>
      <w:r w:rsidRPr="00687766">
        <w:rPr>
          <w:rFonts w:eastAsia="Calibri" w:cs="Arial"/>
          <w:lang w:val="en-US" w:eastAsia="en-US"/>
        </w:rPr>
        <w:t xml:space="preserve">Australia's peak Aboriginal and Torres Strait Islander and non-Indigenous health bodies, health professional bodies and human rights organisations operate the Close the Gap Campaign.  The Campaign's goal is to raise the health and life expectancy of Aboriginal and Torres Strait Islander people to that of the non-Indigenous population within a generation: to close the gap by 2030. It aims to do this through the implementation of a human rights-based approach set out in the Aboriginal and Torres Strait Islander Social Justice Commissioner's </w:t>
      </w:r>
      <w:r w:rsidRPr="00687766">
        <w:rPr>
          <w:rFonts w:eastAsia="Calibri" w:cs="Arial"/>
          <w:i/>
          <w:lang w:val="en-US" w:eastAsia="en-US"/>
        </w:rPr>
        <w:t>Social Justice Report 2005</w:t>
      </w:r>
      <w:r w:rsidRPr="00687766">
        <w:rPr>
          <w:rFonts w:eastAsia="Calibri" w:cs="Arial"/>
          <w:lang w:val="en-US" w:eastAsia="en-US"/>
        </w:rPr>
        <w:t>.</w:t>
      </w:r>
      <w:r w:rsidRPr="00687766">
        <w:rPr>
          <w:rFonts w:eastAsia="Calibri" w:cs="Arial"/>
          <w:vertAlign w:val="superscript"/>
          <w:lang w:val="en-US" w:eastAsia="en-US"/>
        </w:rPr>
        <w:endnoteReference w:id="67"/>
      </w:r>
    </w:p>
    <w:p w:rsidR="00687766" w:rsidRPr="00687766" w:rsidRDefault="00687766" w:rsidP="00687766">
      <w:pPr>
        <w:spacing w:before="0" w:after="0"/>
        <w:ind w:right="216"/>
        <w:rPr>
          <w:rFonts w:eastAsia="Calibri" w:cs="Arial"/>
          <w:lang w:val="en-US" w:eastAsia="en-US"/>
        </w:rPr>
      </w:pPr>
    </w:p>
    <w:p w:rsidR="00687766" w:rsidRPr="00687766" w:rsidRDefault="00687766" w:rsidP="00687766">
      <w:pPr>
        <w:spacing w:before="0" w:after="0"/>
        <w:ind w:right="360"/>
        <w:rPr>
          <w:rFonts w:eastAsia="Calibri" w:cs="Arial"/>
          <w:lang w:val="en-US" w:eastAsia="en-US"/>
        </w:rPr>
      </w:pPr>
      <w:r w:rsidRPr="00687766">
        <w:rPr>
          <w:rFonts w:eastAsia="Calibri" w:cs="Arial"/>
          <w:lang w:val="en-US" w:eastAsia="en-US"/>
        </w:rPr>
        <w:t xml:space="preserve">The Campaign Steering Committee first met in March 2006. Our patrons, Catherine Freeman OAM and </w:t>
      </w:r>
      <w:proofErr w:type="gramStart"/>
      <w:r w:rsidRPr="00687766">
        <w:rPr>
          <w:rFonts w:eastAsia="Calibri" w:cs="Arial"/>
          <w:lang w:val="en-US" w:eastAsia="en-US"/>
        </w:rPr>
        <w:t>lan</w:t>
      </w:r>
      <w:proofErr w:type="gramEnd"/>
      <w:r w:rsidRPr="00687766">
        <w:rPr>
          <w:rFonts w:eastAsia="Calibri" w:cs="Arial"/>
          <w:lang w:val="en-US" w:eastAsia="en-US"/>
        </w:rPr>
        <w:t xml:space="preserve"> Thorpe OAM, launched the campaign in April 2007. To date, almost 200,000 Australians have formally pledged their support.</w:t>
      </w:r>
      <w:r w:rsidRPr="00687766">
        <w:rPr>
          <w:rFonts w:eastAsia="Calibri" w:cs="Arial"/>
          <w:vertAlign w:val="superscript"/>
          <w:lang w:val="en-US" w:eastAsia="en-US"/>
        </w:rPr>
        <w:endnoteReference w:id="68"/>
      </w:r>
      <w:r w:rsidRPr="00687766">
        <w:rPr>
          <w:rFonts w:eastAsia="Calibri" w:cs="Arial"/>
          <w:lang w:val="en-US" w:eastAsia="en-US"/>
        </w:rPr>
        <w:t xml:space="preserve"> </w:t>
      </w:r>
    </w:p>
    <w:p w:rsidR="00687766" w:rsidRPr="00687766" w:rsidRDefault="00687766" w:rsidP="00687766">
      <w:pPr>
        <w:spacing w:before="0" w:after="0"/>
        <w:ind w:right="360"/>
        <w:rPr>
          <w:rFonts w:eastAsia="Calibri" w:cs="Arial"/>
          <w:lang w:val="en-US" w:eastAsia="en-US"/>
        </w:rPr>
      </w:pPr>
    </w:p>
    <w:p w:rsidR="00687766" w:rsidRPr="00687766" w:rsidRDefault="00687766" w:rsidP="00687766">
      <w:pPr>
        <w:spacing w:before="0" w:after="0"/>
        <w:ind w:right="144"/>
        <w:rPr>
          <w:rFonts w:eastAsia="Calibri" w:cs="Arial"/>
          <w:lang w:val="en-US" w:eastAsia="en-US"/>
        </w:rPr>
      </w:pPr>
      <w:r w:rsidRPr="00687766">
        <w:rPr>
          <w:rFonts w:eastAsia="Calibri" w:cs="Arial"/>
          <w:lang w:val="en-US" w:eastAsia="en-US"/>
        </w:rPr>
        <w:t xml:space="preserve">Australian Government and Opposition party representatives, including the then Prime Minister and Opposition Leader, signed the Close the Gap Campaign’s </w:t>
      </w:r>
      <w:r w:rsidRPr="00687766">
        <w:rPr>
          <w:rFonts w:eastAsia="Calibri" w:cs="Arial"/>
          <w:i/>
          <w:lang w:val="en-US" w:eastAsia="en-US"/>
        </w:rPr>
        <w:t xml:space="preserve">Close the Gap Statement of Intent </w:t>
      </w:r>
      <w:r w:rsidRPr="00687766">
        <w:rPr>
          <w:rFonts w:eastAsia="Calibri" w:cs="Arial"/>
          <w:lang w:val="en-US" w:eastAsia="en-US"/>
        </w:rPr>
        <w:t xml:space="preserve">in March 2008 at the Campaign's National Indigenous Health Equality Summit.  Successive Prime Ministers, Opposition Leaders, and Greens Party leaders have indicated their continuing support. The </w:t>
      </w:r>
      <w:r w:rsidRPr="00687766">
        <w:rPr>
          <w:rFonts w:eastAsia="Calibri" w:cs="Arial"/>
          <w:i/>
          <w:lang w:val="en-US" w:eastAsia="en-US"/>
        </w:rPr>
        <w:t>Close the Gap Statement of Intent</w:t>
      </w:r>
      <w:r w:rsidRPr="00687766">
        <w:rPr>
          <w:rFonts w:eastAsia="Calibri" w:cs="Arial"/>
          <w:lang w:val="en-US" w:eastAsia="en-US"/>
        </w:rPr>
        <w:t xml:space="preserve"> was subsequently signed by the Governments and Opposition Parties of Victoria in March 2008; Queensland in April 2008, Western Australia in April 2009; the Australian Capital Territory in April 2010, New South Wales in June 2010; and South Australia in November 2010.</w:t>
      </w:r>
    </w:p>
    <w:p w:rsidR="00687766" w:rsidRPr="00687766" w:rsidRDefault="00687766" w:rsidP="00687766">
      <w:pPr>
        <w:spacing w:before="0" w:after="0"/>
        <w:ind w:right="144"/>
        <w:rPr>
          <w:rFonts w:eastAsia="Calibri" w:cs="Arial"/>
          <w:lang w:val="en-US" w:eastAsia="en-US"/>
        </w:rPr>
      </w:pPr>
    </w:p>
    <w:p w:rsidR="00687766" w:rsidRPr="00687766" w:rsidRDefault="00687766" w:rsidP="00687766">
      <w:pPr>
        <w:spacing w:before="0" w:after="0"/>
        <w:rPr>
          <w:rFonts w:eastAsia="Calibri" w:cs="Arial"/>
          <w:lang w:val="en-US" w:eastAsia="en-US"/>
        </w:rPr>
      </w:pPr>
      <w:r w:rsidRPr="00687766">
        <w:rPr>
          <w:rFonts w:eastAsia="Calibri" w:cs="Arial"/>
          <w:lang w:val="en-US" w:eastAsia="en-US"/>
        </w:rPr>
        <w:t>As acknowledged in the NIRA, ‘the [COAG] Closing the Gap Agenda was developed in response to concerns raised with governments by Indigenous and non-Indigenous persons, including through the Close the Gap Campaign and the National Indigenous Health Equality Summit’.</w:t>
      </w:r>
      <w:r w:rsidRPr="00687766">
        <w:rPr>
          <w:rFonts w:eastAsia="Calibri" w:cs="Arial"/>
          <w:vertAlign w:val="superscript"/>
          <w:lang w:val="en-US" w:eastAsia="en-US"/>
        </w:rPr>
        <w:endnoteReference w:id="69"/>
      </w:r>
      <w:r w:rsidRPr="00687766">
        <w:rPr>
          <w:rFonts w:eastAsia="Calibri" w:cs="Arial"/>
          <w:lang w:val="en-US" w:eastAsia="en-US"/>
        </w:rPr>
        <w:t xml:space="preserve"> As such, the Campaign has provided significant impetus for the Council of Australian Governments:</w:t>
      </w:r>
    </w:p>
    <w:p w:rsidR="00687766" w:rsidRPr="00687766" w:rsidDel="00CC5181" w:rsidRDefault="00687766" w:rsidP="00687766">
      <w:pPr>
        <w:spacing w:before="0" w:after="0"/>
        <w:ind w:right="216"/>
        <w:rPr>
          <w:rFonts w:eastAsia="Calibri" w:cs="Arial"/>
          <w:lang w:val="en-US" w:eastAsia="en-US"/>
        </w:rPr>
      </w:pPr>
    </w:p>
    <w:p w:rsidR="00687766" w:rsidRPr="00687766" w:rsidRDefault="00687766" w:rsidP="00367218">
      <w:pPr>
        <w:numPr>
          <w:ilvl w:val="0"/>
          <w:numId w:val="24"/>
        </w:numPr>
        <w:tabs>
          <w:tab w:val="clear" w:pos="936"/>
        </w:tabs>
        <w:spacing w:before="0" w:after="0"/>
        <w:ind w:left="720" w:right="360"/>
        <w:rPr>
          <w:rFonts w:eastAsia="Calibri" w:cs="Arial"/>
          <w:lang w:val="en-US" w:eastAsia="en-US"/>
        </w:rPr>
      </w:pPr>
      <w:r w:rsidRPr="00687766">
        <w:rPr>
          <w:rFonts w:eastAsia="Calibri" w:cs="Arial"/>
          <w:lang w:val="en-US" w:eastAsia="en-US"/>
        </w:rPr>
        <w:t>Setting six ‘Closing the Gap’ Targets, including to achieve Aboriginal and Torres Strait Islander life expectancy equality within a generation, and to halve the Aboriginal and Torres Strait Islander under-fives mortality rate gap within a decade; and</w:t>
      </w:r>
    </w:p>
    <w:p w:rsidR="00687766" w:rsidRPr="00687766" w:rsidDel="00CC5181" w:rsidRDefault="00687766" w:rsidP="00367218">
      <w:pPr>
        <w:spacing w:before="0" w:after="0"/>
        <w:ind w:left="720" w:right="360"/>
        <w:rPr>
          <w:rFonts w:eastAsia="Calibri" w:cs="Arial"/>
          <w:lang w:val="en-US" w:eastAsia="en-US"/>
        </w:rPr>
      </w:pPr>
    </w:p>
    <w:p w:rsidR="00687766" w:rsidRPr="00687766" w:rsidRDefault="00687766" w:rsidP="00367218">
      <w:pPr>
        <w:numPr>
          <w:ilvl w:val="0"/>
          <w:numId w:val="24"/>
        </w:numPr>
        <w:tabs>
          <w:tab w:val="clear" w:pos="936"/>
        </w:tabs>
        <w:spacing w:before="0" w:after="0"/>
        <w:ind w:left="720" w:right="360"/>
        <w:rPr>
          <w:rFonts w:eastAsia="Calibri" w:cs="Arial"/>
          <w:lang w:val="en-US" w:eastAsia="en-US"/>
        </w:rPr>
      </w:pPr>
      <w:r w:rsidRPr="00687766">
        <w:rPr>
          <w:rFonts w:eastAsia="Calibri" w:cs="Arial"/>
          <w:lang w:val="en-US" w:eastAsia="en-US"/>
        </w:rPr>
        <w:t xml:space="preserve">Agreeing, by November 2008, the 'Closing the Gap' national partnership agreements. These have brought with them approximately five billion dollars in additional resources, including the $1.57 billion attached to the </w:t>
      </w:r>
      <w:r w:rsidRPr="00687766">
        <w:rPr>
          <w:rFonts w:eastAsia="Calibri" w:cs="Arial"/>
          <w:i/>
          <w:lang w:val="en-US" w:eastAsia="en-US"/>
        </w:rPr>
        <w:t>National Partnership Agreement on Closing the Gap in Indigenous Health Outcomes</w:t>
      </w:r>
      <w:r w:rsidRPr="00687766">
        <w:rPr>
          <w:rFonts w:eastAsia="Calibri" w:cs="Arial"/>
          <w:lang w:val="en-US" w:eastAsia="en-US"/>
        </w:rPr>
        <w:t xml:space="preserve"> that expired in June 2013; and the $564 million attached to the </w:t>
      </w:r>
      <w:r w:rsidRPr="00687766">
        <w:rPr>
          <w:rFonts w:eastAsia="Calibri" w:cs="Arial"/>
          <w:i/>
          <w:lang w:val="en-US" w:eastAsia="en-US"/>
        </w:rPr>
        <w:t>National Partnership Agreement on Indige</w:t>
      </w:r>
      <w:r w:rsidRPr="00367218">
        <w:rPr>
          <w:rFonts w:eastAsia="Calibri" w:cs="Arial"/>
          <w:lang w:val="en-US" w:eastAsia="en-US"/>
        </w:rPr>
        <w:t>nous Early Childhood Development</w:t>
      </w:r>
      <w:r w:rsidRPr="00687766">
        <w:rPr>
          <w:rFonts w:eastAsia="Calibri" w:cs="Arial"/>
          <w:lang w:val="en-US" w:eastAsia="en-US"/>
        </w:rPr>
        <w:t xml:space="preserve"> that expires in June 2014.</w:t>
      </w:r>
    </w:p>
    <w:p w:rsidR="00687766" w:rsidRPr="00687766" w:rsidRDefault="00687766" w:rsidP="00687766">
      <w:pPr>
        <w:spacing w:before="0" w:after="0"/>
        <w:ind w:right="360"/>
        <w:jc w:val="both"/>
        <w:rPr>
          <w:rFonts w:eastAsia="Calibri" w:cs="Arial"/>
          <w:lang w:val="en-US" w:eastAsia="en-US"/>
        </w:rPr>
      </w:pPr>
    </w:p>
    <w:p w:rsidR="00687766" w:rsidRPr="00687766" w:rsidRDefault="00687766" w:rsidP="00687766">
      <w:pPr>
        <w:spacing w:before="0" w:after="0"/>
        <w:ind w:right="360"/>
        <w:rPr>
          <w:rFonts w:eastAsia="Calibri" w:cs="Arial"/>
          <w:lang w:val="en-US" w:eastAsia="en-US"/>
        </w:rPr>
      </w:pPr>
      <w:r w:rsidRPr="00687766">
        <w:rPr>
          <w:rFonts w:eastAsia="Calibri" w:cs="Arial"/>
          <w:lang w:val="en-US" w:eastAsia="en-US"/>
        </w:rPr>
        <w:t>The Close the Gap Campaign is a growing national movement:</w:t>
      </w:r>
    </w:p>
    <w:p w:rsidR="00687766" w:rsidRPr="00687766" w:rsidRDefault="00687766" w:rsidP="00687766">
      <w:pPr>
        <w:spacing w:before="0" w:after="0"/>
        <w:ind w:right="360"/>
        <w:rPr>
          <w:rFonts w:eastAsia="Calibri" w:cs="Arial"/>
          <w:lang w:val="en-US" w:eastAsia="en-US"/>
        </w:rPr>
      </w:pPr>
    </w:p>
    <w:p w:rsidR="00687766" w:rsidRPr="00687766" w:rsidRDefault="00687766" w:rsidP="006E58B9">
      <w:pPr>
        <w:numPr>
          <w:ilvl w:val="0"/>
          <w:numId w:val="24"/>
        </w:numPr>
        <w:tabs>
          <w:tab w:val="clear" w:pos="936"/>
        </w:tabs>
        <w:spacing w:before="0" w:after="0"/>
        <w:ind w:left="720" w:right="360"/>
        <w:rPr>
          <w:rFonts w:eastAsia="Calibri" w:cs="Arial"/>
          <w:lang w:val="en-US" w:eastAsia="en-US"/>
        </w:rPr>
      </w:pPr>
      <w:r w:rsidRPr="00687766">
        <w:rPr>
          <w:rFonts w:eastAsia="Calibri" w:cs="Arial"/>
          <w:lang w:val="en-US" w:eastAsia="en-US"/>
        </w:rPr>
        <w:t xml:space="preserve">Every year since 2010 the National Rugby League has dedicated a round of matches to </w:t>
      </w:r>
      <w:proofErr w:type="gramStart"/>
      <w:r w:rsidRPr="00687766">
        <w:rPr>
          <w:rFonts w:eastAsia="Calibri" w:cs="Arial"/>
          <w:lang w:val="en-US" w:eastAsia="en-US"/>
        </w:rPr>
        <w:t>Close</w:t>
      </w:r>
      <w:proofErr w:type="gramEnd"/>
      <w:r w:rsidRPr="00687766">
        <w:rPr>
          <w:rFonts w:eastAsia="Calibri" w:cs="Arial"/>
          <w:lang w:val="en-US" w:eastAsia="en-US"/>
        </w:rPr>
        <w:t xml:space="preserve"> the Gap. The Close the Gap rounds are broadcast to between 2.5 and 3.5 million Australians each year. </w:t>
      </w:r>
    </w:p>
    <w:p w:rsidR="00687766" w:rsidRPr="00687766" w:rsidRDefault="00687766" w:rsidP="00687766">
      <w:pPr>
        <w:spacing w:before="0" w:after="0"/>
        <w:ind w:right="360"/>
        <w:rPr>
          <w:rFonts w:eastAsia="Calibri" w:cs="Arial"/>
          <w:lang w:val="en-US" w:eastAsia="en-US"/>
        </w:rPr>
      </w:pPr>
    </w:p>
    <w:p w:rsidR="00687766" w:rsidRPr="00687766" w:rsidRDefault="00687766" w:rsidP="009669DC">
      <w:pPr>
        <w:numPr>
          <w:ilvl w:val="0"/>
          <w:numId w:val="24"/>
        </w:numPr>
        <w:tabs>
          <w:tab w:val="clear" w:pos="936"/>
          <w:tab w:val="num" w:pos="720"/>
        </w:tabs>
        <w:spacing w:before="0" w:after="0"/>
        <w:ind w:left="720" w:right="360"/>
        <w:rPr>
          <w:rFonts w:eastAsia="Calibri" w:cs="Arial"/>
          <w:lang w:val="en-US" w:eastAsia="en-US"/>
        </w:rPr>
      </w:pPr>
      <w:r w:rsidRPr="00687766">
        <w:rPr>
          <w:rFonts w:eastAsia="Calibri" w:cs="Arial"/>
          <w:lang w:val="en-US" w:eastAsia="en-US"/>
        </w:rPr>
        <w:t xml:space="preserve">In 2007 the first National Close the Gap Day was held. It involved five large State events and more than 300 community events. National Close the Gap Day has become an annual event since 2009. Australians across every state and territory participate in this event. Health services, schools, businesses, hospitals, government departments, ambulance services, non-government organisations and others hold events to raise awareness and show support for the Campaign and its goals. Reflecting the importance of the Campaign to nation, it has become the largest and highest profile Aboriginal and Torres Strait Islander health event in the country. </w:t>
      </w:r>
      <w:r w:rsidR="00A24657">
        <w:rPr>
          <w:rFonts w:eastAsia="Calibri" w:cs="Arial"/>
          <w:lang w:val="en-US" w:eastAsia="en-US"/>
        </w:rPr>
        <w:t xml:space="preserve">Just </w:t>
      </w:r>
      <w:proofErr w:type="gramStart"/>
      <w:r w:rsidR="00A24657">
        <w:rPr>
          <w:rFonts w:eastAsia="Calibri" w:cs="Arial"/>
          <w:lang w:val="en-US" w:eastAsia="en-US"/>
        </w:rPr>
        <w:t>under</w:t>
      </w:r>
      <w:proofErr w:type="gramEnd"/>
      <w:r w:rsidR="00A24657">
        <w:rPr>
          <w:rFonts w:eastAsia="Calibri" w:cs="Arial"/>
          <w:lang w:val="en-US" w:eastAsia="en-US"/>
        </w:rPr>
        <w:t xml:space="preserve"> 1,300</w:t>
      </w:r>
      <w:r w:rsidRPr="00687766">
        <w:rPr>
          <w:rFonts w:eastAsia="Calibri" w:cs="Arial"/>
          <w:lang w:val="en-US" w:eastAsia="en-US"/>
        </w:rPr>
        <w:t xml:space="preserve"> community events involving </w:t>
      </w:r>
      <w:r w:rsidR="00A24657">
        <w:rPr>
          <w:rFonts w:eastAsia="Calibri" w:cs="Arial"/>
          <w:lang w:val="en-US" w:eastAsia="en-US"/>
        </w:rPr>
        <w:t>approximately 15</w:t>
      </w:r>
      <w:r w:rsidRPr="00687766">
        <w:rPr>
          <w:rFonts w:eastAsia="Calibri" w:cs="Arial"/>
          <w:lang w:val="en-US" w:eastAsia="en-US"/>
        </w:rPr>
        <w:t>0,000 Australians were held on National Close the Gap Day in 201</w:t>
      </w:r>
      <w:r w:rsidR="00A24657">
        <w:rPr>
          <w:rFonts w:eastAsia="Calibri" w:cs="Arial"/>
          <w:lang w:val="en-US" w:eastAsia="en-US"/>
        </w:rPr>
        <w:t>4</w:t>
      </w:r>
      <w:r w:rsidRPr="00687766">
        <w:rPr>
          <w:rFonts w:eastAsia="Calibri" w:cs="Arial"/>
          <w:lang w:val="en-US" w:eastAsia="en-US"/>
        </w:rPr>
        <w:t xml:space="preserve">. </w:t>
      </w:r>
    </w:p>
    <w:p w:rsidR="00687766" w:rsidRPr="00687766" w:rsidRDefault="00687766" w:rsidP="00687766">
      <w:pPr>
        <w:spacing w:before="0" w:after="0"/>
        <w:rPr>
          <w:rFonts w:eastAsia="Calibri" w:cs="Arial"/>
          <w:lang w:val="en-US" w:eastAsia="en-US"/>
        </w:rPr>
      </w:pPr>
    </w:p>
    <w:p w:rsidR="00687766" w:rsidRPr="00687766" w:rsidRDefault="00687766" w:rsidP="00687766">
      <w:pPr>
        <w:spacing w:before="0" w:after="0"/>
        <w:rPr>
          <w:rFonts w:eastAsia="Calibri" w:cs="Arial"/>
          <w:lang w:val="en-US" w:eastAsia="en-US"/>
        </w:rPr>
      </w:pPr>
      <w:r w:rsidRPr="00687766">
        <w:rPr>
          <w:rFonts w:eastAsia="Calibri" w:cs="Arial"/>
          <w:lang w:val="en-US"/>
        </w:rPr>
        <w:t>The current members of the Close the Gap Campaign Steering Committee are</w:t>
      </w:r>
      <w:r w:rsidRPr="00687766">
        <w:rPr>
          <w:rFonts w:eastAsia="Calibri" w:cs="Arial"/>
          <w:lang w:val="en-US" w:eastAsia="en-US"/>
        </w:rPr>
        <w:t>:</w:t>
      </w:r>
    </w:p>
    <w:p w:rsidR="00687766" w:rsidRPr="00687766" w:rsidRDefault="00687766" w:rsidP="00687766">
      <w:pPr>
        <w:spacing w:before="0" w:after="0"/>
        <w:rPr>
          <w:rFonts w:eastAsia="Calibri" w:cs="Arial"/>
          <w:b/>
          <w:lang w:val="en-US" w:eastAsia="en-US"/>
        </w:rPr>
      </w:pPr>
    </w:p>
    <w:p w:rsidR="00687766" w:rsidRPr="00687766" w:rsidRDefault="00687766" w:rsidP="00687766">
      <w:pPr>
        <w:spacing w:before="0" w:after="0"/>
        <w:rPr>
          <w:rFonts w:eastAsia="Calibri" w:cs="Arial"/>
          <w:b/>
          <w:lang w:val="en-US" w:eastAsia="en-US"/>
        </w:rPr>
      </w:pPr>
      <w:r w:rsidRPr="00687766">
        <w:rPr>
          <w:rFonts w:eastAsia="Calibri" w:cs="Arial"/>
          <w:b/>
          <w:lang w:val="en-US" w:eastAsia="en-US"/>
        </w:rPr>
        <w:t>Co-chairs</w:t>
      </w:r>
    </w:p>
    <w:p w:rsidR="00687766" w:rsidRPr="00687766" w:rsidRDefault="00687766" w:rsidP="00687766">
      <w:pPr>
        <w:spacing w:before="0" w:after="0"/>
        <w:rPr>
          <w:rFonts w:eastAsia="Calibri" w:cs="Arial"/>
          <w:b/>
          <w:lang w:val="en-US" w:eastAsia="en-US"/>
        </w:rPr>
      </w:pPr>
    </w:p>
    <w:p w:rsidR="00687766" w:rsidRPr="00687766" w:rsidRDefault="00687766" w:rsidP="00687766">
      <w:pPr>
        <w:numPr>
          <w:ilvl w:val="0"/>
          <w:numId w:val="18"/>
        </w:numPr>
        <w:spacing w:before="0" w:after="0"/>
        <w:ind w:left="498" w:hanging="357"/>
        <w:contextualSpacing/>
        <w:rPr>
          <w:rFonts w:eastAsia="Calibri" w:cs="Arial"/>
          <w:lang w:val="en-US" w:eastAsia="en-US"/>
        </w:rPr>
      </w:pPr>
      <w:r w:rsidRPr="00687766">
        <w:rPr>
          <w:rFonts w:eastAsia="Calibri" w:cs="Arial"/>
          <w:lang w:val="en-US" w:eastAsia="en-US"/>
        </w:rPr>
        <w:t>Ms Kirstie Parker, Co-chair of the National Congress of Australia’s First Peoples</w:t>
      </w:r>
    </w:p>
    <w:p w:rsidR="00687766" w:rsidRPr="00687766" w:rsidRDefault="00687766" w:rsidP="00687766">
      <w:pPr>
        <w:numPr>
          <w:ilvl w:val="0"/>
          <w:numId w:val="18"/>
        </w:numPr>
        <w:spacing w:before="0" w:after="0"/>
        <w:ind w:left="498" w:right="144" w:hanging="357"/>
        <w:contextualSpacing/>
        <w:rPr>
          <w:rFonts w:eastAsia="Calibri" w:cs="Arial"/>
          <w:lang w:val="en-US" w:eastAsia="en-US"/>
        </w:rPr>
      </w:pPr>
      <w:r w:rsidRPr="00687766">
        <w:rPr>
          <w:rFonts w:eastAsia="Calibri" w:cs="Arial"/>
          <w:lang w:val="en-US" w:eastAsia="en-US"/>
        </w:rPr>
        <w:t>Mr Mick Gooda, Aboriginal and Torres Strait Islander Social Justice Commissioner, Australian Human Rights Commission</w:t>
      </w:r>
    </w:p>
    <w:p w:rsidR="00687766" w:rsidRPr="00687766" w:rsidRDefault="00687766" w:rsidP="00687766">
      <w:pPr>
        <w:spacing w:before="0" w:after="0"/>
        <w:rPr>
          <w:rFonts w:eastAsia="Calibri" w:cs="Arial"/>
          <w:b/>
          <w:lang w:val="en-US" w:eastAsia="en-US"/>
        </w:rPr>
      </w:pPr>
    </w:p>
    <w:p w:rsidR="00687766" w:rsidRPr="00687766" w:rsidRDefault="00687766" w:rsidP="00687766">
      <w:pPr>
        <w:spacing w:before="0" w:after="0"/>
        <w:rPr>
          <w:rFonts w:eastAsia="Calibri" w:cs="Arial"/>
          <w:b/>
          <w:lang w:val="en-US" w:eastAsia="en-US"/>
        </w:rPr>
      </w:pPr>
      <w:r w:rsidRPr="00687766">
        <w:rPr>
          <w:rFonts w:eastAsia="Calibri" w:cs="Arial"/>
          <w:b/>
          <w:lang w:val="en-US" w:eastAsia="en-US"/>
        </w:rPr>
        <w:t>Members</w:t>
      </w:r>
    </w:p>
    <w:p w:rsidR="00687766" w:rsidRPr="00687766" w:rsidRDefault="00687766" w:rsidP="00687766">
      <w:pPr>
        <w:spacing w:before="0" w:after="0"/>
        <w:rPr>
          <w:rFonts w:eastAsia="Calibri" w:cs="Arial"/>
          <w:b/>
          <w:lang w:val="en-US" w:eastAsia="en-US"/>
        </w:rPr>
      </w:pPr>
    </w:p>
    <w:p w:rsidR="00687766" w:rsidRPr="00687766" w:rsidRDefault="00687766" w:rsidP="00687766">
      <w:pPr>
        <w:numPr>
          <w:ilvl w:val="0"/>
          <w:numId w:val="19"/>
        </w:numPr>
        <w:spacing w:before="0" w:after="0"/>
        <w:ind w:left="498" w:hanging="357"/>
        <w:contextualSpacing/>
        <w:rPr>
          <w:rFonts w:eastAsia="Calibri" w:cs="Arial"/>
          <w:lang w:val="en-US" w:eastAsia="en-US"/>
        </w:rPr>
      </w:pPr>
      <w:r w:rsidRPr="00687766">
        <w:rPr>
          <w:rFonts w:eastAsia="Calibri" w:cs="Arial"/>
          <w:lang w:val="en-US" w:eastAsia="en-US"/>
        </w:rPr>
        <w:t>Aboriginal and Torres Strait Islander Healing Foundation</w:t>
      </w:r>
    </w:p>
    <w:p w:rsidR="00687766" w:rsidRPr="00687766" w:rsidRDefault="00687766" w:rsidP="00687766">
      <w:pPr>
        <w:numPr>
          <w:ilvl w:val="0"/>
          <w:numId w:val="19"/>
        </w:numPr>
        <w:spacing w:before="0" w:after="0"/>
        <w:ind w:left="498" w:hanging="357"/>
        <w:contextualSpacing/>
        <w:rPr>
          <w:rFonts w:eastAsia="Calibri" w:cs="Arial"/>
          <w:lang w:val="en-US" w:eastAsia="en-US"/>
        </w:rPr>
      </w:pPr>
      <w:r w:rsidRPr="00687766">
        <w:rPr>
          <w:rFonts w:eastAsia="Calibri" w:cs="Arial"/>
          <w:lang w:val="en-US" w:eastAsia="en-US"/>
        </w:rPr>
        <w:t>Australian Indigenous Doctors' Association</w:t>
      </w:r>
    </w:p>
    <w:p w:rsidR="00687766" w:rsidRPr="00687766" w:rsidRDefault="00687766" w:rsidP="00687766">
      <w:pPr>
        <w:numPr>
          <w:ilvl w:val="0"/>
          <w:numId w:val="19"/>
        </w:numPr>
        <w:spacing w:before="0" w:after="0"/>
        <w:ind w:left="498" w:hanging="357"/>
        <w:contextualSpacing/>
        <w:rPr>
          <w:rFonts w:eastAsia="Calibri" w:cs="Arial"/>
          <w:lang w:val="en-US" w:eastAsia="en-US"/>
        </w:rPr>
      </w:pPr>
      <w:r w:rsidRPr="00687766">
        <w:rPr>
          <w:rFonts w:eastAsia="Calibri" w:cs="Arial"/>
          <w:lang w:val="en-US" w:eastAsia="en-US"/>
        </w:rPr>
        <w:t>Australian Indigenous Psychologists' Association</w:t>
      </w:r>
    </w:p>
    <w:p w:rsidR="00687766" w:rsidRPr="00687766" w:rsidRDefault="00687766" w:rsidP="00687766">
      <w:pPr>
        <w:numPr>
          <w:ilvl w:val="0"/>
          <w:numId w:val="19"/>
        </w:numPr>
        <w:spacing w:before="0" w:after="0"/>
        <w:ind w:left="498" w:right="432" w:hanging="357"/>
        <w:contextualSpacing/>
        <w:rPr>
          <w:rFonts w:eastAsia="Calibri" w:cs="Arial"/>
          <w:lang w:val="en-US" w:eastAsia="en-US"/>
        </w:rPr>
      </w:pPr>
      <w:r w:rsidRPr="00687766">
        <w:rPr>
          <w:rFonts w:eastAsia="Calibri" w:cs="Arial"/>
          <w:lang w:val="en-US" w:eastAsia="en-US"/>
        </w:rPr>
        <w:t>Congress of Aboriginal and Torres Strait Islander Nurses and Midwives</w:t>
      </w:r>
    </w:p>
    <w:p w:rsidR="00687766" w:rsidRPr="00687766" w:rsidRDefault="00687766" w:rsidP="00687766">
      <w:pPr>
        <w:numPr>
          <w:ilvl w:val="0"/>
          <w:numId w:val="19"/>
        </w:numPr>
        <w:spacing w:before="0" w:after="0"/>
        <w:ind w:left="498" w:right="432" w:hanging="357"/>
        <w:contextualSpacing/>
        <w:rPr>
          <w:rFonts w:eastAsia="Calibri" w:cs="Arial"/>
          <w:lang w:val="en-US" w:eastAsia="en-US"/>
        </w:rPr>
      </w:pPr>
      <w:r w:rsidRPr="00687766">
        <w:rPr>
          <w:rFonts w:eastAsia="Calibri" w:cs="Arial"/>
          <w:lang w:val="en-US" w:eastAsia="en-US"/>
        </w:rPr>
        <w:t>Indigenous Allied Health Australia</w:t>
      </w:r>
    </w:p>
    <w:p w:rsidR="00687766" w:rsidRPr="00687766" w:rsidRDefault="00687766" w:rsidP="00687766">
      <w:pPr>
        <w:numPr>
          <w:ilvl w:val="0"/>
          <w:numId w:val="19"/>
        </w:numPr>
        <w:spacing w:before="0" w:after="0"/>
        <w:ind w:left="498" w:hanging="357"/>
        <w:contextualSpacing/>
        <w:rPr>
          <w:rFonts w:eastAsia="Calibri" w:cs="Arial"/>
          <w:lang w:val="en-US" w:eastAsia="en-US"/>
        </w:rPr>
      </w:pPr>
      <w:r w:rsidRPr="00687766">
        <w:rPr>
          <w:rFonts w:eastAsia="Calibri" w:cs="Arial"/>
          <w:lang w:val="en-US" w:eastAsia="en-US"/>
        </w:rPr>
        <w:t>Indigenous Dentists' Association of Australia</w:t>
      </w:r>
    </w:p>
    <w:p w:rsidR="00687766" w:rsidRPr="00687766" w:rsidRDefault="00687766" w:rsidP="00687766">
      <w:pPr>
        <w:numPr>
          <w:ilvl w:val="0"/>
          <w:numId w:val="19"/>
        </w:numPr>
        <w:spacing w:before="0" w:after="0"/>
        <w:ind w:left="498" w:hanging="357"/>
        <w:contextualSpacing/>
        <w:jc w:val="both"/>
        <w:rPr>
          <w:rFonts w:eastAsia="Calibri" w:cs="Arial"/>
          <w:lang w:val="en-US" w:eastAsia="en-US"/>
        </w:rPr>
      </w:pPr>
      <w:r w:rsidRPr="00687766">
        <w:rPr>
          <w:rFonts w:eastAsia="Calibri" w:cs="Arial"/>
          <w:lang w:val="en-US" w:eastAsia="en-US"/>
        </w:rPr>
        <w:t>National Aboriginal Community Controlled Health Organisation</w:t>
      </w:r>
    </w:p>
    <w:p w:rsidR="00687766" w:rsidRPr="00687766" w:rsidRDefault="00687766" w:rsidP="00687766">
      <w:pPr>
        <w:numPr>
          <w:ilvl w:val="0"/>
          <w:numId w:val="19"/>
        </w:numPr>
        <w:spacing w:before="0" w:after="0"/>
        <w:ind w:left="498" w:hanging="357"/>
        <w:contextualSpacing/>
        <w:jc w:val="both"/>
        <w:rPr>
          <w:rFonts w:eastAsia="Calibri" w:cs="Arial"/>
          <w:lang w:val="en-US" w:eastAsia="en-US"/>
        </w:rPr>
      </w:pPr>
      <w:r w:rsidRPr="00687766">
        <w:rPr>
          <w:rFonts w:eastAsia="Calibri" w:cs="Arial"/>
          <w:lang w:val="en-US" w:eastAsia="en-US"/>
        </w:rPr>
        <w:t>National Aboriginal and Torres Strait Islander Health Workers' Association</w:t>
      </w:r>
    </w:p>
    <w:p w:rsidR="00687766" w:rsidRPr="00687766" w:rsidRDefault="00687766" w:rsidP="00687766">
      <w:pPr>
        <w:numPr>
          <w:ilvl w:val="0"/>
          <w:numId w:val="19"/>
        </w:numPr>
        <w:spacing w:before="0" w:after="0"/>
        <w:ind w:left="504"/>
        <w:rPr>
          <w:rFonts w:eastAsia="Calibri" w:cs="Arial"/>
          <w:lang w:val="en-US" w:eastAsia="en-US"/>
        </w:rPr>
      </w:pPr>
      <w:r w:rsidRPr="00687766">
        <w:rPr>
          <w:rFonts w:eastAsia="Calibri" w:cs="Arial"/>
          <w:lang w:val="en-US" w:eastAsia="en-US"/>
        </w:rPr>
        <w:t>National Association of Aboriginal and Torres Strait Islander Physiotherapists</w:t>
      </w:r>
    </w:p>
    <w:p w:rsidR="00687766" w:rsidRPr="00687766" w:rsidRDefault="00687766" w:rsidP="00687766">
      <w:pPr>
        <w:numPr>
          <w:ilvl w:val="0"/>
          <w:numId w:val="19"/>
        </w:numPr>
        <w:spacing w:before="0" w:after="0"/>
        <w:ind w:left="504"/>
        <w:contextualSpacing/>
        <w:rPr>
          <w:rFonts w:eastAsia="Calibri" w:cs="Arial"/>
          <w:lang w:val="en-US" w:eastAsia="en-US"/>
        </w:rPr>
      </w:pPr>
      <w:r w:rsidRPr="00687766">
        <w:rPr>
          <w:rFonts w:eastAsia="Calibri" w:cs="Arial"/>
          <w:lang w:val="en-US" w:eastAsia="en-US"/>
        </w:rPr>
        <w:t>National Congress of Australia’s First Peoples</w:t>
      </w:r>
    </w:p>
    <w:p w:rsidR="00687766" w:rsidRPr="00687766" w:rsidRDefault="00687766" w:rsidP="00687766">
      <w:pPr>
        <w:numPr>
          <w:ilvl w:val="0"/>
          <w:numId w:val="19"/>
        </w:numPr>
        <w:spacing w:before="0" w:after="0"/>
        <w:ind w:left="498" w:hanging="357"/>
        <w:contextualSpacing/>
        <w:rPr>
          <w:rFonts w:eastAsia="Calibri" w:cs="Arial"/>
          <w:lang w:val="en-US" w:eastAsia="en-US"/>
        </w:rPr>
      </w:pPr>
      <w:r w:rsidRPr="00687766">
        <w:rPr>
          <w:rFonts w:eastAsia="Calibri" w:cs="Arial"/>
          <w:lang w:val="en-US" w:eastAsia="en-US"/>
        </w:rPr>
        <w:t>National Coordinator — Tackling Indigenous Smoking  (Dr Tom Calma AO - Campaign founder and former Aboriginal and Torres Strait Islander Social Justice Commissioner)</w:t>
      </w:r>
    </w:p>
    <w:p w:rsidR="00687766" w:rsidRPr="00687766" w:rsidRDefault="00687766" w:rsidP="00687766">
      <w:pPr>
        <w:numPr>
          <w:ilvl w:val="0"/>
          <w:numId w:val="19"/>
        </w:numPr>
        <w:spacing w:before="0" w:after="0"/>
        <w:ind w:left="498" w:hanging="357"/>
        <w:contextualSpacing/>
        <w:jc w:val="both"/>
        <w:rPr>
          <w:rFonts w:eastAsia="Calibri" w:cs="Arial"/>
          <w:lang w:val="en-US" w:eastAsia="en-US"/>
        </w:rPr>
      </w:pPr>
      <w:r w:rsidRPr="00687766">
        <w:rPr>
          <w:rFonts w:eastAsia="Calibri" w:cs="Arial"/>
          <w:lang w:val="en-US" w:eastAsia="en-US"/>
        </w:rPr>
        <w:t xml:space="preserve">National Indigenous Drug and Alcohol Committee </w:t>
      </w:r>
    </w:p>
    <w:p w:rsidR="00687766" w:rsidRPr="00687766" w:rsidRDefault="00687766" w:rsidP="00687766">
      <w:pPr>
        <w:numPr>
          <w:ilvl w:val="0"/>
          <w:numId w:val="19"/>
        </w:numPr>
        <w:spacing w:before="0" w:after="0"/>
        <w:ind w:left="498" w:hanging="357"/>
        <w:contextualSpacing/>
        <w:jc w:val="both"/>
        <w:rPr>
          <w:rFonts w:eastAsia="Calibri" w:cs="Arial"/>
          <w:lang w:val="en-US" w:eastAsia="en-US"/>
        </w:rPr>
      </w:pPr>
      <w:r w:rsidRPr="00687766">
        <w:rPr>
          <w:rFonts w:eastAsia="Calibri" w:cs="Arial"/>
          <w:lang w:val="en-US" w:eastAsia="en-US"/>
        </w:rPr>
        <w:t>The Lowitja Institute</w:t>
      </w:r>
    </w:p>
    <w:p w:rsidR="00687766" w:rsidRPr="00687766" w:rsidRDefault="00687766" w:rsidP="00687766">
      <w:pPr>
        <w:numPr>
          <w:ilvl w:val="0"/>
          <w:numId w:val="19"/>
        </w:numPr>
        <w:spacing w:before="0" w:after="0"/>
        <w:ind w:left="498" w:hanging="357"/>
        <w:contextualSpacing/>
        <w:jc w:val="both"/>
        <w:rPr>
          <w:rFonts w:eastAsia="Calibri" w:cs="Arial"/>
          <w:lang w:val="en-US" w:eastAsia="en-US"/>
        </w:rPr>
      </w:pPr>
      <w:r w:rsidRPr="00687766">
        <w:rPr>
          <w:rFonts w:eastAsia="Calibri" w:cs="Arial"/>
          <w:lang w:val="en-US" w:eastAsia="en-US"/>
        </w:rPr>
        <w:t>Torres Strait Island Regional Authority</w:t>
      </w:r>
    </w:p>
    <w:p w:rsidR="00687766" w:rsidRPr="00687766" w:rsidRDefault="00687766" w:rsidP="00687766">
      <w:pPr>
        <w:numPr>
          <w:ilvl w:val="0"/>
          <w:numId w:val="19"/>
        </w:numPr>
        <w:spacing w:before="0" w:after="0"/>
        <w:ind w:left="504"/>
        <w:contextualSpacing/>
        <w:jc w:val="both"/>
        <w:rPr>
          <w:rFonts w:eastAsia="Calibri" w:cs="Arial"/>
          <w:lang w:val="en-US" w:eastAsia="en-US"/>
        </w:rPr>
      </w:pPr>
      <w:r w:rsidRPr="00687766">
        <w:rPr>
          <w:rFonts w:eastAsia="Calibri" w:cs="Arial"/>
          <w:lang w:val="en-US" w:eastAsia="en-US"/>
        </w:rPr>
        <w:t>Australian College of Nursing</w:t>
      </w:r>
    </w:p>
    <w:p w:rsidR="00687766" w:rsidRPr="00687766" w:rsidRDefault="00687766" w:rsidP="00687766">
      <w:pPr>
        <w:numPr>
          <w:ilvl w:val="0"/>
          <w:numId w:val="19"/>
        </w:numPr>
        <w:spacing w:before="0" w:after="0"/>
        <w:ind w:left="498" w:hanging="357"/>
        <w:contextualSpacing/>
        <w:rPr>
          <w:rFonts w:eastAsia="Calibri" w:cs="Arial"/>
          <w:lang w:val="en-US" w:eastAsia="en-US"/>
        </w:rPr>
      </w:pPr>
      <w:r w:rsidRPr="00687766">
        <w:rPr>
          <w:rFonts w:eastAsia="Calibri" w:cs="Arial"/>
          <w:lang w:val="en-US" w:eastAsia="en-US"/>
        </w:rPr>
        <w:t xml:space="preserve">Aboriginal Health and Medical Research Council </w:t>
      </w:r>
    </w:p>
    <w:p w:rsidR="00687766" w:rsidRPr="00687766" w:rsidRDefault="00687766" w:rsidP="00687766">
      <w:pPr>
        <w:numPr>
          <w:ilvl w:val="0"/>
          <w:numId w:val="19"/>
        </w:numPr>
        <w:spacing w:before="0" w:after="0"/>
        <w:ind w:left="498" w:hanging="357"/>
        <w:contextualSpacing/>
        <w:rPr>
          <w:rFonts w:eastAsia="Calibri" w:cs="Arial"/>
          <w:lang w:val="en-US" w:eastAsia="en-US"/>
        </w:rPr>
      </w:pPr>
      <w:r w:rsidRPr="00687766">
        <w:rPr>
          <w:rFonts w:eastAsia="Calibri" w:cs="Arial"/>
          <w:lang w:val="en-US" w:eastAsia="en-US"/>
        </w:rPr>
        <w:t xml:space="preserve">Australian Human Rights Commission (Secretariat) </w:t>
      </w:r>
    </w:p>
    <w:p w:rsidR="00687766" w:rsidRPr="00687766" w:rsidRDefault="00687766" w:rsidP="00687766">
      <w:pPr>
        <w:numPr>
          <w:ilvl w:val="0"/>
          <w:numId w:val="19"/>
        </w:numPr>
        <w:spacing w:before="0" w:after="0"/>
        <w:ind w:left="498" w:hanging="357"/>
        <w:contextualSpacing/>
        <w:rPr>
          <w:rFonts w:eastAsia="Calibri" w:cs="Arial"/>
          <w:lang w:val="en-US" w:eastAsia="en-US"/>
        </w:rPr>
      </w:pPr>
      <w:r w:rsidRPr="00687766">
        <w:rPr>
          <w:rFonts w:eastAsia="Calibri" w:cs="Arial"/>
          <w:lang w:val="en-US" w:eastAsia="en-US"/>
        </w:rPr>
        <w:t>Australian Medical Association</w:t>
      </w:r>
    </w:p>
    <w:p w:rsidR="00687766" w:rsidRPr="00687766" w:rsidRDefault="00687766" w:rsidP="00687766">
      <w:pPr>
        <w:numPr>
          <w:ilvl w:val="0"/>
          <w:numId w:val="19"/>
        </w:numPr>
        <w:spacing w:before="0" w:after="0"/>
        <w:ind w:left="498" w:hanging="357"/>
        <w:contextualSpacing/>
        <w:jc w:val="both"/>
        <w:rPr>
          <w:rFonts w:eastAsia="Calibri" w:cs="Arial"/>
          <w:lang w:val="en-US" w:eastAsia="en-US"/>
        </w:rPr>
      </w:pPr>
      <w:r w:rsidRPr="00687766">
        <w:rPr>
          <w:rFonts w:eastAsia="Calibri" w:cs="Arial"/>
          <w:lang w:val="en-US" w:eastAsia="en-US"/>
        </w:rPr>
        <w:t>Australian Medicare Local Alliance</w:t>
      </w:r>
    </w:p>
    <w:p w:rsidR="00687766" w:rsidRPr="00687766" w:rsidRDefault="00687766" w:rsidP="00687766">
      <w:pPr>
        <w:numPr>
          <w:ilvl w:val="0"/>
          <w:numId w:val="19"/>
        </w:numPr>
        <w:spacing w:before="0" w:after="0"/>
        <w:ind w:left="498" w:right="144" w:hanging="357"/>
        <w:contextualSpacing/>
        <w:rPr>
          <w:rFonts w:eastAsia="Calibri" w:cs="Arial"/>
          <w:lang w:val="en-US" w:eastAsia="en-US"/>
        </w:rPr>
      </w:pPr>
      <w:r w:rsidRPr="00687766">
        <w:rPr>
          <w:rFonts w:eastAsia="Calibri" w:cs="Arial"/>
          <w:lang w:val="en-US" w:eastAsia="en-US"/>
        </w:rPr>
        <w:t>Australian Physiotherapy Association</w:t>
      </w:r>
    </w:p>
    <w:p w:rsidR="00687766" w:rsidRPr="00687766" w:rsidDel="00FC6B61" w:rsidRDefault="00687766" w:rsidP="00687766">
      <w:pPr>
        <w:numPr>
          <w:ilvl w:val="0"/>
          <w:numId w:val="19"/>
        </w:numPr>
        <w:spacing w:before="0" w:after="0"/>
        <w:ind w:left="498" w:right="144" w:hanging="357"/>
        <w:contextualSpacing/>
        <w:rPr>
          <w:rFonts w:eastAsia="Calibri" w:cs="Arial"/>
          <w:lang w:val="en-US" w:eastAsia="en-US"/>
        </w:rPr>
      </w:pPr>
      <w:r w:rsidRPr="00687766">
        <w:rPr>
          <w:rFonts w:eastAsia="Calibri" w:cs="Arial"/>
          <w:lang w:val="en-US" w:eastAsia="en-US"/>
        </w:rPr>
        <w:t>ANTaR</w:t>
      </w:r>
      <w:r w:rsidRPr="00687766" w:rsidDel="00FC6B61">
        <w:rPr>
          <w:rFonts w:eastAsia="Calibri" w:cs="Arial"/>
          <w:lang w:val="en-US" w:eastAsia="en-US"/>
        </w:rPr>
        <w:t xml:space="preserve"> </w:t>
      </w:r>
    </w:p>
    <w:p w:rsidR="00687766" w:rsidRPr="00687766" w:rsidRDefault="00687766" w:rsidP="00687766">
      <w:pPr>
        <w:numPr>
          <w:ilvl w:val="0"/>
          <w:numId w:val="19"/>
        </w:numPr>
        <w:spacing w:before="0" w:after="0"/>
        <w:ind w:left="498" w:right="144" w:hanging="357"/>
        <w:contextualSpacing/>
        <w:rPr>
          <w:rFonts w:eastAsia="Calibri" w:cs="Arial"/>
          <w:lang w:val="en-US" w:eastAsia="en-US"/>
        </w:rPr>
      </w:pPr>
      <w:r w:rsidRPr="00687766">
        <w:rPr>
          <w:rFonts w:eastAsia="Calibri" w:cs="Arial"/>
          <w:lang w:val="en-US" w:eastAsia="en-US"/>
        </w:rPr>
        <w:t>Beyondblue</w:t>
      </w:r>
    </w:p>
    <w:p w:rsidR="00687766" w:rsidRPr="00687766" w:rsidRDefault="00687766" w:rsidP="00687766">
      <w:pPr>
        <w:numPr>
          <w:ilvl w:val="0"/>
          <w:numId w:val="19"/>
        </w:numPr>
        <w:spacing w:before="0" w:after="0"/>
        <w:ind w:left="498" w:right="144" w:hanging="357"/>
        <w:contextualSpacing/>
        <w:rPr>
          <w:rFonts w:eastAsia="Calibri" w:cs="Arial"/>
          <w:lang w:val="en-US" w:eastAsia="en-US"/>
        </w:rPr>
      </w:pPr>
      <w:r w:rsidRPr="00687766">
        <w:rPr>
          <w:rFonts w:eastAsia="Calibri" w:cs="Arial"/>
          <w:lang w:val="en-US" w:eastAsia="en-US"/>
        </w:rPr>
        <w:t>The Fred Hollows Foundation</w:t>
      </w:r>
    </w:p>
    <w:p w:rsidR="00687766" w:rsidRPr="00687766" w:rsidRDefault="00687766" w:rsidP="00687766">
      <w:pPr>
        <w:numPr>
          <w:ilvl w:val="0"/>
          <w:numId w:val="19"/>
        </w:numPr>
        <w:spacing w:before="0" w:after="0"/>
        <w:ind w:left="498" w:hanging="357"/>
        <w:contextualSpacing/>
        <w:rPr>
          <w:rFonts w:eastAsia="Calibri" w:cs="Arial"/>
          <w:lang w:val="en-US" w:eastAsia="en-US"/>
        </w:rPr>
      </w:pPr>
      <w:r w:rsidRPr="00687766">
        <w:rPr>
          <w:rFonts w:eastAsia="Calibri" w:cs="Arial"/>
          <w:lang w:val="en-US" w:eastAsia="en-US"/>
        </w:rPr>
        <w:t>Heart Foundation Australia</w:t>
      </w:r>
    </w:p>
    <w:p w:rsidR="00687766" w:rsidRPr="00687766" w:rsidRDefault="00687766" w:rsidP="00687766">
      <w:pPr>
        <w:numPr>
          <w:ilvl w:val="0"/>
          <w:numId w:val="19"/>
        </w:numPr>
        <w:spacing w:before="0" w:after="0"/>
        <w:ind w:left="498" w:hanging="357"/>
        <w:contextualSpacing/>
        <w:rPr>
          <w:rFonts w:eastAsia="Calibri" w:cs="Arial"/>
          <w:lang w:val="en-US" w:eastAsia="en-US"/>
        </w:rPr>
      </w:pPr>
      <w:r w:rsidRPr="00687766">
        <w:rPr>
          <w:rFonts w:eastAsia="Calibri" w:cs="Arial"/>
          <w:lang w:val="en-US" w:eastAsia="en-US"/>
        </w:rPr>
        <w:t xml:space="preserve">Menzies School of Health Research </w:t>
      </w:r>
    </w:p>
    <w:p w:rsidR="00687766" w:rsidRPr="00687766" w:rsidRDefault="00687766" w:rsidP="00687766">
      <w:pPr>
        <w:numPr>
          <w:ilvl w:val="0"/>
          <w:numId w:val="19"/>
        </w:numPr>
        <w:spacing w:before="0" w:after="0"/>
        <w:ind w:left="498" w:hanging="357"/>
        <w:contextualSpacing/>
        <w:rPr>
          <w:rFonts w:eastAsia="Calibri" w:cs="Arial"/>
          <w:lang w:val="en-US" w:eastAsia="en-US"/>
        </w:rPr>
      </w:pPr>
      <w:r w:rsidRPr="00687766">
        <w:rPr>
          <w:rFonts w:eastAsia="Calibri" w:cs="Arial"/>
          <w:lang w:val="en-US" w:eastAsia="en-US"/>
        </w:rPr>
        <w:lastRenderedPageBreak/>
        <w:t>Oxfam Australia</w:t>
      </w:r>
    </w:p>
    <w:p w:rsidR="00687766" w:rsidRPr="00687766" w:rsidRDefault="00687766" w:rsidP="00687766">
      <w:pPr>
        <w:numPr>
          <w:ilvl w:val="0"/>
          <w:numId w:val="19"/>
        </w:numPr>
        <w:spacing w:before="0" w:after="0"/>
        <w:ind w:left="498" w:hanging="357"/>
        <w:contextualSpacing/>
        <w:rPr>
          <w:rFonts w:eastAsia="Calibri" w:cs="Arial"/>
          <w:lang w:val="en-US" w:eastAsia="en-US"/>
        </w:rPr>
      </w:pPr>
      <w:r w:rsidRPr="00687766">
        <w:rPr>
          <w:rFonts w:eastAsia="Calibri" w:cs="Arial"/>
          <w:lang w:val="en-US" w:eastAsia="en-US"/>
        </w:rPr>
        <w:t>Palliative Care Australia</w:t>
      </w:r>
    </w:p>
    <w:p w:rsidR="00687766" w:rsidRPr="00687766" w:rsidRDefault="00687766" w:rsidP="00687766">
      <w:pPr>
        <w:numPr>
          <w:ilvl w:val="0"/>
          <w:numId w:val="19"/>
        </w:numPr>
        <w:spacing w:before="0" w:after="0"/>
        <w:ind w:left="498" w:hanging="357"/>
        <w:contextualSpacing/>
        <w:rPr>
          <w:rFonts w:eastAsia="Calibri" w:cs="Arial"/>
          <w:lang w:val="en-US" w:eastAsia="en-US"/>
        </w:rPr>
      </w:pPr>
      <w:r w:rsidRPr="00687766">
        <w:rPr>
          <w:rFonts w:eastAsia="Calibri" w:cs="Arial"/>
          <w:lang w:val="en-US" w:eastAsia="en-US"/>
        </w:rPr>
        <w:t>PHILE Network</w:t>
      </w:r>
    </w:p>
    <w:p w:rsidR="00687766" w:rsidRPr="00687766" w:rsidRDefault="00687766" w:rsidP="00687766">
      <w:pPr>
        <w:numPr>
          <w:ilvl w:val="0"/>
          <w:numId w:val="19"/>
        </w:numPr>
        <w:spacing w:before="0" w:after="0"/>
        <w:ind w:left="498" w:hanging="357"/>
        <w:contextualSpacing/>
        <w:rPr>
          <w:rFonts w:eastAsia="Calibri" w:cs="Arial"/>
          <w:lang w:val="en-US" w:eastAsia="en-US"/>
        </w:rPr>
      </w:pPr>
      <w:r w:rsidRPr="00687766">
        <w:rPr>
          <w:rFonts w:eastAsia="Calibri" w:cs="Arial"/>
          <w:lang w:val="en-US" w:eastAsia="en-US"/>
        </w:rPr>
        <w:t>Public Health Association of Australia</w:t>
      </w:r>
    </w:p>
    <w:p w:rsidR="00687766" w:rsidRPr="00687766" w:rsidRDefault="00687766" w:rsidP="00687766">
      <w:pPr>
        <w:numPr>
          <w:ilvl w:val="0"/>
          <w:numId w:val="19"/>
        </w:numPr>
        <w:spacing w:before="0" w:after="0"/>
        <w:ind w:left="498" w:hanging="357"/>
        <w:contextualSpacing/>
        <w:rPr>
          <w:rFonts w:eastAsia="Calibri" w:cs="Arial"/>
          <w:lang w:val="en-US" w:eastAsia="en-US"/>
        </w:rPr>
      </w:pPr>
      <w:r w:rsidRPr="00687766">
        <w:rPr>
          <w:rFonts w:eastAsia="Calibri" w:cs="Arial"/>
          <w:lang w:val="en-US" w:eastAsia="en-US"/>
        </w:rPr>
        <w:t xml:space="preserve">The Pharmacy Guild of Australia </w:t>
      </w:r>
    </w:p>
    <w:p w:rsidR="00687766" w:rsidRPr="00687766" w:rsidRDefault="00687766" w:rsidP="00687766">
      <w:pPr>
        <w:numPr>
          <w:ilvl w:val="0"/>
          <w:numId w:val="19"/>
        </w:numPr>
        <w:spacing w:before="0" w:after="0"/>
        <w:ind w:left="498" w:hanging="357"/>
        <w:contextualSpacing/>
        <w:rPr>
          <w:rFonts w:eastAsia="Calibri" w:cs="Arial"/>
          <w:lang w:val="en-US" w:eastAsia="en-US"/>
        </w:rPr>
      </w:pPr>
      <w:r w:rsidRPr="00687766">
        <w:rPr>
          <w:rFonts w:eastAsia="Calibri" w:cs="Arial"/>
          <w:lang w:val="en-US" w:eastAsia="en-US"/>
        </w:rPr>
        <w:t>Royal Australasian College of Physicians</w:t>
      </w:r>
    </w:p>
    <w:p w:rsidR="00687766" w:rsidRPr="00687766" w:rsidRDefault="00687766" w:rsidP="00687766">
      <w:pPr>
        <w:numPr>
          <w:ilvl w:val="0"/>
          <w:numId w:val="19"/>
        </w:numPr>
        <w:spacing w:before="0" w:after="0"/>
        <w:ind w:left="498" w:hanging="357"/>
        <w:contextualSpacing/>
        <w:rPr>
          <w:rFonts w:eastAsia="Calibri" w:cs="Arial"/>
          <w:lang w:val="en-US" w:eastAsia="en-US"/>
        </w:rPr>
      </w:pPr>
      <w:r w:rsidRPr="00687766">
        <w:rPr>
          <w:rFonts w:eastAsia="Calibri" w:cs="Arial"/>
          <w:lang w:val="en-US" w:eastAsia="en-US"/>
        </w:rPr>
        <w:t xml:space="preserve">Royal Australian College of General Practitioners </w:t>
      </w:r>
    </w:p>
    <w:p w:rsidR="00395E38" w:rsidRDefault="00395E38">
      <w:pPr>
        <w:spacing w:before="0" w:after="0"/>
        <w:rPr>
          <w:rFonts w:eastAsia="Calibri" w:cs="Arial"/>
          <w:b/>
          <w:color w:val="000000"/>
          <w:lang w:val="en-US" w:eastAsia="en-US"/>
        </w:rPr>
      </w:pPr>
      <w:r>
        <w:rPr>
          <w:rFonts w:eastAsia="Calibri" w:cs="Arial"/>
          <w:b/>
          <w:color w:val="000000"/>
          <w:lang w:val="en-US" w:eastAsia="en-US"/>
        </w:rPr>
        <w:br w:type="page"/>
      </w:r>
    </w:p>
    <w:p w:rsidR="008E3FBF" w:rsidRPr="00395E38" w:rsidRDefault="00395E38" w:rsidP="00395E38">
      <w:pPr>
        <w:pStyle w:val="Heading1"/>
        <w:numPr>
          <w:ilvl w:val="0"/>
          <w:numId w:val="0"/>
        </w:numPr>
        <w:ind w:left="851" w:hanging="851"/>
        <w:rPr>
          <w:lang w:val="en-AU"/>
        </w:rPr>
      </w:pPr>
      <w:bookmarkStart w:id="30" w:name="_Toc386556857"/>
      <w:r>
        <w:lastRenderedPageBreak/>
        <w:t>Appendix 2</w:t>
      </w:r>
      <w:r>
        <w:rPr>
          <w:lang w:val="en-AU"/>
        </w:rPr>
        <w:t>: Examples of racial hatred complaints</w:t>
      </w:r>
      <w:r w:rsidR="00590B38">
        <w:rPr>
          <w:rStyle w:val="EndnoteReference"/>
          <w:lang w:val="en-AU"/>
        </w:rPr>
        <w:endnoteReference w:id="70"/>
      </w:r>
      <w:bookmarkEnd w:id="30"/>
    </w:p>
    <w:p w:rsidR="00395E38" w:rsidRPr="00590B38" w:rsidRDefault="00395E38" w:rsidP="00395E38">
      <w:pPr>
        <w:autoSpaceDE w:val="0"/>
        <w:autoSpaceDN w:val="0"/>
        <w:adjustRightInd w:val="0"/>
        <w:rPr>
          <w:rFonts w:eastAsia="Times New Roman" w:cs="Arial"/>
          <w:iCs/>
          <w:sz w:val="23"/>
          <w:szCs w:val="23"/>
        </w:rPr>
      </w:pPr>
      <w:r w:rsidRPr="00395E38">
        <w:rPr>
          <w:rFonts w:eastAsia="Times New Roman" w:cs="Arial"/>
          <w:sz w:val="23"/>
          <w:szCs w:val="23"/>
        </w:rPr>
        <w:t xml:space="preserve">Some examples of racial hatred complaints received by the Commission are included below. </w:t>
      </w:r>
      <w:r w:rsidRPr="00395E38">
        <w:rPr>
          <w:rFonts w:eastAsia="Times New Roman" w:cs="Arial"/>
          <w:i/>
          <w:iCs/>
          <w:sz w:val="23"/>
          <w:szCs w:val="23"/>
        </w:rPr>
        <w:t>Note: these examples contain words an</w:t>
      </w:r>
      <w:r w:rsidR="00590B38">
        <w:rPr>
          <w:rFonts w:eastAsia="Times New Roman" w:cs="Arial"/>
          <w:i/>
          <w:iCs/>
          <w:sz w:val="23"/>
          <w:szCs w:val="23"/>
        </w:rPr>
        <w:t xml:space="preserve">d descriptions that may offend. </w:t>
      </w:r>
    </w:p>
    <w:p w:rsidR="00395E38" w:rsidRPr="00395E38" w:rsidRDefault="00395E38" w:rsidP="00395E38">
      <w:pPr>
        <w:autoSpaceDE w:val="0"/>
        <w:autoSpaceDN w:val="0"/>
        <w:adjustRightInd w:val="0"/>
        <w:rPr>
          <w:rFonts w:eastAsia="Times New Roman" w:cs="Arial"/>
          <w:sz w:val="23"/>
          <w:szCs w:val="23"/>
        </w:rPr>
      </w:pPr>
      <w:r w:rsidRPr="00395E38">
        <w:rPr>
          <w:rFonts w:eastAsia="Times New Roman" w:cs="Arial"/>
          <w:sz w:val="23"/>
          <w:szCs w:val="23"/>
        </w:rPr>
        <w:t xml:space="preserve">1. The complainant, of Jewish ethnic origin, alleged that video clips on a video sharing site advocate hatred towards Jewish people and include content such as offering money to kill Jewish people. </w:t>
      </w:r>
    </w:p>
    <w:p w:rsidR="00395E38" w:rsidRPr="00395E38" w:rsidRDefault="00395E38" w:rsidP="00395E38">
      <w:pPr>
        <w:autoSpaceDE w:val="0"/>
        <w:autoSpaceDN w:val="0"/>
        <w:adjustRightInd w:val="0"/>
        <w:rPr>
          <w:rFonts w:eastAsia="Times New Roman" w:cs="Arial"/>
          <w:sz w:val="23"/>
          <w:szCs w:val="23"/>
        </w:rPr>
      </w:pPr>
      <w:r w:rsidRPr="00395E38">
        <w:rPr>
          <w:rFonts w:eastAsia="Times New Roman" w:cs="Arial"/>
          <w:sz w:val="23"/>
          <w:szCs w:val="23"/>
        </w:rPr>
        <w:t xml:space="preserve">2. The complainant, who is of Asian background, complained about a website which he said advocated violence against Asians. The comments on the website included: ‘Asian People Flood our city with their Asian shops with their language all over them, having their own dedicated “china town” and their own suburb ...’ ‘... we understand everyone has different levels of hate for Asians and so we have ... Yellers. Their job is to Yell at the Asians with passion i.e. ―YOU GOOK F**K OFF TO CHINA! and do whatever they can to show Asians they are not welcome in Australia ... Fighters ... are there to express their anger physically by laying the Gooks out’. </w:t>
      </w:r>
    </w:p>
    <w:p w:rsidR="00395E38" w:rsidRPr="00395E38" w:rsidRDefault="00395E38" w:rsidP="00395E38">
      <w:pPr>
        <w:autoSpaceDE w:val="0"/>
        <w:autoSpaceDN w:val="0"/>
        <w:adjustRightInd w:val="0"/>
        <w:rPr>
          <w:rFonts w:eastAsia="Times New Roman" w:cs="Arial"/>
          <w:sz w:val="23"/>
          <w:szCs w:val="23"/>
        </w:rPr>
      </w:pPr>
      <w:r w:rsidRPr="00395E38">
        <w:rPr>
          <w:rFonts w:eastAsia="Times New Roman" w:cs="Arial"/>
          <w:sz w:val="23"/>
          <w:szCs w:val="23"/>
        </w:rPr>
        <w:t xml:space="preserve">3. The complainant who is of Aboriginal </w:t>
      </w:r>
      <w:proofErr w:type="gramStart"/>
      <w:r w:rsidRPr="00395E38">
        <w:rPr>
          <w:rFonts w:eastAsia="Times New Roman" w:cs="Arial"/>
          <w:sz w:val="23"/>
          <w:szCs w:val="23"/>
        </w:rPr>
        <w:t>descent,</w:t>
      </w:r>
      <w:proofErr w:type="gramEnd"/>
      <w:r w:rsidRPr="00395E38">
        <w:rPr>
          <w:rFonts w:eastAsia="Times New Roman" w:cs="Arial"/>
          <w:sz w:val="23"/>
          <w:szCs w:val="23"/>
        </w:rPr>
        <w:t xml:space="preserve"> claimed that he left his employment because, over a number months, he was racially abused by a work colleague while they were working in public areas. The alleged comments included ‘nigger’, ‘nigger c**t’, ‘abo’, ‘boong’, ‘f**king nigger’, ‘I‘ve never worked with a nigger before’, ‘spear catcher’, ‘why don’t you go and sit with your black bastard family and get drunk’ and ‘get f**ked you nigger dog’. Following the cessation of his employment, the complainant was assessed by a psychiatrist and subsequently the company’s insurer accepted liability for the psychological injury the complainant had sustained arising from the alleged events. </w:t>
      </w:r>
    </w:p>
    <w:p w:rsidR="00395E38" w:rsidRDefault="00395E38" w:rsidP="00395E38">
      <w:pPr>
        <w:contextualSpacing/>
        <w:rPr>
          <w:sz w:val="23"/>
          <w:szCs w:val="23"/>
        </w:rPr>
      </w:pPr>
      <w:r w:rsidRPr="00395E38">
        <w:rPr>
          <w:sz w:val="23"/>
          <w:szCs w:val="23"/>
        </w:rPr>
        <w:t>4. The complainant claimed that video footage of a Pakistani woman and her child had been loaded onto the website of a video sharing site. The complainant claimed that the individual who posted the material also made racially derogatory comments on the site such as ‘Paki bastards’, ‘f**k those Curry munching scum’, ‘poo faces’, ‘stupid paki women’ and ‘silly shit smelling Pakis, they need to f**k off home’.</w:t>
      </w:r>
    </w:p>
    <w:p w:rsidR="00395E38" w:rsidRDefault="00395E38">
      <w:pPr>
        <w:spacing w:before="0" w:after="0"/>
        <w:rPr>
          <w:rFonts w:cs="Arial"/>
        </w:rPr>
      </w:pPr>
      <w:r>
        <w:rPr>
          <w:rFonts w:cs="Arial"/>
        </w:rPr>
        <w:br w:type="page"/>
      </w:r>
    </w:p>
    <w:p w:rsidR="00395E38" w:rsidRPr="00590B38" w:rsidRDefault="00395E38" w:rsidP="00A432AA">
      <w:pPr>
        <w:pStyle w:val="Heading1"/>
        <w:numPr>
          <w:ilvl w:val="0"/>
          <w:numId w:val="0"/>
        </w:numPr>
        <w:rPr>
          <w:lang w:val="en-AU"/>
        </w:rPr>
      </w:pPr>
      <w:bookmarkStart w:id="31" w:name="_Toc386556858"/>
      <w:r>
        <w:lastRenderedPageBreak/>
        <w:t xml:space="preserve">Appendix 3: </w:t>
      </w:r>
      <w:r w:rsidR="00A432AA">
        <w:rPr>
          <w:lang w:val="en-AU"/>
        </w:rPr>
        <w:t>Case studies on the impact</w:t>
      </w:r>
      <w:r w:rsidR="00590B38">
        <w:t xml:space="preserve"> of the </w:t>
      </w:r>
      <w:r w:rsidR="00770FED" w:rsidRPr="00770FED">
        <w:t>Exposure Draft</w:t>
      </w:r>
      <w:r w:rsidR="00590B38">
        <w:t xml:space="preserve"> </w:t>
      </w:r>
      <w:r w:rsidR="00590B38">
        <w:rPr>
          <w:lang w:val="en-AU"/>
        </w:rPr>
        <w:t xml:space="preserve">on </w:t>
      </w:r>
      <w:r w:rsidR="00D711BC">
        <w:rPr>
          <w:lang w:val="en-AU"/>
        </w:rPr>
        <w:t>current protections</w:t>
      </w:r>
      <w:r w:rsidR="00D711BC">
        <w:rPr>
          <w:rStyle w:val="EndnoteReference"/>
          <w:lang w:val="en-AU"/>
        </w:rPr>
        <w:endnoteReference w:id="71"/>
      </w:r>
      <w:bookmarkEnd w:id="31"/>
    </w:p>
    <w:p w:rsidR="00A432AA" w:rsidRPr="001E584F" w:rsidRDefault="001E584F" w:rsidP="00395E38">
      <w:pPr>
        <w:rPr>
          <w:b/>
        </w:rPr>
      </w:pPr>
      <w:r w:rsidRPr="001E584F">
        <w:rPr>
          <w:b/>
          <w:i/>
        </w:rPr>
        <w:t>Clarke v Nationwide News</w:t>
      </w:r>
    </w:p>
    <w:p w:rsidR="00590B38" w:rsidRDefault="00A432AA" w:rsidP="00395E38">
      <w:r>
        <w:t xml:space="preserve">In </w:t>
      </w:r>
      <w:r w:rsidRPr="003A509B">
        <w:rPr>
          <w:i/>
        </w:rPr>
        <w:t>Clarke v Nationwide News Pty Ltd</w:t>
      </w:r>
      <w:r>
        <w:t>,</w:t>
      </w:r>
      <w:r>
        <w:rPr>
          <w:rStyle w:val="EndnoteReference"/>
        </w:rPr>
        <w:endnoteReference w:id="72"/>
      </w:r>
      <w:r>
        <w:t xml:space="preserve"> the Federal Court considered the liability of an online newspaper publisher for ‘blog’ comments written by members of the public and published underneath online newspaper articles. The comments were actively solicited by the newspaper and were individually moderated and approved before they were published online.</w:t>
      </w:r>
    </w:p>
    <w:p w:rsidR="00A432AA" w:rsidRDefault="00A432AA" w:rsidP="00395E38">
      <w:pPr>
        <w:rPr>
          <w:rFonts w:cs="Arial"/>
        </w:rPr>
      </w:pPr>
      <w:r w:rsidRPr="00A432AA">
        <w:rPr>
          <w:rFonts w:cs="Arial"/>
        </w:rPr>
        <w:t xml:space="preserve">The articles in question were about an Aboriginal woman and the mother of three boys aged 15, 11 and 10 who were killed in a motor vehicle accident. One of the boys’ cousins aged 17 was also killed in the accident. A fifth teenage boy survived the accident.  </w:t>
      </w:r>
    </w:p>
    <w:p w:rsidR="001E584F" w:rsidRPr="001E584F" w:rsidRDefault="001E584F" w:rsidP="001E584F">
      <w:pPr>
        <w:rPr>
          <w:rFonts w:cs="Arial"/>
        </w:rPr>
      </w:pPr>
      <w:r w:rsidRPr="001E584F">
        <w:rPr>
          <w:rFonts w:cs="Arial"/>
        </w:rPr>
        <w:t>Four of the blog comments were found to have been made because of the race of the boys and were found to contravene s 18C on the basis that they were reasonably likely to offend and insult. One of these comments was found to contravene s 18C on the basis that it was reasonably likely to offend, insult and humiliate. The person making this comment described the boys as ‘scum’ and claimed that ‘I would use these scum as land fill’ in disused mineshafts near Kalgoorlie.</w:t>
      </w:r>
    </w:p>
    <w:p w:rsidR="001E584F" w:rsidRDefault="001E584F" w:rsidP="001E584F">
      <w:r w:rsidRPr="001E584F">
        <w:t>This comment would no longer be prohibited if the word ‘humiliate’ is removed from the RDA and not replaced with an equivalent prohibition</w:t>
      </w:r>
    </w:p>
    <w:p w:rsidR="001E584F" w:rsidRPr="001E584F" w:rsidRDefault="001E584F" w:rsidP="001E584F">
      <w:pPr>
        <w:rPr>
          <w:rFonts w:cs="Arial"/>
          <w:b/>
        </w:rPr>
      </w:pPr>
      <w:r w:rsidRPr="001E584F">
        <w:rPr>
          <w:rFonts w:cs="Arial"/>
          <w:b/>
          <w:i/>
        </w:rPr>
        <w:t>Jones v Scully</w:t>
      </w:r>
    </w:p>
    <w:p w:rsidR="001E584F" w:rsidRPr="001E584F" w:rsidRDefault="001E584F" w:rsidP="001E584F">
      <w:pPr>
        <w:rPr>
          <w:rFonts w:cs="Arial"/>
        </w:rPr>
      </w:pPr>
      <w:r w:rsidRPr="001E584F">
        <w:rPr>
          <w:rFonts w:cs="Arial"/>
        </w:rPr>
        <w:t xml:space="preserve">In </w:t>
      </w:r>
      <w:r w:rsidRPr="001E584F">
        <w:rPr>
          <w:rFonts w:cs="Arial"/>
          <w:i/>
        </w:rPr>
        <w:t>Jones v Scully</w:t>
      </w:r>
      <w:r w:rsidRPr="001E584F">
        <w:rPr>
          <w:rFonts w:cs="Arial"/>
        </w:rPr>
        <w:t>,</w:t>
      </w:r>
      <w:r w:rsidRPr="001E584F">
        <w:rPr>
          <w:rFonts w:cs="Arial"/>
          <w:vertAlign w:val="superscript"/>
        </w:rPr>
        <w:endnoteReference w:id="73"/>
      </w:r>
      <w:r w:rsidRPr="001E584F">
        <w:rPr>
          <w:rFonts w:cs="Arial"/>
        </w:rPr>
        <w:t xml:space="preserve"> the Federal Court considered a complaint about the distribution of eight pamphlets containing anti-Semitic material to letterboxes in Launceston, Tasmania. </w:t>
      </w:r>
    </w:p>
    <w:p w:rsidR="001E584F" w:rsidRPr="001E584F" w:rsidRDefault="001E584F" w:rsidP="001E584F">
      <w:pPr>
        <w:rPr>
          <w:rFonts w:cs="Arial"/>
        </w:rPr>
      </w:pPr>
      <w:r w:rsidRPr="001E584F">
        <w:rPr>
          <w:rFonts w:cs="Arial"/>
        </w:rPr>
        <w:t xml:space="preserve">There were a number of imputations in the pamphlets that were held to have been directed towards Jewish people and were found to contravene s 18C on the basis that they were reasonably likely to offend and insult. One of these imputations was found to contravene s 18C on the basis that it was reasonably likely to offend, insult, humiliate and intimidate. </w:t>
      </w:r>
    </w:p>
    <w:p w:rsidR="001E584F" w:rsidRPr="001E584F" w:rsidRDefault="001E584F" w:rsidP="001E584F">
      <w:pPr>
        <w:rPr>
          <w:rFonts w:cs="Arial"/>
        </w:rPr>
      </w:pPr>
      <w:r w:rsidRPr="001E584F">
        <w:rPr>
          <w:rFonts w:cs="Arial"/>
        </w:rPr>
        <w:t>This imputation was that Jews are fraudulent liars, immoral, deceitful and part of a conspiracy to defraud the world in perpetrating the ‘myth’ of the Holocaust.</w:t>
      </w:r>
    </w:p>
    <w:p w:rsidR="001E584F" w:rsidRDefault="001E584F" w:rsidP="001E584F">
      <w:pPr>
        <w:rPr>
          <w:rFonts w:cs="Arial"/>
        </w:rPr>
      </w:pPr>
      <w:r w:rsidRPr="001E584F">
        <w:rPr>
          <w:rFonts w:cs="Arial"/>
        </w:rPr>
        <w:t>These comments were held to be reasonably likely to intimidate, but not because they caused a fear of physical harm. If the meaning of intimidate is narrowed in the sense proposed in the draft Bill, it is unlikely that comments of this nature would be captured by it.</w:t>
      </w:r>
    </w:p>
    <w:p w:rsidR="001E584F" w:rsidRDefault="001E584F" w:rsidP="001E584F">
      <w:pPr>
        <w:rPr>
          <w:rFonts w:cs="Arial"/>
        </w:rPr>
      </w:pPr>
    </w:p>
    <w:p w:rsidR="00ED7943" w:rsidRPr="00395E38" w:rsidRDefault="00ED7943" w:rsidP="001E584F">
      <w:pPr>
        <w:rPr>
          <w:rFonts w:cs="Arial"/>
        </w:rPr>
      </w:pPr>
    </w:p>
    <w:sectPr w:rsidR="00ED7943" w:rsidRPr="00395E38" w:rsidSect="004C7AD1">
      <w:headerReference w:type="even" r:id="rId18"/>
      <w:headerReference w:type="default" r:id="rId19"/>
      <w:footerReference w:type="default" r:id="rId20"/>
      <w:headerReference w:type="first" r:id="rId21"/>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457" w:rsidRDefault="00F97457" w:rsidP="00F14C6D">
      <w:r>
        <w:separator/>
      </w:r>
    </w:p>
  </w:endnote>
  <w:endnote w:type="continuationSeparator" w:id="0">
    <w:p w:rsidR="00F97457" w:rsidRDefault="00F97457" w:rsidP="00F14C6D">
      <w:r>
        <w:continuationSeparator/>
      </w:r>
    </w:p>
  </w:endnote>
  <w:endnote w:id="1">
    <w:p w:rsidR="00F97457" w:rsidRDefault="00F97457" w:rsidP="00B03994">
      <w:pPr>
        <w:pStyle w:val="EndnoteText"/>
      </w:pPr>
      <w:r>
        <w:rPr>
          <w:rStyle w:val="EndnoteReference"/>
        </w:rPr>
        <w:endnoteRef/>
      </w:r>
      <w:r>
        <w:t xml:space="preserve"> The Australian Human Rights Commission hosts the Close the Gap Campaign Steering Committee’s Secretariat and the Aboriginal and Torres Strait Islander Social Justice Commissioner is the Co-Chair of the Campaign’s Steering Committee. The Secretariat is Steering Committee member funded.</w:t>
      </w:r>
    </w:p>
  </w:endnote>
  <w:endnote w:id="2">
    <w:p w:rsidR="00F97457" w:rsidRDefault="00F97457">
      <w:pPr>
        <w:pStyle w:val="EndnoteText"/>
      </w:pPr>
      <w:r>
        <w:rPr>
          <w:rStyle w:val="EndnoteReference"/>
        </w:rPr>
        <w:endnoteRef/>
      </w:r>
      <w:r>
        <w:t xml:space="preserve"> </w:t>
      </w:r>
      <w:r w:rsidRPr="003A020C">
        <w:t xml:space="preserve">Australian Human Rights Commission, </w:t>
      </w:r>
      <w:r w:rsidRPr="003A020C">
        <w:rPr>
          <w:i/>
        </w:rPr>
        <w:t>Submission to the Attorney-General’s Department: Amendments to Part IIA, Racial Discrimination Act</w:t>
      </w:r>
      <w:r w:rsidRPr="003A020C">
        <w:t xml:space="preserve">, </w:t>
      </w:r>
      <w:r>
        <w:t>29</w:t>
      </w:r>
      <w:r w:rsidRPr="003A020C">
        <w:t xml:space="preserve"> April 2014</w:t>
      </w:r>
      <w:r>
        <w:t xml:space="preserve">. At </w:t>
      </w:r>
      <w:hyperlink r:id="rId1" w:history="1">
        <w:r w:rsidRPr="009975CF">
          <w:rPr>
            <w:rStyle w:val="Hyperlink"/>
          </w:rPr>
          <w:t>https://www.humanrights.gov.au/submissions/amendments-part-iia-racial-discrimination-act-1975</w:t>
        </w:r>
      </w:hyperlink>
      <w:r>
        <w:t xml:space="preserve"> (viewed 29 April 2014).</w:t>
      </w:r>
    </w:p>
  </w:endnote>
  <w:endnote w:id="3">
    <w:p w:rsidR="00F97457" w:rsidRDefault="00F97457" w:rsidP="00AC0B88">
      <w:pPr>
        <w:pStyle w:val="EndnoteText"/>
      </w:pPr>
      <w:r>
        <w:rPr>
          <w:rStyle w:val="EndnoteReference"/>
        </w:rPr>
        <w:endnoteRef/>
      </w:r>
      <w:r>
        <w:t xml:space="preserve"> </w:t>
      </w:r>
      <w:r w:rsidRPr="000E3FC8">
        <w:rPr>
          <w:lang w:val="en-US"/>
        </w:rPr>
        <w:t xml:space="preserve">A Markus, </w:t>
      </w:r>
      <w:r w:rsidRPr="000E3FC8">
        <w:rPr>
          <w:i/>
          <w:iCs/>
          <w:lang w:val="en-US"/>
        </w:rPr>
        <w:t>Mapping Social Cohesion 201</w:t>
      </w:r>
      <w:r>
        <w:rPr>
          <w:i/>
          <w:iCs/>
          <w:lang w:val="en-US"/>
        </w:rPr>
        <w:t>3</w:t>
      </w:r>
      <w:r w:rsidRPr="000E3FC8">
        <w:rPr>
          <w:i/>
          <w:iCs/>
          <w:lang w:val="en-US"/>
        </w:rPr>
        <w:t>: the Scanlon Foundation Survey</w:t>
      </w:r>
      <w:r w:rsidRPr="000E3FC8">
        <w:rPr>
          <w:lang w:val="en-US"/>
        </w:rPr>
        <w:t xml:space="preserve"> (201</w:t>
      </w:r>
      <w:r>
        <w:rPr>
          <w:lang w:val="en-US"/>
        </w:rPr>
        <w:t>3). At</w:t>
      </w:r>
      <w:r w:rsidRPr="000E3FC8">
        <w:rPr>
          <w:lang w:val="en-US"/>
        </w:rPr>
        <w:t xml:space="preserve"> </w:t>
      </w:r>
      <w:hyperlink r:id="rId2" w:history="1">
        <w:r w:rsidRPr="000E3FC8">
          <w:rPr>
            <w:rStyle w:val="Hyperlink"/>
            <w:lang w:val="en-US"/>
          </w:rPr>
          <w:t>http://www.arts.monash.edu.au/mapping-population/scanlon-foundation-surveys.php</w:t>
        </w:r>
      </w:hyperlink>
      <w:r>
        <w:rPr>
          <w:lang w:val="en-US"/>
        </w:rPr>
        <w:t xml:space="preserve"> (viewed 4 April 2014).</w:t>
      </w:r>
    </w:p>
  </w:endnote>
  <w:endnote w:id="4">
    <w:p w:rsidR="00F97457" w:rsidRPr="00305590" w:rsidRDefault="00F97457" w:rsidP="00AC0B88">
      <w:pPr>
        <w:pStyle w:val="EndnoteText"/>
      </w:pPr>
      <w:r>
        <w:rPr>
          <w:rStyle w:val="EndnoteReference"/>
        </w:rPr>
        <w:endnoteRef/>
      </w:r>
      <w:r>
        <w:t xml:space="preserve"> </w:t>
      </w:r>
      <w:r w:rsidRPr="003E753C">
        <w:t xml:space="preserve">The Challenging Racism Project included research based on random phone surveys with 12,500 people conducted between 2001 and 2008. K Dunn, </w:t>
      </w:r>
      <w:r w:rsidRPr="003E753C">
        <w:rPr>
          <w:i/>
          <w:iCs/>
        </w:rPr>
        <w:t>Challenging Racism: The Anti-Racism Research Project</w:t>
      </w:r>
      <w:r>
        <w:t>. At</w:t>
      </w:r>
      <w:r w:rsidRPr="003E753C">
        <w:t xml:space="preserve"> </w:t>
      </w:r>
      <w:hyperlink r:id="rId3" w:history="1">
        <w:r w:rsidRPr="003E753C">
          <w:rPr>
            <w:rStyle w:val="Hyperlink"/>
          </w:rPr>
          <w:t>http://www.uws.edu.au/social_sciences/soss/research/challenging_racism/findings_by_region</w:t>
        </w:r>
      </w:hyperlink>
      <w:r>
        <w:t xml:space="preserve"> (viewed 4 April 2014).</w:t>
      </w:r>
    </w:p>
  </w:endnote>
  <w:endnote w:id="5">
    <w:p w:rsidR="00F97457" w:rsidRPr="005F1454" w:rsidRDefault="00F97457" w:rsidP="00AC0B88">
      <w:pPr>
        <w:pStyle w:val="EndnoteText"/>
      </w:pPr>
      <w:r w:rsidRPr="00B777C3">
        <w:rPr>
          <w:rStyle w:val="EndnoteReference"/>
        </w:rPr>
        <w:endnoteRef/>
      </w:r>
      <w:r w:rsidRPr="00B777C3">
        <w:t xml:space="preserve"> </w:t>
      </w:r>
      <w:proofErr w:type="gramStart"/>
      <w:r>
        <w:t>A</w:t>
      </w:r>
      <w:r w:rsidRPr="00B777C3">
        <w:t>bove</w:t>
      </w:r>
      <w:r>
        <w:t xml:space="preserve"> </w:t>
      </w:r>
      <w:r w:rsidRPr="005F1454">
        <w:t>note 4.</w:t>
      </w:r>
      <w:proofErr w:type="gramEnd"/>
    </w:p>
  </w:endnote>
  <w:endnote w:id="6">
    <w:p w:rsidR="00F97457" w:rsidRDefault="00F97457" w:rsidP="00AC0B88">
      <w:pPr>
        <w:pStyle w:val="EndnoteText"/>
      </w:pPr>
      <w:r w:rsidRPr="005F1454">
        <w:rPr>
          <w:rStyle w:val="EndnoteReference"/>
        </w:rPr>
        <w:endnoteRef/>
      </w:r>
      <w:r w:rsidRPr="005F1454">
        <w:t xml:space="preserve"> </w:t>
      </w:r>
      <w:proofErr w:type="gramStart"/>
      <w:r w:rsidRPr="005F1454">
        <w:t>Above note 4.</w:t>
      </w:r>
      <w:proofErr w:type="gramEnd"/>
    </w:p>
  </w:endnote>
  <w:endnote w:id="7">
    <w:p w:rsidR="00F97457" w:rsidRDefault="00F97457" w:rsidP="00AC0B88">
      <w:pPr>
        <w:pStyle w:val="EndnoteText"/>
      </w:pPr>
      <w:r>
        <w:rPr>
          <w:rStyle w:val="EndnoteReference"/>
        </w:rPr>
        <w:endnoteRef/>
      </w:r>
      <w:r>
        <w:t xml:space="preserve"> Updated national data will be available in June 2014 when the Australian Bureau of Statistics releases the data from the </w:t>
      </w:r>
      <w:r w:rsidRPr="0079079A">
        <w:rPr>
          <w:i/>
        </w:rPr>
        <w:t>National Aboriginal and Torres Strait Islander Health Survey</w:t>
      </w:r>
      <w:r>
        <w:t xml:space="preserve"> which will include discrimination and social and emotional wellbeing. </w:t>
      </w:r>
    </w:p>
  </w:endnote>
  <w:endnote w:id="8">
    <w:p w:rsidR="00F97457" w:rsidRDefault="00F97457" w:rsidP="00AC0B88">
      <w:pPr>
        <w:pStyle w:val="EndnoteText"/>
        <w:tabs>
          <w:tab w:val="left" w:pos="1440"/>
        </w:tabs>
      </w:pPr>
      <w:r>
        <w:rPr>
          <w:rStyle w:val="EndnoteReference"/>
        </w:rPr>
        <w:endnoteRef/>
      </w:r>
      <w:r>
        <w:t xml:space="preserve"> </w:t>
      </w:r>
      <w:proofErr w:type="gramStart"/>
      <w:r>
        <w:rPr>
          <w:color w:val="2A2A2A"/>
        </w:rPr>
        <w:t>Defined in the survey as “treated unfairly in certain situations because they are Aboriginal or Torres Strait Islander”.</w:t>
      </w:r>
      <w:proofErr w:type="gramEnd"/>
    </w:p>
  </w:endnote>
  <w:endnote w:id="9">
    <w:p w:rsidR="00F97457" w:rsidRDefault="00F97457" w:rsidP="00AC0B88">
      <w:pPr>
        <w:pStyle w:val="EndnoteText"/>
      </w:pPr>
      <w:r>
        <w:rPr>
          <w:rStyle w:val="EndnoteReference"/>
        </w:rPr>
        <w:endnoteRef/>
      </w:r>
      <w:r>
        <w:t xml:space="preserve"> </w:t>
      </w:r>
      <w:r w:rsidRPr="00E3242D">
        <w:rPr>
          <w:color w:val="2A2A2A"/>
        </w:rPr>
        <w:t xml:space="preserve">Australian Bureau of Statistics, </w:t>
      </w:r>
      <w:r w:rsidRPr="00FE44AC">
        <w:rPr>
          <w:i/>
          <w:color w:val="2A2A2A"/>
        </w:rPr>
        <w:t>4704.0 - The Health and Welfare of Australia's Aboriginal and Torres Strait Islander Peoples</w:t>
      </w:r>
      <w:r>
        <w:rPr>
          <w:i/>
          <w:color w:val="2A2A2A"/>
        </w:rPr>
        <w:t>, Social and Emotional Wellbeing: Discrimination</w:t>
      </w:r>
      <w:r w:rsidRPr="00E3242D">
        <w:rPr>
          <w:color w:val="2A2A2A"/>
        </w:rPr>
        <w:t xml:space="preserve"> </w:t>
      </w:r>
      <w:r>
        <w:rPr>
          <w:color w:val="2A2A2A"/>
        </w:rPr>
        <w:t>(</w:t>
      </w:r>
      <w:r w:rsidRPr="00E3242D">
        <w:rPr>
          <w:color w:val="2A2A2A"/>
        </w:rPr>
        <w:t>2010</w:t>
      </w:r>
      <w:r>
        <w:rPr>
          <w:color w:val="2A2A2A"/>
        </w:rPr>
        <w:t>).</w:t>
      </w:r>
      <w:r w:rsidRPr="00E3242D">
        <w:rPr>
          <w:color w:val="2A2A2A"/>
        </w:rPr>
        <w:t xml:space="preserve"> </w:t>
      </w:r>
      <w:r>
        <w:rPr>
          <w:color w:val="2A2A2A"/>
        </w:rPr>
        <w:t>At</w:t>
      </w:r>
      <w:r w:rsidRPr="00E3242D">
        <w:rPr>
          <w:color w:val="2A2A2A"/>
        </w:rPr>
        <w:t xml:space="preserve"> </w:t>
      </w:r>
      <w:hyperlink r:id="rId4" w:history="1">
        <w:r w:rsidRPr="009B435A">
          <w:rPr>
            <w:rStyle w:val="Hyperlink"/>
          </w:rPr>
          <w:t>http://www.abs.gov.au/AUSSTATS/abs@.nsf/lookup/4704.0Chapter450Oct+2010</w:t>
        </w:r>
      </w:hyperlink>
      <w:r>
        <w:rPr>
          <w:color w:val="2A2A2A"/>
        </w:rPr>
        <w:t xml:space="preserve"> </w:t>
      </w:r>
      <w:r w:rsidRPr="00FE44AC">
        <w:t xml:space="preserve">(viewed </w:t>
      </w:r>
      <w:r>
        <w:t>4 April 2014).</w:t>
      </w:r>
      <w:r w:rsidRPr="00FE44AC">
        <w:t xml:space="preserve"> </w:t>
      </w:r>
    </w:p>
  </w:endnote>
  <w:endnote w:id="10">
    <w:p w:rsidR="00F97457" w:rsidRPr="008C255C" w:rsidRDefault="00F97457" w:rsidP="00AC0B88">
      <w:pPr>
        <w:pStyle w:val="EndnoteText"/>
      </w:pPr>
      <w:r>
        <w:rPr>
          <w:rStyle w:val="EndnoteReference"/>
        </w:rPr>
        <w:endnoteRef/>
      </w:r>
      <w:r>
        <w:t xml:space="preserve"> </w:t>
      </w:r>
      <w:proofErr w:type="gramStart"/>
      <w:r>
        <w:rPr>
          <w:color w:val="2A2A2A"/>
        </w:rPr>
        <w:t xml:space="preserve">Above </w:t>
      </w:r>
      <w:r w:rsidRPr="005F1454">
        <w:rPr>
          <w:color w:val="2A2A2A"/>
        </w:rPr>
        <w:t>note 9.</w:t>
      </w:r>
      <w:proofErr w:type="gramEnd"/>
    </w:p>
  </w:endnote>
  <w:endnote w:id="11">
    <w:p w:rsidR="00F97457" w:rsidRPr="00B777C3" w:rsidRDefault="00F97457" w:rsidP="00AC0B88">
      <w:pPr>
        <w:pStyle w:val="EndnoteText"/>
        <w:rPr>
          <w:i/>
        </w:rPr>
      </w:pPr>
      <w:r>
        <w:rPr>
          <w:rStyle w:val="EndnoteReference"/>
        </w:rPr>
        <w:endnoteRef/>
      </w:r>
      <w:r>
        <w:t xml:space="preserve"> </w:t>
      </w:r>
      <w:proofErr w:type="gramStart"/>
      <w:r>
        <w:t xml:space="preserve">Reconciliation Australia, </w:t>
      </w:r>
      <w:r w:rsidRPr="00B777C3">
        <w:rPr>
          <w:i/>
        </w:rPr>
        <w:t>Australian Reconciliation Barometer 2012</w:t>
      </w:r>
      <w:r>
        <w:t xml:space="preserve"> (2013), p 9.</w:t>
      </w:r>
      <w:proofErr w:type="gramEnd"/>
      <w:r>
        <w:t xml:space="preserve"> At </w:t>
      </w:r>
      <w:hyperlink r:id="rId5" w:history="1">
        <w:r w:rsidRPr="00712910">
          <w:rPr>
            <w:rStyle w:val="Hyperlink"/>
          </w:rPr>
          <w:t>http://www.reconciliation.org.au/wp-content/uploads/2013/12/2012-Australian-Reconciliation-Barometer-Report-by-Auspoll.pdf</w:t>
        </w:r>
      </w:hyperlink>
      <w:r>
        <w:t xml:space="preserve"> (</w:t>
      </w:r>
      <w:r w:rsidRPr="00B777C3">
        <w:rPr>
          <w:i/>
        </w:rPr>
        <w:t xml:space="preserve">viewed 4 April 2014). </w:t>
      </w:r>
    </w:p>
  </w:endnote>
  <w:endnote w:id="12">
    <w:p w:rsidR="00F97457" w:rsidRDefault="00F97457" w:rsidP="00AC0B88">
      <w:pPr>
        <w:pStyle w:val="EndnoteText"/>
      </w:pPr>
      <w:r w:rsidRPr="00B777C3">
        <w:rPr>
          <w:rStyle w:val="EndnoteReference"/>
        </w:rPr>
        <w:endnoteRef/>
      </w:r>
      <w:r w:rsidRPr="00B777C3">
        <w:t xml:space="preserve"> A Ferdinand, Y Paradies &amp; M </w:t>
      </w:r>
      <w:proofErr w:type="spellStart"/>
      <w:r w:rsidRPr="00B777C3">
        <w:t>Kelaher</w:t>
      </w:r>
      <w:proofErr w:type="spellEnd"/>
      <w:r w:rsidRPr="00B777C3">
        <w:t>,</w:t>
      </w:r>
      <w:r w:rsidRPr="00B777C3">
        <w:rPr>
          <w:i/>
        </w:rPr>
        <w:t xml:space="preserve"> Mental Health Impacts of Racial Discrimination in Victorian Aboriginal Communities: The Localities Embracing and Accepting Diversity (LEAD) Experiences of Racism Survey</w:t>
      </w:r>
      <w:r>
        <w:t xml:space="preserve">, The Lowitja Institute (2013). At </w:t>
      </w:r>
      <w:hyperlink r:id="rId6" w:history="1">
        <w:r w:rsidRPr="00712910">
          <w:rPr>
            <w:rStyle w:val="Hyperlink"/>
          </w:rPr>
          <w:t>https://www.lowitja.org.au/sites/default/files/docs/LEAD%20Report-WEB_0.pdf</w:t>
        </w:r>
      </w:hyperlink>
      <w:r>
        <w:t xml:space="preserve"> (viewed 4 April 2014).</w:t>
      </w:r>
    </w:p>
  </w:endnote>
  <w:endnote w:id="13">
    <w:p w:rsidR="00F97457" w:rsidRDefault="00F97457" w:rsidP="00AC0B88">
      <w:pPr>
        <w:pStyle w:val="EndnoteText"/>
      </w:pPr>
      <w:r>
        <w:rPr>
          <w:rStyle w:val="EndnoteReference"/>
        </w:rPr>
        <w:endnoteRef/>
      </w:r>
      <w:r>
        <w:t xml:space="preserve"> </w:t>
      </w:r>
      <w:proofErr w:type="gramStart"/>
      <w:r>
        <w:t xml:space="preserve">Above note </w:t>
      </w:r>
      <w:r w:rsidRPr="005F1454">
        <w:t>12.</w:t>
      </w:r>
      <w:proofErr w:type="gramEnd"/>
    </w:p>
  </w:endnote>
  <w:endnote w:id="14">
    <w:p w:rsidR="00F97457" w:rsidRDefault="00F97457" w:rsidP="00AC0B88">
      <w:pPr>
        <w:pStyle w:val="EndnoteText"/>
      </w:pPr>
      <w:r>
        <w:rPr>
          <w:rStyle w:val="EndnoteReference"/>
        </w:rPr>
        <w:endnoteRef/>
      </w:r>
      <w:r>
        <w:t xml:space="preserve"> Y Paradies, L </w:t>
      </w:r>
      <w:proofErr w:type="spellStart"/>
      <w:r>
        <w:t>Chandrakumar</w:t>
      </w:r>
      <w:proofErr w:type="spellEnd"/>
      <w:r>
        <w:t xml:space="preserve">, N </w:t>
      </w:r>
      <w:proofErr w:type="spellStart"/>
      <w:r>
        <w:t>Klocker</w:t>
      </w:r>
      <w:proofErr w:type="spellEnd"/>
      <w:r>
        <w:t xml:space="preserve">, M Frere, K Webster, M Burrell, &amp; P McLean, </w:t>
      </w:r>
      <w:r w:rsidRPr="00B777C3">
        <w:rPr>
          <w:i/>
        </w:rPr>
        <w:t>Building on our strengths: A framework to reduce race-based discrimination and support diversity in Victoria, Full report</w:t>
      </w:r>
      <w:r>
        <w:t>, Victorian Health Promotion Foundation, (2009), p 37. At</w:t>
      </w:r>
      <w:r w:rsidRPr="00B777C3">
        <w:t xml:space="preserve"> </w:t>
      </w:r>
      <w:hyperlink r:id="rId7" w:history="1">
        <w:r w:rsidRPr="00712910">
          <w:rPr>
            <w:rStyle w:val="Hyperlink"/>
          </w:rPr>
          <w:t>http://www.vichealth.vic.gov.au/Publications/Freedom-from-discrimination/Building-on-our-strengths.aspx</w:t>
        </w:r>
      </w:hyperlink>
      <w:r>
        <w:t xml:space="preserve"> (viewed 4 April 2014).</w:t>
      </w:r>
    </w:p>
  </w:endnote>
  <w:endnote w:id="15">
    <w:p w:rsidR="00F97457" w:rsidRDefault="00F97457">
      <w:pPr>
        <w:pStyle w:val="EndnoteText"/>
      </w:pPr>
      <w:r>
        <w:rPr>
          <w:rStyle w:val="EndnoteReference"/>
        </w:rPr>
        <w:endnoteRef/>
      </w:r>
      <w:r>
        <w:t xml:space="preserve"> Human Rights and Equal Opportunity Commission</w:t>
      </w:r>
      <w:r w:rsidRPr="00D16A55">
        <w:rPr>
          <w:i/>
        </w:rPr>
        <w:t>, Report of the National Inquiry into Racist Violence</w:t>
      </w:r>
      <w:r>
        <w:t xml:space="preserve"> (1991), p 269. At </w:t>
      </w:r>
      <w:hyperlink r:id="rId8" w:history="1">
        <w:r w:rsidRPr="00F32FD7">
          <w:rPr>
            <w:rStyle w:val="Hyperlink"/>
          </w:rPr>
          <w:t>http://www.humanrights.gov.au/sites/default/files/document/publication/NIRV.pdf</w:t>
        </w:r>
      </w:hyperlink>
      <w:r>
        <w:t xml:space="preserve"> (viewed 4 April 2014). </w:t>
      </w:r>
    </w:p>
  </w:endnote>
  <w:endnote w:id="16">
    <w:p w:rsidR="00F97457" w:rsidRDefault="00F97457" w:rsidP="00AC0B88">
      <w:pPr>
        <w:pStyle w:val="EndnoteText"/>
      </w:pPr>
      <w:r>
        <w:rPr>
          <w:rStyle w:val="EndnoteReference"/>
        </w:rPr>
        <w:endnoteRef/>
      </w:r>
      <w:r>
        <w:t xml:space="preserve"> N </w:t>
      </w:r>
      <w:proofErr w:type="spellStart"/>
      <w:r>
        <w:t>Awofeso</w:t>
      </w:r>
      <w:proofErr w:type="spellEnd"/>
      <w:r>
        <w:t xml:space="preserve">, ‘Racism: a major impediment to optimal Indigenous health and health care in Australia’, (2011) 11(3) </w:t>
      </w:r>
      <w:r w:rsidRPr="00AB65EB">
        <w:rPr>
          <w:i/>
        </w:rPr>
        <w:t>Australian Indigenous Health Bulletin</w:t>
      </w:r>
      <w:r>
        <w:t>.</w:t>
      </w:r>
    </w:p>
  </w:endnote>
  <w:endnote w:id="17">
    <w:p w:rsidR="00F97457" w:rsidRDefault="00F97457" w:rsidP="00AC0B88">
      <w:pPr>
        <w:pStyle w:val="EndnoteText"/>
      </w:pPr>
      <w:r>
        <w:rPr>
          <w:rStyle w:val="EndnoteReference"/>
        </w:rPr>
        <w:endnoteRef/>
      </w:r>
      <w:r>
        <w:t xml:space="preserve"> S Avery, National Congress of Australia’s First Peoples, </w:t>
      </w:r>
      <w:proofErr w:type="gramStart"/>
      <w:r>
        <w:rPr>
          <w:i/>
        </w:rPr>
        <w:t>Experiences</w:t>
      </w:r>
      <w:proofErr w:type="gramEnd"/>
      <w:r>
        <w:rPr>
          <w:i/>
        </w:rPr>
        <w:t xml:space="preserve"> of institutional r</w:t>
      </w:r>
      <w:r w:rsidRPr="00102432">
        <w:rPr>
          <w:i/>
        </w:rPr>
        <w:t>acism in the health sector</w:t>
      </w:r>
      <w:r>
        <w:rPr>
          <w:i/>
        </w:rPr>
        <w:t>: Preliminary findings from a member survey by the National Congress of Australia’s First Peoples</w:t>
      </w:r>
      <w:r>
        <w:t xml:space="preserve"> (Speech delivered at AIATSIS National Indigenous Studies Conference, Canberra, 27 March 2014). </w:t>
      </w:r>
    </w:p>
  </w:endnote>
  <w:endnote w:id="18">
    <w:p w:rsidR="00F97457" w:rsidRDefault="00F97457" w:rsidP="00AC0B88">
      <w:pPr>
        <w:pStyle w:val="EndnoteText"/>
      </w:pPr>
      <w:r>
        <w:rPr>
          <w:rStyle w:val="EndnoteReference"/>
        </w:rPr>
        <w:endnoteRef/>
      </w:r>
      <w:r>
        <w:t xml:space="preserve"> J Cunningham, ‘</w:t>
      </w:r>
      <w:r w:rsidRPr="003F256F">
        <w:t>Diagnostic and therapeutic procedures among Australian hospital patients identified as indigenous</w:t>
      </w:r>
      <w:r>
        <w:t>’</w:t>
      </w:r>
      <w:r w:rsidRPr="003F256F">
        <w:t xml:space="preserve"> (2002). </w:t>
      </w:r>
      <w:proofErr w:type="gramStart"/>
      <w:r>
        <w:t xml:space="preserve">176(2) </w:t>
      </w:r>
      <w:r w:rsidRPr="00102432">
        <w:rPr>
          <w:i/>
        </w:rPr>
        <w:t>Medical Journal of Australia</w:t>
      </w:r>
      <w:r>
        <w:t xml:space="preserve"> </w:t>
      </w:r>
      <w:r w:rsidRPr="003F256F">
        <w:t>58</w:t>
      </w:r>
      <w:r>
        <w:t>.</w:t>
      </w:r>
      <w:proofErr w:type="gramEnd"/>
      <w:r>
        <w:t xml:space="preserve"> At </w:t>
      </w:r>
      <w:hyperlink r:id="rId9" w:history="1">
        <w:r w:rsidRPr="00712910">
          <w:rPr>
            <w:rStyle w:val="Hyperlink"/>
          </w:rPr>
          <w:t>https://www.mja.com.au/journal/2002/176/2/diagnostic-and-therapeutic-procedures-among-australian-hospital-patients</w:t>
        </w:r>
      </w:hyperlink>
      <w:r>
        <w:t xml:space="preserve"> (viewed 4 April 2014).</w:t>
      </w:r>
    </w:p>
  </w:endnote>
  <w:endnote w:id="19">
    <w:p w:rsidR="00F97457" w:rsidRDefault="00F97457" w:rsidP="00AC0B88">
      <w:pPr>
        <w:pStyle w:val="EndnoteText"/>
      </w:pPr>
      <w:r>
        <w:rPr>
          <w:rStyle w:val="EndnoteReference"/>
        </w:rPr>
        <w:endnoteRef/>
      </w:r>
      <w:r>
        <w:t xml:space="preserve"> S</w:t>
      </w:r>
      <w:r w:rsidRPr="00102432">
        <w:t xml:space="preserve"> Hall, C </w:t>
      </w:r>
      <w:proofErr w:type="spellStart"/>
      <w:r w:rsidRPr="00102432">
        <w:t>Bulsara</w:t>
      </w:r>
      <w:proofErr w:type="spellEnd"/>
      <w:r w:rsidRPr="00102432">
        <w:t xml:space="preserve">, M </w:t>
      </w:r>
      <w:proofErr w:type="spellStart"/>
      <w:r w:rsidRPr="00102432">
        <w:t>Bulsara</w:t>
      </w:r>
      <w:proofErr w:type="spellEnd"/>
      <w:r w:rsidRPr="00102432">
        <w:t xml:space="preserve">, D </w:t>
      </w:r>
      <w:proofErr w:type="spellStart"/>
      <w:r w:rsidRPr="00102432">
        <w:t>Hendrie</w:t>
      </w:r>
      <w:proofErr w:type="spellEnd"/>
      <w:r w:rsidRPr="00102432">
        <w:t>, C Holman, T</w:t>
      </w:r>
      <w:r>
        <w:t xml:space="preserve"> Leahy &amp;</w:t>
      </w:r>
      <w:r w:rsidRPr="00102432">
        <w:t xml:space="preserve"> M </w:t>
      </w:r>
      <w:proofErr w:type="spellStart"/>
      <w:r w:rsidRPr="00102432">
        <w:t>Culbong</w:t>
      </w:r>
      <w:proofErr w:type="spellEnd"/>
      <w:r w:rsidRPr="009F5AFE">
        <w:t xml:space="preserve"> </w:t>
      </w:r>
      <w:r>
        <w:t>‘</w:t>
      </w:r>
      <w:r w:rsidRPr="009F5AFE">
        <w:t>Treatment patterns for cancer in Western Australia: does being Indigenous make a difference?</w:t>
      </w:r>
      <w:r>
        <w:t xml:space="preserve">’ </w:t>
      </w:r>
      <w:proofErr w:type="gramStart"/>
      <w:r>
        <w:t>(2004) 181(4)</w:t>
      </w:r>
      <w:r w:rsidRPr="009F5AFE">
        <w:t xml:space="preserve"> </w:t>
      </w:r>
      <w:r w:rsidRPr="00102432">
        <w:rPr>
          <w:i/>
        </w:rPr>
        <w:t>Medical Journal of Australia</w:t>
      </w:r>
      <w:r w:rsidRPr="00102432">
        <w:t xml:space="preserve"> </w:t>
      </w:r>
      <w:r w:rsidRPr="009F5AFE">
        <w:t>191</w:t>
      </w:r>
      <w:r>
        <w:t>.</w:t>
      </w:r>
      <w:proofErr w:type="gramEnd"/>
      <w:r>
        <w:t xml:space="preserve"> At </w:t>
      </w:r>
      <w:hyperlink r:id="rId10" w:history="1">
        <w:r w:rsidRPr="00712910">
          <w:rPr>
            <w:rStyle w:val="Hyperlink"/>
          </w:rPr>
          <w:t>https://www.mja.com.au/journal/2004/181/4/treatment-patterns-cancer-western-australia-does-being-indigenous-make-difference</w:t>
        </w:r>
      </w:hyperlink>
      <w:r>
        <w:t xml:space="preserve"> (viewed 4 April 2014); P </w:t>
      </w:r>
      <w:proofErr w:type="spellStart"/>
      <w:r>
        <w:t>Vallery</w:t>
      </w:r>
      <w:proofErr w:type="spellEnd"/>
      <w:r>
        <w:t xml:space="preserve">, M </w:t>
      </w:r>
      <w:proofErr w:type="spellStart"/>
      <w:r w:rsidRPr="009F5AFE">
        <w:t>Coory</w:t>
      </w:r>
      <w:proofErr w:type="spellEnd"/>
      <w:r w:rsidRPr="009F5AFE">
        <w:t>,</w:t>
      </w:r>
      <w:r>
        <w:t xml:space="preserve"> J </w:t>
      </w:r>
      <w:r w:rsidRPr="009F5AFE">
        <w:t xml:space="preserve">Stirling, &amp; </w:t>
      </w:r>
      <w:r>
        <w:t xml:space="preserve">A </w:t>
      </w:r>
      <w:r w:rsidRPr="009F5AFE">
        <w:t xml:space="preserve">Green </w:t>
      </w:r>
      <w:r>
        <w:t>‘</w:t>
      </w:r>
      <w:r w:rsidRPr="009F5AFE">
        <w:t>Cancer diagnosis, treatment, and survival in Indigenous and non-Indigenous Australians: a matched cohort study</w:t>
      </w:r>
      <w:r>
        <w:t xml:space="preserve">’ (2006) 367(9525) </w:t>
      </w:r>
      <w:r w:rsidRPr="00102432">
        <w:rPr>
          <w:i/>
        </w:rPr>
        <w:t>The Lancet</w:t>
      </w:r>
      <w:r w:rsidRPr="009F5AFE">
        <w:t xml:space="preserve"> 1842</w:t>
      </w:r>
      <w:r>
        <w:t xml:space="preserve">. At </w:t>
      </w:r>
      <w:hyperlink r:id="rId11" w:history="1">
        <w:r w:rsidRPr="00712910">
          <w:rPr>
            <w:rStyle w:val="Hyperlink"/>
          </w:rPr>
          <w:t>http://www.thelancet.com/journals/lancet/article/PIIS0140-6736(06)68806-5/fulltext</w:t>
        </w:r>
      </w:hyperlink>
      <w:r>
        <w:t xml:space="preserve"> (viewed 4 April 2014).</w:t>
      </w:r>
    </w:p>
  </w:endnote>
  <w:endnote w:id="20">
    <w:p w:rsidR="00F97457" w:rsidRDefault="00F97457" w:rsidP="00AC0B88">
      <w:pPr>
        <w:pStyle w:val="EndnoteText"/>
      </w:pPr>
      <w:r>
        <w:rPr>
          <w:rStyle w:val="EndnoteReference"/>
        </w:rPr>
        <w:endnoteRef/>
      </w:r>
      <w:r>
        <w:t xml:space="preserve"> </w:t>
      </w:r>
      <w:proofErr w:type="gramStart"/>
      <w:r>
        <w:t xml:space="preserve">M </w:t>
      </w:r>
      <w:proofErr w:type="spellStart"/>
      <w:r>
        <w:t>Coory</w:t>
      </w:r>
      <w:proofErr w:type="spellEnd"/>
      <w:r>
        <w:t xml:space="preserve"> &amp; W Walsh ‘</w:t>
      </w:r>
      <w:r w:rsidRPr="00562B59">
        <w:t>Rates of percutaneous coronary interventions and bypass surgery after acute myocardial infarction in Indigenous patients</w:t>
      </w:r>
      <w:r>
        <w:t>’ (2005) 182(10)</w:t>
      </w:r>
      <w:r w:rsidRPr="00562B59">
        <w:t xml:space="preserve"> </w:t>
      </w:r>
      <w:r w:rsidRPr="00102432">
        <w:rPr>
          <w:i/>
        </w:rPr>
        <w:t>Medical Journal of Australia</w:t>
      </w:r>
      <w:r w:rsidRPr="00562B59">
        <w:t xml:space="preserve"> 507</w:t>
      </w:r>
      <w:r>
        <w:t>.</w:t>
      </w:r>
      <w:proofErr w:type="gramEnd"/>
      <w:r>
        <w:t xml:space="preserve"> At </w:t>
      </w:r>
      <w:hyperlink r:id="rId12" w:history="1">
        <w:r w:rsidRPr="00712910">
          <w:rPr>
            <w:rStyle w:val="Hyperlink"/>
          </w:rPr>
          <w:t>https://www.mja.com.au/journal/2005/182/10/rates-percutaneous-coronary-interventions-and-bypass-surgery-after-acute</w:t>
        </w:r>
      </w:hyperlink>
      <w:r>
        <w:t xml:space="preserve"> (viewed 24 April 2014).</w:t>
      </w:r>
    </w:p>
  </w:endnote>
  <w:endnote w:id="21">
    <w:p w:rsidR="00F97457" w:rsidRDefault="00F97457" w:rsidP="00AC0B88">
      <w:pPr>
        <w:pStyle w:val="EndnoteText"/>
      </w:pPr>
      <w:r>
        <w:rPr>
          <w:rStyle w:val="EndnoteReference"/>
        </w:rPr>
        <w:endnoteRef/>
      </w:r>
      <w:r>
        <w:t xml:space="preserve"> A C</w:t>
      </w:r>
      <w:r w:rsidRPr="00562B59">
        <w:t>ass,</w:t>
      </w:r>
      <w:r>
        <w:t xml:space="preserve"> J</w:t>
      </w:r>
      <w:r w:rsidRPr="00562B59">
        <w:t xml:space="preserve"> </w:t>
      </w:r>
      <w:proofErr w:type="spellStart"/>
      <w:r w:rsidRPr="00562B59">
        <w:t>Devitt</w:t>
      </w:r>
      <w:proofErr w:type="spellEnd"/>
      <w:r w:rsidRPr="00562B59">
        <w:t>,</w:t>
      </w:r>
      <w:r>
        <w:t xml:space="preserve"> C</w:t>
      </w:r>
      <w:r w:rsidRPr="00562B59">
        <w:t xml:space="preserve"> </w:t>
      </w:r>
      <w:proofErr w:type="spellStart"/>
      <w:r w:rsidRPr="00562B59">
        <w:t>Preece</w:t>
      </w:r>
      <w:proofErr w:type="spellEnd"/>
      <w:r w:rsidRPr="00562B59">
        <w:t>,</w:t>
      </w:r>
      <w:r>
        <w:t xml:space="preserve"> J</w:t>
      </w:r>
      <w:r w:rsidRPr="00562B59">
        <w:t xml:space="preserve"> Cunningham,</w:t>
      </w:r>
      <w:r>
        <w:t xml:space="preserve"> K</w:t>
      </w:r>
      <w:r w:rsidRPr="00562B59">
        <w:t xml:space="preserve"> Anderson, </w:t>
      </w:r>
      <w:r>
        <w:t>P</w:t>
      </w:r>
      <w:r w:rsidRPr="00562B59">
        <w:t xml:space="preserve"> Snelling, </w:t>
      </w:r>
      <w:r>
        <w:t xml:space="preserve">J Eris &amp; J </w:t>
      </w:r>
      <w:proofErr w:type="spellStart"/>
      <w:r>
        <w:t>Ayanian</w:t>
      </w:r>
      <w:proofErr w:type="spellEnd"/>
      <w:r w:rsidRPr="00562B59">
        <w:t xml:space="preserve"> </w:t>
      </w:r>
      <w:r>
        <w:t>‘</w:t>
      </w:r>
      <w:r w:rsidRPr="00562B59">
        <w:t>Barriers to access by Indigenous Australians to kidney transplantation: The IMPAKT study</w:t>
      </w:r>
      <w:r>
        <w:t>’</w:t>
      </w:r>
      <w:r w:rsidRPr="006B650A">
        <w:t xml:space="preserve"> </w:t>
      </w:r>
      <w:r>
        <w:t xml:space="preserve">(2004) 9 Nephrology, </w:t>
      </w:r>
      <w:r w:rsidRPr="00562B59">
        <w:t>S144.</w:t>
      </w:r>
    </w:p>
  </w:endnote>
  <w:endnote w:id="22">
    <w:p w:rsidR="00F97457" w:rsidRDefault="00F97457" w:rsidP="00AC0B88">
      <w:pPr>
        <w:pStyle w:val="EndnoteText"/>
      </w:pPr>
      <w:r>
        <w:rPr>
          <w:rStyle w:val="EndnoteReference"/>
        </w:rPr>
        <w:endnoteRef/>
      </w:r>
      <w:r>
        <w:t xml:space="preserve"> Victorian Department of Justice,</w:t>
      </w:r>
      <w:r w:rsidRPr="00000ABC">
        <w:t xml:space="preserve"> </w:t>
      </w:r>
      <w:r w:rsidRPr="006B650A">
        <w:rPr>
          <w:i/>
        </w:rPr>
        <w:t xml:space="preserve">Victorian Aboriginal Justice Agreement, Phase </w:t>
      </w:r>
      <w:proofErr w:type="gramStart"/>
      <w:r w:rsidRPr="006B650A">
        <w:rPr>
          <w:i/>
        </w:rPr>
        <w:t>Two</w:t>
      </w:r>
      <w:r>
        <w:t>(</w:t>
      </w:r>
      <w:proofErr w:type="gramEnd"/>
      <w:r>
        <w:t>2006). At</w:t>
      </w:r>
      <w:r w:rsidRPr="006B650A">
        <w:t xml:space="preserve"> </w:t>
      </w:r>
      <w:hyperlink r:id="rId13" w:history="1">
        <w:r w:rsidRPr="00712910">
          <w:rPr>
            <w:rStyle w:val="Hyperlink"/>
          </w:rPr>
          <w:t>http://multimedia.justice.vic.gov.au/comms/Koori/resources/Victorian_Aboriginal_Justice_Agreement/phase2/index.html</w:t>
        </w:r>
      </w:hyperlink>
      <w:r>
        <w:t xml:space="preserve"> (Viewed 4 April 2014); H </w:t>
      </w:r>
      <w:proofErr w:type="spellStart"/>
      <w:r>
        <w:t>Blagg</w:t>
      </w:r>
      <w:proofErr w:type="spellEnd"/>
      <w:r>
        <w:t xml:space="preserve">, N </w:t>
      </w:r>
      <w:r w:rsidRPr="00A63FA9">
        <w:t xml:space="preserve">Morgan, </w:t>
      </w:r>
      <w:r>
        <w:t>C</w:t>
      </w:r>
      <w:r w:rsidRPr="00A63FA9">
        <w:t xml:space="preserve"> </w:t>
      </w:r>
      <w:proofErr w:type="spellStart"/>
      <w:r w:rsidRPr="00A63FA9">
        <w:t>Cunneen</w:t>
      </w:r>
      <w:proofErr w:type="spellEnd"/>
      <w:r w:rsidRPr="00A63FA9">
        <w:t>, &amp;</w:t>
      </w:r>
      <w:r>
        <w:t xml:space="preserve"> A</w:t>
      </w:r>
      <w:r w:rsidRPr="00A63FA9">
        <w:t xml:space="preserve"> </w:t>
      </w:r>
      <w:proofErr w:type="spellStart"/>
      <w:r w:rsidRPr="00A63FA9">
        <w:t>Ferrante</w:t>
      </w:r>
      <w:proofErr w:type="spellEnd"/>
      <w:r w:rsidRPr="00A63FA9">
        <w:t xml:space="preserve">, </w:t>
      </w:r>
      <w:r w:rsidRPr="006B650A">
        <w:rPr>
          <w:i/>
        </w:rPr>
        <w:t>Systemic racism as a factor in the overrepresentation of Aboriginal people in the Victorian criminal justice system</w:t>
      </w:r>
      <w:r>
        <w:t xml:space="preserve"> (2005)</w:t>
      </w:r>
      <w:r w:rsidRPr="00A63FA9">
        <w:t>.</w:t>
      </w:r>
    </w:p>
  </w:endnote>
  <w:endnote w:id="23">
    <w:p w:rsidR="00F97457" w:rsidRDefault="00F97457" w:rsidP="00AC0B88">
      <w:pPr>
        <w:pStyle w:val="EndnoteText"/>
      </w:pPr>
      <w:r>
        <w:rPr>
          <w:rStyle w:val="EndnoteReference"/>
        </w:rPr>
        <w:endnoteRef/>
      </w:r>
      <w:r>
        <w:t xml:space="preserve"> A </w:t>
      </w:r>
      <w:r w:rsidRPr="00A63FA9">
        <w:t xml:space="preserve">Booth, </w:t>
      </w:r>
      <w:r>
        <w:t>A</w:t>
      </w:r>
      <w:r w:rsidRPr="00A63FA9">
        <w:t xml:space="preserve"> Leigh, &amp; </w:t>
      </w:r>
      <w:r>
        <w:t xml:space="preserve">E </w:t>
      </w:r>
      <w:proofErr w:type="spellStart"/>
      <w:r w:rsidRPr="00A63FA9">
        <w:t>Varganova</w:t>
      </w:r>
      <w:proofErr w:type="spellEnd"/>
      <w:r>
        <w:t>,</w:t>
      </w:r>
      <w:r w:rsidRPr="00A63FA9">
        <w:t xml:space="preserve"> </w:t>
      </w:r>
      <w:r w:rsidRPr="006B650A">
        <w:rPr>
          <w:i/>
        </w:rPr>
        <w:t xml:space="preserve">Does Racial and Ethnic Discrimination Vary Across Minority Groups? Evidence </w:t>
      </w:r>
      <w:proofErr w:type="gramStart"/>
      <w:r w:rsidRPr="006B650A">
        <w:rPr>
          <w:i/>
        </w:rPr>
        <w:t>From</w:t>
      </w:r>
      <w:proofErr w:type="gramEnd"/>
      <w:r w:rsidRPr="006B650A">
        <w:rPr>
          <w:i/>
        </w:rPr>
        <w:t xml:space="preserve"> Three Experiments</w:t>
      </w:r>
      <w:r>
        <w:t xml:space="preserve"> (2009). At </w:t>
      </w:r>
      <w:hyperlink r:id="rId14" w:history="1">
        <w:r w:rsidRPr="00712910">
          <w:rPr>
            <w:rStyle w:val="Hyperlink"/>
          </w:rPr>
          <w:t>http://papers.ssrn.com/sol3/papers.cfm?abstract_id=1521229</w:t>
        </w:r>
      </w:hyperlink>
      <w:r>
        <w:t xml:space="preserve"> (viewed 4 April 2014).</w:t>
      </w:r>
    </w:p>
  </w:endnote>
  <w:endnote w:id="24">
    <w:p w:rsidR="00F97457" w:rsidRDefault="00F97457" w:rsidP="00AC0B88">
      <w:pPr>
        <w:pStyle w:val="EndnoteText"/>
      </w:pPr>
      <w:r>
        <w:rPr>
          <w:rStyle w:val="EndnoteReference"/>
        </w:rPr>
        <w:endnoteRef/>
      </w:r>
      <w:r>
        <w:t xml:space="preserve"> Bodkin-Andrews, G., V. O'Rourke, et al. (2011) ‘Validating Racism and Cultural Respect: Understanding the Educational Impact of Perceived Discrimination and </w:t>
      </w:r>
      <w:proofErr w:type="spellStart"/>
      <w:r>
        <w:t>Multiculturation</w:t>
      </w:r>
      <w:proofErr w:type="spellEnd"/>
      <w:r>
        <w:t xml:space="preserve"> for Indigenous and Non-Indigenous Students’ (2010) 16(6) </w:t>
      </w:r>
      <w:r w:rsidRPr="006B650A">
        <w:rPr>
          <w:i/>
        </w:rPr>
        <w:t xml:space="preserve">Educational </w:t>
      </w:r>
      <w:proofErr w:type="gramStart"/>
      <w:r w:rsidRPr="006B650A">
        <w:rPr>
          <w:i/>
        </w:rPr>
        <w:t>Research</w:t>
      </w:r>
      <w:proofErr w:type="gramEnd"/>
      <w:r w:rsidRPr="006B650A">
        <w:rPr>
          <w:i/>
        </w:rPr>
        <w:t xml:space="preserve"> and Evaluation</w:t>
      </w:r>
      <w:r>
        <w:t xml:space="preserve"> 471. At </w:t>
      </w:r>
      <w:hyperlink r:id="rId15" w:anchor="preview" w:history="1">
        <w:r w:rsidRPr="00712910">
          <w:rPr>
            <w:rStyle w:val="Hyperlink"/>
          </w:rPr>
          <w:t>http://www.tandfonline.com/doi/abs/10.1080/13803611.2010.550497#preview</w:t>
        </w:r>
      </w:hyperlink>
      <w:r>
        <w:t xml:space="preserve"> (viewed 4 April 214).</w:t>
      </w:r>
    </w:p>
  </w:endnote>
  <w:endnote w:id="25">
    <w:p w:rsidR="00F97457" w:rsidRDefault="00F97457" w:rsidP="00AC0B88">
      <w:pPr>
        <w:pStyle w:val="EndnoteText"/>
      </w:pPr>
      <w:r>
        <w:rPr>
          <w:rStyle w:val="EndnoteReference"/>
        </w:rPr>
        <w:endnoteRef/>
      </w:r>
      <w:r>
        <w:t xml:space="preserve"> P Anderson, </w:t>
      </w:r>
      <w:r w:rsidRPr="006B650A">
        <w:rPr>
          <w:i/>
        </w:rPr>
        <w:t>Racism as a Public Health Issue</w:t>
      </w:r>
      <w:r>
        <w:t xml:space="preserve"> (Speech delivered at </w:t>
      </w:r>
      <w:r w:rsidRPr="006B650A">
        <w:t>Dreaming up the future of Aboriginal and Torres Strait Islander Public Health</w:t>
      </w:r>
      <w:r>
        <w:t>, the</w:t>
      </w:r>
      <w:r w:rsidRPr="006B650A">
        <w:t xml:space="preserve"> </w:t>
      </w:r>
      <w:r>
        <w:t xml:space="preserve">School of Public Health and Community Medicine, UNSW Annual Research Symposium, Sydney, 11 October 2013. At </w:t>
      </w:r>
      <w:hyperlink r:id="rId16" w:history="1">
        <w:r w:rsidRPr="00712910">
          <w:rPr>
            <w:rStyle w:val="Hyperlink"/>
          </w:rPr>
          <w:t>http://www.lowitja.org.au/sites/default/files/docs/Chairperson-unsw-public-health-symposium-oct2013_0.pdf</w:t>
        </w:r>
      </w:hyperlink>
      <w:r>
        <w:t xml:space="preserve"> (viewed 4 April 2014).</w:t>
      </w:r>
    </w:p>
  </w:endnote>
  <w:endnote w:id="26">
    <w:p w:rsidR="00F97457" w:rsidRDefault="00F97457" w:rsidP="00AC0B88">
      <w:pPr>
        <w:pStyle w:val="EndnoteText"/>
      </w:pPr>
      <w:r>
        <w:rPr>
          <w:rStyle w:val="EndnoteReference"/>
        </w:rPr>
        <w:endnoteRef/>
      </w:r>
      <w:r>
        <w:t xml:space="preserve"> </w:t>
      </w:r>
      <w:r w:rsidRPr="007108AA">
        <w:t xml:space="preserve">A Markus, </w:t>
      </w:r>
      <w:r w:rsidRPr="006B650A">
        <w:rPr>
          <w:i/>
        </w:rPr>
        <w:t>Mapping Social Cohesion 201</w:t>
      </w:r>
      <w:r>
        <w:rPr>
          <w:i/>
        </w:rPr>
        <w:t>3: the Scanlon Foundation s</w:t>
      </w:r>
      <w:r w:rsidRPr="006B650A">
        <w:rPr>
          <w:i/>
        </w:rPr>
        <w:t>urvey</w:t>
      </w:r>
      <w:r>
        <w:rPr>
          <w:i/>
        </w:rPr>
        <w:t>s national report</w:t>
      </w:r>
      <w:r w:rsidRPr="007108AA">
        <w:t xml:space="preserve"> (201</w:t>
      </w:r>
      <w:r>
        <w:t>3</w:t>
      </w:r>
      <w:r w:rsidRPr="007108AA">
        <w:t xml:space="preserve">). At </w:t>
      </w:r>
      <w:hyperlink r:id="rId17" w:history="1">
        <w:r w:rsidRPr="00712910">
          <w:rPr>
            <w:rStyle w:val="Hyperlink"/>
          </w:rPr>
          <w:t>http://www.scanlonfoundation.org.au/docs/2013_SocC_report_final.pdf</w:t>
        </w:r>
      </w:hyperlink>
      <w:r>
        <w:t xml:space="preserve"> (viewed 4 April 2014).</w:t>
      </w:r>
    </w:p>
  </w:endnote>
  <w:endnote w:id="27">
    <w:p w:rsidR="00F97457" w:rsidRDefault="00F97457" w:rsidP="00AC0B88">
      <w:pPr>
        <w:pStyle w:val="EndnoteText"/>
      </w:pPr>
      <w:r>
        <w:rPr>
          <w:rStyle w:val="EndnoteReference"/>
        </w:rPr>
        <w:endnoteRef/>
      </w:r>
      <w:r>
        <w:t xml:space="preserve"> There is a low level of mutual trust between the two groups. 78% of general community respondents believe that Indigenous people have “fairly low” or “very low” levels of trust for other Australians, while 78% also believe that other Australians have the same low levels of trust towards Indigenous people. </w:t>
      </w:r>
    </w:p>
    <w:p w:rsidR="00F97457" w:rsidRDefault="00F97457" w:rsidP="00AC0B88">
      <w:pPr>
        <w:pStyle w:val="EndnoteText"/>
      </w:pPr>
      <w:r>
        <w:t xml:space="preserve">Perceptions amongst Indigenous respondents are similar with 84% of them believing that Indigenous people have “fairly low “or “very low” levels of trust towards other Australians, and 93% believing that other Australians have “very low” or “fairly low” levels of trust towards Indigenous people: Above note </w:t>
      </w:r>
      <w:r w:rsidRPr="00EB4686">
        <w:t>11.</w:t>
      </w:r>
    </w:p>
  </w:endnote>
  <w:endnote w:id="28">
    <w:p w:rsidR="00F97457" w:rsidRPr="006B650A" w:rsidRDefault="00F97457" w:rsidP="00AC0B88">
      <w:pPr>
        <w:pStyle w:val="EndnoteText"/>
        <w:rPr>
          <w:i/>
        </w:rPr>
      </w:pPr>
      <w:r>
        <w:rPr>
          <w:rStyle w:val="EndnoteReference"/>
        </w:rPr>
        <w:endnoteRef/>
      </w:r>
      <w:r>
        <w:t xml:space="preserve"> </w:t>
      </w:r>
      <w:r w:rsidRPr="006B650A">
        <w:t xml:space="preserve">Australian Institute of Health and Welfare, </w:t>
      </w:r>
      <w:r w:rsidRPr="006B650A">
        <w:rPr>
          <w:i/>
        </w:rPr>
        <w:t>The health and welfare of Australia’s Aboriginal and</w:t>
      </w:r>
    </w:p>
    <w:p w:rsidR="00F97457" w:rsidRDefault="00F97457" w:rsidP="00AC0B88">
      <w:pPr>
        <w:pStyle w:val="EndnoteText"/>
      </w:pPr>
      <w:proofErr w:type="gramStart"/>
      <w:r w:rsidRPr="006B650A">
        <w:rPr>
          <w:i/>
        </w:rPr>
        <w:t>Torres Strait Islander people, an overview 2011</w:t>
      </w:r>
      <w:r w:rsidRPr="006B650A">
        <w:t xml:space="preserve"> (2011), p 39.</w:t>
      </w:r>
      <w:proofErr w:type="gramEnd"/>
      <w:r w:rsidRPr="006B650A">
        <w:t xml:space="preserve"> At </w:t>
      </w:r>
      <w:hyperlink r:id="rId18" w:history="1">
        <w:r w:rsidRPr="006B650A">
          <w:rPr>
            <w:rStyle w:val="Hyperlink"/>
          </w:rPr>
          <w:t>http://www.aihw.gov.au/WorkArea/DownloadAsset.aspx?id=10737418955</w:t>
        </w:r>
      </w:hyperlink>
      <w:r w:rsidRPr="006B650A">
        <w:t xml:space="preserve"> (viewed 4 April 2014).</w:t>
      </w:r>
      <w:r>
        <w:t xml:space="preserve"> </w:t>
      </w:r>
    </w:p>
  </w:endnote>
  <w:endnote w:id="29">
    <w:p w:rsidR="00F97457" w:rsidRPr="00EB4686" w:rsidRDefault="00F97457" w:rsidP="00AC0B88">
      <w:pPr>
        <w:pStyle w:val="EndnoteText"/>
      </w:pPr>
      <w:r>
        <w:rPr>
          <w:rStyle w:val="EndnoteReference"/>
        </w:rPr>
        <w:endnoteRef/>
      </w:r>
      <w:r>
        <w:t xml:space="preserve"> </w:t>
      </w:r>
      <w:proofErr w:type="gramStart"/>
      <w:r>
        <w:t xml:space="preserve">Above </w:t>
      </w:r>
      <w:r w:rsidRPr="00EB4686">
        <w:t>note 12.</w:t>
      </w:r>
      <w:proofErr w:type="gramEnd"/>
    </w:p>
  </w:endnote>
  <w:endnote w:id="30">
    <w:p w:rsidR="00F97457" w:rsidRDefault="00F97457" w:rsidP="00AC0B88">
      <w:pPr>
        <w:pStyle w:val="EndnoteText"/>
      </w:pPr>
      <w:r w:rsidRPr="00EB4686">
        <w:rPr>
          <w:rStyle w:val="EndnoteReference"/>
        </w:rPr>
        <w:endnoteRef/>
      </w:r>
      <w:r w:rsidRPr="00EB4686">
        <w:t xml:space="preserve"> </w:t>
      </w:r>
      <w:proofErr w:type="gramStart"/>
      <w:r w:rsidRPr="00EB4686">
        <w:t>Above note 12, p 20, 23</w:t>
      </w:r>
      <w:r>
        <w:t>-24.</w:t>
      </w:r>
      <w:proofErr w:type="gramEnd"/>
    </w:p>
  </w:endnote>
  <w:endnote w:id="31">
    <w:p w:rsidR="00F97457" w:rsidRDefault="00F97457" w:rsidP="00AC0B88">
      <w:pPr>
        <w:pStyle w:val="EndnoteText"/>
      </w:pPr>
      <w:r>
        <w:rPr>
          <w:rStyle w:val="EndnoteReference"/>
        </w:rPr>
        <w:endnoteRef/>
      </w:r>
      <w:r>
        <w:t xml:space="preserve"> </w:t>
      </w:r>
      <w:proofErr w:type="gramStart"/>
      <w:r>
        <w:t>See N Biddle and N Priest, ‘</w:t>
      </w:r>
      <w:r w:rsidRPr="006B650A">
        <w:rPr>
          <w:lang w:val="en"/>
        </w:rPr>
        <w:t>Indigenous students skipping school to avoid bullying and racism</w:t>
      </w:r>
      <w:r>
        <w:rPr>
          <w:lang w:val="en"/>
        </w:rPr>
        <w:t xml:space="preserve">’, </w:t>
      </w:r>
      <w:r w:rsidRPr="006B650A">
        <w:rPr>
          <w:i/>
          <w:lang w:val="en"/>
        </w:rPr>
        <w:t>The Conversation</w:t>
      </w:r>
      <w:r>
        <w:rPr>
          <w:lang w:val="en"/>
        </w:rPr>
        <w:t>, 11 April 2014.</w:t>
      </w:r>
      <w:proofErr w:type="gramEnd"/>
      <w:r>
        <w:rPr>
          <w:lang w:val="en"/>
        </w:rPr>
        <w:t xml:space="preserve"> At </w:t>
      </w:r>
      <w:hyperlink r:id="rId19" w:history="1">
        <w:r w:rsidRPr="00371871">
          <w:rPr>
            <w:rStyle w:val="Hyperlink"/>
          </w:rPr>
          <w:t>http://theconversation.com/indigenous-students-skipping-school-to-avoid-bullying-and-racism-25433</w:t>
        </w:r>
      </w:hyperlink>
      <w:r>
        <w:t xml:space="preserve"> (viewed 11 April 2014).</w:t>
      </w:r>
    </w:p>
  </w:endnote>
  <w:endnote w:id="32">
    <w:p w:rsidR="00F97457" w:rsidRDefault="00F97457">
      <w:pPr>
        <w:pStyle w:val="EndnoteText"/>
      </w:pPr>
      <w:r>
        <w:rPr>
          <w:rStyle w:val="EndnoteReference"/>
        </w:rPr>
        <w:endnoteRef/>
      </w:r>
      <w:r>
        <w:t xml:space="preserve"> </w:t>
      </w:r>
      <w:r w:rsidRPr="00D83F0D">
        <w:t>Longitudinal Stu</w:t>
      </w:r>
      <w:r>
        <w:t xml:space="preserve">dy of Indigenous Children cited in Dr N Biddle, ‘Experiences and effects of racism in school: The Indigenous context’ (Speech delivered at AIFS Seminar Series, Melbourne, 9 April 2014). </w:t>
      </w:r>
    </w:p>
  </w:endnote>
  <w:endnote w:id="33">
    <w:p w:rsidR="00F97457" w:rsidRDefault="00F97457" w:rsidP="00AC0B88">
      <w:pPr>
        <w:pStyle w:val="EndnoteText"/>
      </w:pPr>
      <w:r>
        <w:rPr>
          <w:rStyle w:val="EndnoteReference"/>
        </w:rPr>
        <w:endnoteRef/>
      </w:r>
      <w:r>
        <w:t xml:space="preserve"> Dr T </w:t>
      </w:r>
      <w:r w:rsidRPr="00E92847">
        <w:t>Soutphommasane</w:t>
      </w:r>
      <w:r>
        <w:t xml:space="preserve">, </w:t>
      </w:r>
      <w:r w:rsidRPr="00E92847">
        <w:t>Race Discrimination Commissioner</w:t>
      </w:r>
      <w:r>
        <w:t>, ‘</w:t>
      </w:r>
      <w:r w:rsidRPr="00E92847">
        <w:t>Moral solidarity on race and recognition</w:t>
      </w:r>
      <w:r>
        <w:t xml:space="preserve">’ (Speech delivered at Congress Lowitja, Melbourne, 20 March 2014). At </w:t>
      </w:r>
      <w:hyperlink r:id="rId20" w:history="1">
        <w:r w:rsidRPr="00E71449">
          <w:rPr>
            <w:rStyle w:val="Hyperlink"/>
          </w:rPr>
          <w:t>https://www.humanrights.gov.au/news/speeches/moral-solidarity-race-and-recognition</w:t>
        </w:r>
      </w:hyperlink>
      <w:r>
        <w:t xml:space="preserve"> (viewed 16 April 2014).</w:t>
      </w:r>
    </w:p>
  </w:endnote>
  <w:endnote w:id="34">
    <w:p w:rsidR="00F97457" w:rsidRDefault="00F97457" w:rsidP="00AC0B88">
      <w:pPr>
        <w:pStyle w:val="EndnoteText"/>
      </w:pPr>
      <w:r>
        <w:rPr>
          <w:rStyle w:val="EndnoteReference"/>
        </w:rPr>
        <w:endnoteRef/>
      </w:r>
      <w:r>
        <w:t xml:space="preserve"> See Y Paradies, ‘A systematic review of empirical research on self-reported racism and health’</w:t>
      </w:r>
    </w:p>
    <w:p w:rsidR="00F97457" w:rsidRDefault="00F97457" w:rsidP="00AC0B88">
      <w:pPr>
        <w:pStyle w:val="EndnoteText"/>
      </w:pPr>
      <w:r>
        <w:t xml:space="preserve">(2006) 35(4) </w:t>
      </w:r>
      <w:r w:rsidRPr="006B650A">
        <w:rPr>
          <w:i/>
        </w:rPr>
        <w:t>International Journal of Epidemiology</w:t>
      </w:r>
      <w:r>
        <w:t xml:space="preserve"> 888; D Williams &amp; R Williams-Morris, ‘Racism and mental health: The African American experience’ (2000) 5(3–4) </w:t>
      </w:r>
      <w:r w:rsidRPr="006B650A">
        <w:rPr>
          <w:i/>
        </w:rPr>
        <w:t>Ethnicity and Health</w:t>
      </w:r>
      <w:r>
        <w:t xml:space="preserve"> 243; J Soto, N Dawson-</w:t>
      </w:r>
      <w:proofErr w:type="spellStart"/>
      <w:r>
        <w:t>Andoh</w:t>
      </w:r>
      <w:proofErr w:type="spellEnd"/>
      <w:r>
        <w:t xml:space="preserve"> &amp; R </w:t>
      </w:r>
      <w:proofErr w:type="spellStart"/>
      <w:r>
        <w:t>BeLue</w:t>
      </w:r>
      <w:proofErr w:type="spellEnd"/>
      <w:r>
        <w:t xml:space="preserve">, ‘The relationship between perceived discrimination and generalized anxiety disorder among African Americans, Afro </w:t>
      </w:r>
      <w:proofErr w:type="spellStart"/>
      <w:r>
        <w:t>Caribbeans</w:t>
      </w:r>
      <w:proofErr w:type="spellEnd"/>
      <w:r>
        <w:t xml:space="preserve">, and non-Hispanic whites’ (2011) 25(2) </w:t>
      </w:r>
      <w:r w:rsidRPr="006B650A">
        <w:rPr>
          <w:i/>
        </w:rPr>
        <w:t>Journal of Anxiety Disorders</w:t>
      </w:r>
      <w:r>
        <w:t xml:space="preserve"> 258; E Pascoe &amp; L Richman L, ‘Perceived discrimination and health: A meta-analytic review’, (2009) 135(4) </w:t>
      </w:r>
      <w:r w:rsidRPr="00E863FC">
        <w:rPr>
          <w:i/>
        </w:rPr>
        <w:t>Psychological Bulletin</w:t>
      </w:r>
      <w:r>
        <w:t xml:space="preserve"> 531.</w:t>
      </w:r>
    </w:p>
  </w:endnote>
  <w:endnote w:id="35">
    <w:p w:rsidR="00F97457" w:rsidRDefault="00F97457" w:rsidP="00AC0B88">
      <w:pPr>
        <w:pStyle w:val="EndnoteText"/>
      </w:pPr>
      <w:r>
        <w:rPr>
          <w:rStyle w:val="EndnoteReference"/>
        </w:rPr>
        <w:endnoteRef/>
      </w:r>
      <w:r>
        <w:t xml:space="preserve"> See </w:t>
      </w:r>
      <w:proofErr w:type="gramStart"/>
      <w:r>
        <w:t>A</w:t>
      </w:r>
      <w:proofErr w:type="gramEnd"/>
      <w:r>
        <w:t xml:space="preserve"> Larson, M Gillies P Howard and J Coffin, ‘It’s enough to make you sick: The impact of racism on the health of Aboriginal Australians’ (2007) 31(4) </w:t>
      </w:r>
      <w:r w:rsidRPr="00E863FC">
        <w:rPr>
          <w:i/>
        </w:rPr>
        <w:t>Australian and New Zealand Journal of Public Health</w:t>
      </w:r>
      <w:r>
        <w:t xml:space="preserve"> 322. At </w:t>
      </w:r>
      <w:hyperlink r:id="rId21" w:history="1">
        <w:r w:rsidRPr="00712910">
          <w:rPr>
            <w:rStyle w:val="Hyperlink"/>
          </w:rPr>
          <w:t>http://onlinelibrary.wiley.com/doi/10.1111/j.1753-6405.2007.00079.x/abstract</w:t>
        </w:r>
      </w:hyperlink>
      <w:r>
        <w:t xml:space="preserve"> (viewed 4 April 2014); N Priest, Y Paradies, W </w:t>
      </w:r>
      <w:proofErr w:type="spellStart"/>
      <w:r>
        <w:t>Gunthorpe</w:t>
      </w:r>
      <w:proofErr w:type="spellEnd"/>
      <w:r>
        <w:t xml:space="preserve">, S </w:t>
      </w:r>
      <w:proofErr w:type="spellStart"/>
      <w:r>
        <w:t>Cairney</w:t>
      </w:r>
      <w:proofErr w:type="spellEnd"/>
      <w:r>
        <w:t xml:space="preserve"> &amp; S Sayers, ‘Racism as a determinant of social and emotional wellbeing for Aboriginal Australian youth’ (2011) 194(10) </w:t>
      </w:r>
      <w:r w:rsidRPr="00C101B7">
        <w:rPr>
          <w:i/>
        </w:rPr>
        <w:t>Medical Journal of Australia</w:t>
      </w:r>
      <w:r>
        <w:t xml:space="preserve"> 546. </w:t>
      </w:r>
      <w:proofErr w:type="gramStart"/>
      <w:r>
        <w:t xml:space="preserve">At </w:t>
      </w:r>
      <w:hyperlink r:id="rId22" w:history="1">
        <w:r w:rsidRPr="00712910">
          <w:rPr>
            <w:rStyle w:val="Hyperlink"/>
          </w:rPr>
          <w:t>https://www.mja.com.au/journal/2011/194/10/racism-determinant-social-and-emotional-wellbeing-aboriginal-australian-youth</w:t>
        </w:r>
      </w:hyperlink>
      <w:r>
        <w:t xml:space="preserve"> (viewed 4 April 2014); N Priest, Y Paradies, P Stewart &amp; J Luke, ‘Racism and health among urban Aboriginal young people’, (2011) 11 </w:t>
      </w:r>
      <w:r w:rsidRPr="00A72FCF">
        <w:rPr>
          <w:i/>
        </w:rPr>
        <w:t>BMC Public Health</w:t>
      </w:r>
      <w:r>
        <w:t xml:space="preserve"> 568.</w:t>
      </w:r>
      <w:proofErr w:type="gramEnd"/>
      <w:r>
        <w:t xml:space="preserve"> At ;</w:t>
      </w:r>
      <w:r w:rsidRPr="00A72FCF">
        <w:t xml:space="preserve"> </w:t>
      </w:r>
      <w:hyperlink r:id="rId23" w:history="1">
        <w:r w:rsidRPr="00712910">
          <w:rPr>
            <w:rStyle w:val="Hyperlink"/>
          </w:rPr>
          <w:t>http://www.biomedcentral.com/1471-2458/11/568</w:t>
        </w:r>
      </w:hyperlink>
      <w:r>
        <w:t xml:space="preserve"> (viewed 4 April 2014); A </w:t>
      </w:r>
      <w:proofErr w:type="spellStart"/>
      <w:r>
        <w:t>Ziersch</w:t>
      </w:r>
      <w:proofErr w:type="spellEnd"/>
      <w:r>
        <w:t xml:space="preserve">, G Gallaher, F Baum &amp; M Bentley, ‘Racism, social resources and mental health for Aboriginal people living in Adelaide’ (2011) 35(3) </w:t>
      </w:r>
      <w:r w:rsidRPr="00A72FCF">
        <w:rPr>
          <w:i/>
        </w:rPr>
        <w:t>Australian and New Zealand Journal of Public Health</w:t>
      </w:r>
      <w:r>
        <w:t xml:space="preserve">, 2011, 231. At </w:t>
      </w:r>
      <w:hyperlink r:id="rId24" w:history="1">
        <w:r w:rsidRPr="00712910">
          <w:rPr>
            <w:rStyle w:val="Hyperlink"/>
          </w:rPr>
          <w:t>http://onlinelibrary.wiley.com/doi/10.1111/j.1753-6405.2011.00681.x/abstract</w:t>
        </w:r>
      </w:hyperlink>
      <w:r>
        <w:t xml:space="preserve"> (viewed 4 April 2014); Y Paradies &amp; J Cunningham, ‘The DRUID study: Racism and self-assessed health status in an Indigenous population’, (2012) 12 </w:t>
      </w:r>
      <w:r w:rsidRPr="00494684">
        <w:rPr>
          <w:i/>
        </w:rPr>
        <w:t>BMC Public Health</w:t>
      </w:r>
      <w:r>
        <w:t xml:space="preserve"> 131. At </w:t>
      </w:r>
      <w:hyperlink r:id="rId25" w:history="1">
        <w:r w:rsidRPr="00712910">
          <w:rPr>
            <w:rStyle w:val="Hyperlink"/>
          </w:rPr>
          <w:t>http://www.biomedcentral.com/1471-2458/12/131</w:t>
        </w:r>
      </w:hyperlink>
      <w:r>
        <w:t xml:space="preserve"> (viewed 4 April 2014). </w:t>
      </w:r>
    </w:p>
  </w:endnote>
  <w:endnote w:id="36">
    <w:p w:rsidR="00F97457" w:rsidRPr="00EB4686" w:rsidRDefault="00F97457" w:rsidP="00AC0B88">
      <w:pPr>
        <w:pStyle w:val="EndnoteText"/>
      </w:pPr>
      <w:r>
        <w:rPr>
          <w:rStyle w:val="EndnoteReference"/>
        </w:rPr>
        <w:endnoteRef/>
      </w:r>
      <w:r>
        <w:t xml:space="preserve"> </w:t>
      </w:r>
      <w:proofErr w:type="gramStart"/>
      <w:r w:rsidRPr="006B650A">
        <w:t xml:space="preserve">Above </w:t>
      </w:r>
      <w:r w:rsidRPr="00EB4686">
        <w:t>note 12, p 4.</w:t>
      </w:r>
      <w:proofErr w:type="gramEnd"/>
    </w:p>
  </w:endnote>
  <w:endnote w:id="37">
    <w:p w:rsidR="00F97457" w:rsidRPr="00EB4686" w:rsidRDefault="00F97457" w:rsidP="00AC0B88">
      <w:pPr>
        <w:pStyle w:val="EndnoteText"/>
      </w:pPr>
      <w:r w:rsidRPr="00EB4686">
        <w:rPr>
          <w:rStyle w:val="EndnoteReference"/>
        </w:rPr>
        <w:endnoteRef/>
      </w:r>
      <w:r w:rsidRPr="00EB4686">
        <w:t xml:space="preserve"> </w:t>
      </w:r>
      <w:proofErr w:type="gramStart"/>
      <w:r w:rsidRPr="00EB4686">
        <w:t xml:space="preserve">Above note 14, </w:t>
      </w:r>
      <w:proofErr w:type="spellStart"/>
      <w:r w:rsidRPr="00EB4686">
        <w:t>pp</w:t>
      </w:r>
      <w:proofErr w:type="spellEnd"/>
      <w:r w:rsidRPr="00EB4686">
        <w:t xml:space="preserve"> 34-35.</w:t>
      </w:r>
      <w:proofErr w:type="gramEnd"/>
    </w:p>
  </w:endnote>
  <w:endnote w:id="38">
    <w:p w:rsidR="00F97457" w:rsidRDefault="00F97457" w:rsidP="00AC0B88">
      <w:pPr>
        <w:pStyle w:val="EndnoteText"/>
      </w:pPr>
      <w:r w:rsidRPr="00EB4686">
        <w:rPr>
          <w:rStyle w:val="EndnoteReference"/>
        </w:rPr>
        <w:endnoteRef/>
      </w:r>
      <w:r w:rsidRPr="00EB4686">
        <w:t xml:space="preserve"> </w:t>
      </w:r>
      <w:proofErr w:type="gramStart"/>
      <w:r w:rsidRPr="00EB4686">
        <w:rPr>
          <w:color w:val="2A2A2A"/>
        </w:rPr>
        <w:t>Above note 14.</w:t>
      </w:r>
      <w:proofErr w:type="gramEnd"/>
    </w:p>
  </w:endnote>
  <w:endnote w:id="39">
    <w:p w:rsidR="00F97457" w:rsidRDefault="00F97457" w:rsidP="00AC0B88">
      <w:pPr>
        <w:pStyle w:val="EndnoteText"/>
      </w:pPr>
      <w:r>
        <w:rPr>
          <w:rStyle w:val="EndnoteReference"/>
        </w:rPr>
        <w:endnoteRef/>
      </w:r>
      <w:r>
        <w:t xml:space="preserve"> Y </w:t>
      </w:r>
      <w:r w:rsidRPr="00A97C31">
        <w:t xml:space="preserve">Paradies, </w:t>
      </w:r>
      <w:r>
        <w:t>R Harris &amp; I Anderson</w:t>
      </w:r>
      <w:r w:rsidRPr="00A97C31">
        <w:t xml:space="preserve"> </w:t>
      </w:r>
      <w:r>
        <w:t>‘</w:t>
      </w:r>
      <w:r w:rsidRPr="00A97C31">
        <w:t>Exploring the Health Effects of Racism for Indigenous people</w:t>
      </w:r>
      <w:r>
        <w:t xml:space="preserve">’ </w:t>
      </w:r>
      <w:r w:rsidRPr="00494684">
        <w:rPr>
          <w:i/>
        </w:rPr>
        <w:t>The Impact of Racism on Indigenous Health in Australia and Aotearoa: Towards a Research Agenda</w:t>
      </w:r>
      <w:r>
        <w:t>, Cooperative Research Centre for Aboriginal Health Discussion Paper Series: No. 4</w:t>
      </w:r>
      <w:r w:rsidRPr="00A97C31">
        <w:t xml:space="preserve"> </w:t>
      </w:r>
      <w:r>
        <w:t xml:space="preserve">(2008); Y </w:t>
      </w:r>
      <w:r w:rsidRPr="00F22A62">
        <w:t xml:space="preserve">Paradies, Y. (2006a). </w:t>
      </w:r>
      <w:proofErr w:type="gramStart"/>
      <w:r w:rsidRPr="00B7444F">
        <w:rPr>
          <w:i/>
        </w:rPr>
        <w:t>Race, Racism, Stress and Indigenous Health</w:t>
      </w:r>
      <w:r>
        <w:t>.</w:t>
      </w:r>
      <w:proofErr w:type="gramEnd"/>
      <w:r>
        <w:t xml:space="preserve"> PhD thesis, Department of Public Health</w:t>
      </w:r>
      <w:r w:rsidRPr="00F22A62">
        <w:t>, The University of Melbourne</w:t>
      </w:r>
      <w:r>
        <w:t xml:space="preserve"> (2006); Y </w:t>
      </w:r>
      <w:r w:rsidRPr="00F22A62">
        <w:t xml:space="preserve">Paradies &amp; </w:t>
      </w:r>
      <w:r>
        <w:t>J Cunningham ‘</w:t>
      </w:r>
      <w:r w:rsidRPr="00F22A62">
        <w:t>The DRUID study: Exploring mediating pathways between racism and depressive symptom</w:t>
      </w:r>
      <w:r>
        <w:t xml:space="preserve">s among Indigenous Australians’ (2012) 47 </w:t>
      </w:r>
      <w:r w:rsidRPr="00604590">
        <w:rPr>
          <w:i/>
        </w:rPr>
        <w:t>Social Psychiatry and Psychiatric Epidemiology</w:t>
      </w:r>
      <w:r>
        <w:rPr>
          <w:i/>
        </w:rPr>
        <w:t xml:space="preserve"> </w:t>
      </w:r>
      <w:r>
        <w:t xml:space="preserve">165; S </w:t>
      </w:r>
      <w:proofErr w:type="spellStart"/>
      <w:r w:rsidRPr="00F22A62">
        <w:t>Zubrick</w:t>
      </w:r>
      <w:proofErr w:type="spellEnd"/>
      <w:r w:rsidRPr="00F22A62">
        <w:t>,</w:t>
      </w:r>
      <w:r>
        <w:t xml:space="preserve"> S</w:t>
      </w:r>
      <w:r w:rsidRPr="00F22A62">
        <w:t xml:space="preserve"> </w:t>
      </w:r>
      <w:proofErr w:type="spellStart"/>
      <w:r w:rsidRPr="00F22A62">
        <w:t>Silburn</w:t>
      </w:r>
      <w:proofErr w:type="spellEnd"/>
      <w:r w:rsidRPr="00F22A62">
        <w:t>,</w:t>
      </w:r>
      <w:r>
        <w:t xml:space="preserve"> D Lawrence, F</w:t>
      </w:r>
      <w:r w:rsidRPr="00F22A62">
        <w:t xml:space="preserve"> </w:t>
      </w:r>
      <w:proofErr w:type="spellStart"/>
      <w:r w:rsidRPr="00F22A62">
        <w:t>Mitrou</w:t>
      </w:r>
      <w:proofErr w:type="spellEnd"/>
      <w:r w:rsidRPr="00F22A62">
        <w:t>,</w:t>
      </w:r>
      <w:r>
        <w:t xml:space="preserve"> R</w:t>
      </w:r>
      <w:r w:rsidRPr="00F22A62">
        <w:t xml:space="preserve"> Dalby, </w:t>
      </w:r>
      <w:r>
        <w:t>E</w:t>
      </w:r>
      <w:r w:rsidRPr="00F22A62">
        <w:t xml:space="preserve"> Blair, </w:t>
      </w:r>
      <w:r>
        <w:t xml:space="preserve">J </w:t>
      </w:r>
      <w:r w:rsidRPr="000D6E3E">
        <w:t xml:space="preserve">Griffin, </w:t>
      </w:r>
      <w:r>
        <w:t>H</w:t>
      </w:r>
      <w:r w:rsidRPr="000D6E3E">
        <w:t xml:space="preserve"> Milroy, </w:t>
      </w:r>
      <w:r>
        <w:t>J</w:t>
      </w:r>
      <w:r w:rsidRPr="000D6E3E">
        <w:t xml:space="preserve"> De </w:t>
      </w:r>
      <w:proofErr w:type="spellStart"/>
      <w:r w:rsidRPr="000D6E3E">
        <w:t>Maio</w:t>
      </w:r>
      <w:proofErr w:type="spellEnd"/>
      <w:r w:rsidRPr="000D6E3E">
        <w:t xml:space="preserve">, </w:t>
      </w:r>
      <w:r>
        <w:t>A Cox &amp; J</w:t>
      </w:r>
      <w:r w:rsidRPr="000D6E3E">
        <w:t xml:space="preserve"> Li </w:t>
      </w:r>
      <w:r w:rsidRPr="000D6E3E">
        <w:rPr>
          <w:i/>
        </w:rPr>
        <w:t>Western Australian Aboriginal Child Health Survey: The Social and Emotional Wellbeing of Aboriginal Children and Young People</w:t>
      </w:r>
      <w:r>
        <w:t xml:space="preserve">, </w:t>
      </w:r>
      <w:r w:rsidRPr="00F22A62">
        <w:t>Curtin University of Technology and Telethon Institute for Child Health Research</w:t>
      </w:r>
      <w:r>
        <w:t xml:space="preserve"> (2005); L </w:t>
      </w:r>
      <w:proofErr w:type="spellStart"/>
      <w:r w:rsidRPr="00F22A62">
        <w:t>Jamieson,</w:t>
      </w:r>
      <w:r>
        <w:t>Y</w:t>
      </w:r>
      <w:proofErr w:type="spellEnd"/>
      <w:r w:rsidRPr="00F22A62">
        <w:t xml:space="preserve"> Paradies, </w:t>
      </w:r>
      <w:r>
        <w:t>W</w:t>
      </w:r>
      <w:r w:rsidRPr="00F22A62">
        <w:t xml:space="preserve"> </w:t>
      </w:r>
      <w:proofErr w:type="spellStart"/>
      <w:r w:rsidRPr="00F22A62">
        <w:t>Gunthorpe</w:t>
      </w:r>
      <w:proofErr w:type="spellEnd"/>
      <w:r w:rsidRPr="00F22A62">
        <w:t xml:space="preserve">, </w:t>
      </w:r>
      <w:r>
        <w:t>S</w:t>
      </w:r>
      <w:r w:rsidRPr="00F22A62">
        <w:t xml:space="preserve"> </w:t>
      </w:r>
      <w:proofErr w:type="spellStart"/>
      <w:r w:rsidRPr="00F22A62">
        <w:t>Cairney</w:t>
      </w:r>
      <w:proofErr w:type="spellEnd"/>
      <w:r w:rsidRPr="00F22A62">
        <w:t xml:space="preserve"> &amp; </w:t>
      </w:r>
      <w:r>
        <w:t xml:space="preserve">S </w:t>
      </w:r>
      <w:r w:rsidRPr="00F22A62">
        <w:t>Sayers</w:t>
      </w:r>
      <w:r>
        <w:t>, ‘</w:t>
      </w:r>
      <w:r w:rsidRPr="00F22A62">
        <w:t>Oral health and social and emotional well-being in a birth cohort of Abo</w:t>
      </w:r>
      <w:r>
        <w:t>riginal Australian young adults’ (2011)</w:t>
      </w:r>
      <w:r w:rsidRPr="00F22A62">
        <w:t xml:space="preserve"> </w:t>
      </w:r>
      <w:r>
        <w:t xml:space="preserve">11 </w:t>
      </w:r>
      <w:r w:rsidRPr="00711249">
        <w:rPr>
          <w:i/>
        </w:rPr>
        <w:t>BMC Public Health</w:t>
      </w:r>
      <w:r>
        <w:t xml:space="preserve"> 656. </w:t>
      </w:r>
      <w:proofErr w:type="gramStart"/>
      <w:r>
        <w:t xml:space="preserve">At </w:t>
      </w:r>
      <w:hyperlink r:id="rId26" w:history="1">
        <w:r w:rsidRPr="00712910">
          <w:rPr>
            <w:rStyle w:val="Hyperlink"/>
          </w:rPr>
          <w:t>http://www.biomedcentral.com/1471-2458/11/656</w:t>
        </w:r>
      </w:hyperlink>
      <w:r>
        <w:t xml:space="preserve"> (viewed 4 April 2014); N Priest et al, above </w:t>
      </w:r>
      <w:r w:rsidRPr="00EB4686">
        <w:t>note 35.</w:t>
      </w:r>
      <w:proofErr w:type="gramEnd"/>
    </w:p>
  </w:endnote>
  <w:endnote w:id="40">
    <w:p w:rsidR="00F97457" w:rsidRPr="003E19F4" w:rsidRDefault="00F97457" w:rsidP="00AC0B88">
      <w:pPr>
        <w:pStyle w:val="EndnoteText"/>
      </w:pPr>
      <w:r>
        <w:rPr>
          <w:rStyle w:val="EndnoteReference"/>
        </w:rPr>
        <w:endnoteRef/>
      </w:r>
      <w:r>
        <w:t xml:space="preserve"> </w:t>
      </w:r>
      <w:proofErr w:type="gramStart"/>
      <w:r w:rsidRPr="003E19F4">
        <w:t>Above note 12.</w:t>
      </w:r>
      <w:proofErr w:type="gramEnd"/>
    </w:p>
  </w:endnote>
  <w:endnote w:id="41">
    <w:p w:rsidR="00F97457" w:rsidRPr="003E19F4" w:rsidRDefault="00F97457">
      <w:pPr>
        <w:pStyle w:val="EndnoteText"/>
      </w:pPr>
      <w:r w:rsidRPr="003E19F4">
        <w:rPr>
          <w:rStyle w:val="EndnoteReference"/>
        </w:rPr>
        <w:endnoteRef/>
      </w:r>
      <w:r w:rsidRPr="003E19F4">
        <w:t xml:space="preserve"> </w:t>
      </w:r>
      <w:proofErr w:type="gramStart"/>
      <w:r w:rsidRPr="003E19F4">
        <w:t>Above note 12.</w:t>
      </w:r>
      <w:proofErr w:type="gramEnd"/>
    </w:p>
  </w:endnote>
  <w:endnote w:id="42">
    <w:p w:rsidR="00F97457" w:rsidRPr="003E19F4" w:rsidRDefault="00F97457">
      <w:pPr>
        <w:pStyle w:val="EndnoteText"/>
      </w:pPr>
      <w:r w:rsidRPr="003E19F4">
        <w:rPr>
          <w:rStyle w:val="EndnoteReference"/>
        </w:rPr>
        <w:endnoteRef/>
      </w:r>
      <w:r w:rsidRPr="003E19F4">
        <w:t xml:space="preserve"> </w:t>
      </w:r>
      <w:proofErr w:type="gramStart"/>
      <w:r w:rsidRPr="003E19F4">
        <w:t>Above note 12.</w:t>
      </w:r>
      <w:proofErr w:type="gramEnd"/>
    </w:p>
  </w:endnote>
  <w:endnote w:id="43">
    <w:p w:rsidR="00F97457" w:rsidRDefault="00F97457">
      <w:pPr>
        <w:pStyle w:val="EndnoteText"/>
      </w:pPr>
      <w:r w:rsidRPr="003E19F4">
        <w:rPr>
          <w:rStyle w:val="EndnoteReference"/>
        </w:rPr>
        <w:endnoteRef/>
      </w:r>
      <w:r w:rsidRPr="003E19F4">
        <w:t xml:space="preserve"> </w:t>
      </w:r>
      <w:proofErr w:type="gramStart"/>
      <w:r w:rsidRPr="003E19F4">
        <w:t>Above note 12, p 21.</w:t>
      </w:r>
      <w:proofErr w:type="gramEnd"/>
    </w:p>
  </w:endnote>
  <w:endnote w:id="44">
    <w:p w:rsidR="00F97457" w:rsidRDefault="00F97457" w:rsidP="00AC0B88">
      <w:pPr>
        <w:pStyle w:val="EndnoteText"/>
      </w:pPr>
      <w:r w:rsidRPr="007B79B4">
        <w:rPr>
          <w:rStyle w:val="EndnoteReference"/>
        </w:rPr>
        <w:endnoteRef/>
      </w:r>
      <w:r w:rsidRPr="007B79B4">
        <w:t xml:space="preserve"> T </w:t>
      </w:r>
      <w:proofErr w:type="spellStart"/>
      <w:r w:rsidRPr="007B79B4">
        <w:t>Vos</w:t>
      </w:r>
      <w:proofErr w:type="spellEnd"/>
      <w:r w:rsidRPr="007B79B4">
        <w:t xml:space="preserve">, B Barker, L Stanley &amp; A Lopez, </w:t>
      </w:r>
      <w:r w:rsidRPr="007B79B4">
        <w:rPr>
          <w:i/>
        </w:rPr>
        <w:t>The Burden of Disease and Injury in Aboriginal and Torres Strait Islander Peoples 2003</w:t>
      </w:r>
      <w:r w:rsidRPr="007B79B4">
        <w:t>, School of</w:t>
      </w:r>
      <w:r>
        <w:t xml:space="preserve"> Population Health, The University Queensland (2007). At </w:t>
      </w:r>
      <w:hyperlink r:id="rId27" w:history="1">
        <w:r w:rsidRPr="00712910">
          <w:rPr>
            <w:rStyle w:val="Hyperlink"/>
          </w:rPr>
          <w:t>http://www.lowitja.org.au/sites/default/files/docs/Indigenous-BoD-Report.pdf</w:t>
        </w:r>
      </w:hyperlink>
      <w:r>
        <w:t xml:space="preserve"> (viewed 4 April 2014).</w:t>
      </w:r>
    </w:p>
  </w:endnote>
  <w:endnote w:id="45">
    <w:p w:rsidR="00F97457" w:rsidRDefault="00F97457">
      <w:pPr>
        <w:pStyle w:val="EndnoteText"/>
      </w:pPr>
      <w:r>
        <w:rPr>
          <w:rStyle w:val="EndnoteReference"/>
        </w:rPr>
        <w:endnoteRef/>
      </w:r>
      <w:r>
        <w:t xml:space="preserve"> See Australian Human Rights Commission, </w:t>
      </w:r>
      <w:proofErr w:type="gramStart"/>
      <w:r w:rsidRPr="005C1EBD">
        <w:rPr>
          <w:i/>
        </w:rPr>
        <w:t>At</w:t>
      </w:r>
      <w:proofErr w:type="gramEnd"/>
      <w:r w:rsidRPr="005C1EBD">
        <w:rPr>
          <w:i/>
        </w:rPr>
        <w:t xml:space="preserve"> a glance: Racial vilification under sections 18C and 18D of the Racial Discrimination Act 1975 (Cth)</w:t>
      </w:r>
      <w:r w:rsidRPr="005C1EBD">
        <w:t>.</w:t>
      </w:r>
      <w:r>
        <w:t xml:space="preserve"> At </w:t>
      </w:r>
      <w:hyperlink r:id="rId28" w:history="1">
        <w:r w:rsidRPr="007A53B4">
          <w:rPr>
            <w:rStyle w:val="Hyperlink"/>
          </w:rPr>
          <w:t>https://www.humanrights.gov.au/sites/default/files/18C%20%26%20D%20FactsheetFINAL.pdf</w:t>
        </w:r>
      </w:hyperlink>
      <w:r>
        <w:t xml:space="preserve"> (viewed 4 April 2014). </w:t>
      </w:r>
    </w:p>
  </w:endnote>
  <w:endnote w:id="46">
    <w:p w:rsidR="00F97457" w:rsidRDefault="00F97457">
      <w:pPr>
        <w:pStyle w:val="EndnoteText"/>
      </w:pPr>
      <w:r>
        <w:rPr>
          <w:rStyle w:val="EndnoteReference"/>
        </w:rPr>
        <w:endnoteRef/>
      </w:r>
      <w:r>
        <w:t xml:space="preserve"> </w:t>
      </w:r>
      <w:proofErr w:type="spellStart"/>
      <w:proofErr w:type="gramStart"/>
      <w:r w:rsidRPr="00350DFB">
        <w:rPr>
          <w:i/>
        </w:rPr>
        <w:t>Toben</w:t>
      </w:r>
      <w:proofErr w:type="spellEnd"/>
      <w:r w:rsidRPr="00350DFB">
        <w:rPr>
          <w:i/>
        </w:rPr>
        <w:t xml:space="preserve"> v Jones</w:t>
      </w:r>
      <w:r>
        <w:t xml:space="preserve"> (2003) 129 FCR 515, </w:t>
      </w:r>
      <w:proofErr w:type="spellStart"/>
      <w:r>
        <w:t>para</w:t>
      </w:r>
      <w:proofErr w:type="spellEnd"/>
      <w:r>
        <w:t xml:space="preserve"> 136.</w:t>
      </w:r>
      <w:proofErr w:type="gramEnd"/>
    </w:p>
  </w:endnote>
  <w:endnote w:id="47">
    <w:p w:rsidR="00F97457" w:rsidRDefault="00F97457">
      <w:pPr>
        <w:pStyle w:val="EndnoteText"/>
      </w:pPr>
      <w:r w:rsidRPr="008113FC">
        <w:rPr>
          <w:rStyle w:val="EndnoteReference"/>
        </w:rPr>
        <w:endnoteRef/>
      </w:r>
      <w:r w:rsidRPr="008113FC">
        <w:t xml:space="preserve"> </w:t>
      </w:r>
      <w:proofErr w:type="gramStart"/>
      <w:r w:rsidRPr="008113FC">
        <w:t xml:space="preserve">Above note 2, </w:t>
      </w:r>
      <w:proofErr w:type="spellStart"/>
      <w:r>
        <w:t>paras</w:t>
      </w:r>
      <w:proofErr w:type="spellEnd"/>
      <w:r>
        <w:t xml:space="preserve"> 42-61</w:t>
      </w:r>
      <w:r w:rsidRPr="008113FC">
        <w:t>.</w:t>
      </w:r>
      <w:proofErr w:type="gramEnd"/>
    </w:p>
  </w:endnote>
  <w:endnote w:id="48">
    <w:p w:rsidR="00F97457" w:rsidRDefault="00F97457" w:rsidP="00C573A7">
      <w:pPr>
        <w:pStyle w:val="EndnoteText"/>
      </w:pPr>
      <w:r>
        <w:rPr>
          <w:rStyle w:val="EndnoteReference"/>
        </w:rPr>
        <w:endnoteRef/>
      </w:r>
      <w:r>
        <w:t xml:space="preserve"> Section 18D</w:t>
      </w:r>
      <w:r w:rsidRPr="00383A7F">
        <w:t xml:space="preserve"> provides that “section 18</w:t>
      </w:r>
      <w:r>
        <w:t>C</w:t>
      </w:r>
      <w:r w:rsidRPr="00383A7F">
        <w:t xml:space="preserve"> does not render unlawful anything said or done reasonably and in good faith” in the “performance, exhibition or distribution of an artistic work” or “in the course of any statement, publication, discussion or debate made or held for any genuine academic, artistic or scientific purpose or any other genuine purpose in the public interest” or in making or publishing a “fair and accurate report of any event or matter of public interest” or a “fair comment on any event or matter of public interest if the comment is an expression of a genuine belief held by the person making the comment”.</w:t>
      </w:r>
    </w:p>
  </w:endnote>
  <w:endnote w:id="49">
    <w:p w:rsidR="00F97457" w:rsidRPr="008113FC" w:rsidRDefault="00F97457" w:rsidP="000F1603">
      <w:pPr>
        <w:pStyle w:val="EndnoteText"/>
      </w:pPr>
      <w:r>
        <w:rPr>
          <w:rStyle w:val="EndnoteReference"/>
        </w:rPr>
        <w:endnoteRef/>
      </w:r>
      <w:r>
        <w:t xml:space="preserve"> This section was largely drawn from the Australian Human Rights Commission’s submission, above </w:t>
      </w:r>
      <w:r w:rsidRPr="008113FC">
        <w:t>note 2. See also above note 45.</w:t>
      </w:r>
    </w:p>
  </w:endnote>
  <w:endnote w:id="50">
    <w:p w:rsidR="00F97457" w:rsidRDefault="00F97457" w:rsidP="00865BD2">
      <w:pPr>
        <w:pStyle w:val="EndnoteText"/>
      </w:pPr>
      <w:r w:rsidRPr="008113FC">
        <w:rPr>
          <w:rStyle w:val="EndnoteReference"/>
        </w:rPr>
        <w:endnoteRef/>
      </w:r>
      <w:r w:rsidRPr="008113FC">
        <w:t xml:space="preserve"> This section was largely drawn from the Australian Human Rights Commission’s submission, above note 2. See also above</w:t>
      </w:r>
      <w:r>
        <w:t xml:space="preserve"> </w:t>
      </w:r>
      <w:r w:rsidRPr="003E19F4">
        <w:t>note 45.</w:t>
      </w:r>
    </w:p>
  </w:endnote>
  <w:endnote w:id="51">
    <w:p w:rsidR="00F97457" w:rsidRDefault="00F97457">
      <w:pPr>
        <w:pStyle w:val="EndnoteText"/>
      </w:pPr>
      <w:r>
        <w:rPr>
          <w:rStyle w:val="EndnoteReference"/>
        </w:rPr>
        <w:endnoteRef/>
      </w:r>
      <w:r>
        <w:t xml:space="preserve"> </w:t>
      </w:r>
      <w:r w:rsidRPr="007B690E">
        <w:t xml:space="preserve">Senator the Hon G </w:t>
      </w:r>
      <w:proofErr w:type="spellStart"/>
      <w:r w:rsidRPr="007B690E">
        <w:t>Brandis</w:t>
      </w:r>
      <w:proofErr w:type="spellEnd"/>
      <w:r w:rsidRPr="007B690E">
        <w:t>, Attorney-General for Australia,</w:t>
      </w:r>
      <w:r>
        <w:t xml:space="preserve"> ‘Racial Discrimination Act’ (Media Release, 25 March 2014). At </w:t>
      </w:r>
      <w:hyperlink r:id="rId29" w:history="1">
        <w:r w:rsidRPr="00AA50F0">
          <w:rPr>
            <w:rStyle w:val="Hyperlink"/>
          </w:rPr>
          <w:t>http://www.attorneygeneral.gov.au/Mediareleases/Pages/2014/First%20Quarter/25March2014-RacialDiscriminationAct.aspx</w:t>
        </w:r>
      </w:hyperlink>
      <w:r>
        <w:t xml:space="preserve"> (viewed 4 April 2014).</w:t>
      </w:r>
    </w:p>
  </w:endnote>
  <w:endnote w:id="52">
    <w:p w:rsidR="00F97457" w:rsidRDefault="00F97457">
      <w:pPr>
        <w:pStyle w:val="EndnoteText"/>
      </w:pPr>
      <w:r>
        <w:rPr>
          <w:rStyle w:val="EndnoteReference"/>
        </w:rPr>
        <w:endnoteRef/>
      </w:r>
      <w:r>
        <w:t xml:space="preserve"> </w:t>
      </w:r>
      <w:proofErr w:type="gramStart"/>
      <w:r>
        <w:t xml:space="preserve">Above </w:t>
      </w:r>
      <w:r w:rsidRPr="008113FC">
        <w:t xml:space="preserve">note 2, </w:t>
      </w:r>
      <w:proofErr w:type="spellStart"/>
      <w:r w:rsidRPr="008113FC">
        <w:t>para</w:t>
      </w:r>
      <w:proofErr w:type="spellEnd"/>
      <w:r>
        <w:t xml:space="preserve"> 3, observation 3.</w:t>
      </w:r>
      <w:proofErr w:type="gramEnd"/>
    </w:p>
  </w:endnote>
  <w:endnote w:id="53">
    <w:p w:rsidR="00F97457" w:rsidRDefault="00F97457" w:rsidP="00F3676A">
      <w:pPr>
        <w:pStyle w:val="EndnoteText"/>
      </w:pPr>
      <w:r>
        <w:rPr>
          <w:rStyle w:val="EndnoteReference"/>
        </w:rPr>
        <w:endnoteRef/>
      </w:r>
      <w:r>
        <w:t xml:space="preserve"> Senator the Hon G </w:t>
      </w:r>
      <w:proofErr w:type="spellStart"/>
      <w:r>
        <w:t>Brandis</w:t>
      </w:r>
      <w:proofErr w:type="spellEnd"/>
      <w:r>
        <w:t xml:space="preserve">, Attorney-General for Australia, Racial Discrimination Act (Press Conference Transcript, Parliament House, 25 March 2014). At </w:t>
      </w:r>
      <w:hyperlink r:id="rId30" w:history="1">
        <w:r w:rsidRPr="0070431A">
          <w:rPr>
            <w:rStyle w:val="Hyperlink"/>
          </w:rPr>
          <w:t>http://www.attorneygeneral.gov.au/transcripts/Pages/2014/First%20Quarter/25March2014-PressConference-ParliamentHouse.aspx</w:t>
        </w:r>
      </w:hyperlink>
      <w:r>
        <w:t xml:space="preserve"> (viewed 4 April 2014).</w:t>
      </w:r>
    </w:p>
  </w:endnote>
  <w:endnote w:id="54">
    <w:p w:rsidR="00F97457" w:rsidRDefault="00F97457" w:rsidP="006F3E81">
      <w:pPr>
        <w:pStyle w:val="EndnoteText"/>
      </w:pPr>
      <w:r w:rsidRPr="003E19F4">
        <w:rPr>
          <w:rStyle w:val="EndnoteReference"/>
        </w:rPr>
        <w:endnoteRef/>
      </w:r>
      <w:r w:rsidRPr="003E19F4">
        <w:t xml:space="preserve"> </w:t>
      </w:r>
      <w:r w:rsidRPr="003E19F4">
        <w:rPr>
          <w:i/>
        </w:rPr>
        <w:t>Creek v Cairns Post Pty Ltd</w:t>
      </w:r>
      <w:r w:rsidRPr="003E19F4">
        <w:t xml:space="preserve"> [(2001) 112 FCR 352 at [16]. See also above note 45.</w:t>
      </w:r>
    </w:p>
  </w:endnote>
  <w:endnote w:id="55">
    <w:p w:rsidR="00F97457" w:rsidRDefault="00F97457">
      <w:pPr>
        <w:pStyle w:val="EndnoteText"/>
      </w:pPr>
      <w:r>
        <w:rPr>
          <w:rStyle w:val="EndnoteReference"/>
        </w:rPr>
        <w:endnoteRef/>
      </w:r>
      <w:r>
        <w:t xml:space="preserve"> </w:t>
      </w:r>
      <w:r w:rsidRPr="007778F0">
        <w:rPr>
          <w:i/>
        </w:rPr>
        <w:t>Eatock v Bolt</w:t>
      </w:r>
      <w:r w:rsidRPr="007778F0">
        <w:t xml:space="preserve"> </w:t>
      </w:r>
      <w:r w:rsidRPr="002450D5">
        <w:t>(2011) 197 FCR 261</w:t>
      </w:r>
      <w:r>
        <w:t xml:space="preserve"> </w:t>
      </w:r>
      <w:r w:rsidRPr="007778F0">
        <w:t>at [263]-[267]</w:t>
      </w:r>
      <w:r>
        <w:t>.</w:t>
      </w:r>
    </w:p>
  </w:endnote>
  <w:endnote w:id="56">
    <w:p w:rsidR="00F97457" w:rsidRDefault="00F97457">
      <w:pPr>
        <w:pStyle w:val="EndnoteText"/>
      </w:pPr>
      <w:r>
        <w:rPr>
          <w:rStyle w:val="EndnoteReference"/>
        </w:rPr>
        <w:endnoteRef/>
      </w:r>
      <w:r>
        <w:t xml:space="preserve"> Victorian Equal Opportunity and Human Rights Commission, Submission to the Australian Government: Freedom of Speech (Repeal of s 18C) Bill 2014, 15 April 2014, pp 8-10. At </w:t>
      </w:r>
      <w:hyperlink r:id="rId31" w:history="1">
        <w:r w:rsidRPr="00712910">
          <w:rPr>
            <w:rStyle w:val="Hyperlink"/>
          </w:rPr>
          <w:t>http://www.humanrightscommission.vic.gov.au/index.php/news-and-events/commission-news/item/778-submission-to-proposed-amendments-to-racial-discrimination-act</w:t>
        </w:r>
      </w:hyperlink>
      <w:r>
        <w:t xml:space="preserve"> (viewed 15 April 2014). See also the Australian Human Rights Commission’s submission, </w:t>
      </w:r>
      <w:r w:rsidRPr="008113FC">
        <w:t>above note 2.</w:t>
      </w:r>
    </w:p>
  </w:endnote>
  <w:endnote w:id="57">
    <w:p w:rsidR="00F97457" w:rsidRDefault="00F97457" w:rsidP="00E462F4">
      <w:pPr>
        <w:pStyle w:val="EndnoteText"/>
      </w:pPr>
      <w:r>
        <w:rPr>
          <w:rStyle w:val="EndnoteReference"/>
        </w:rPr>
        <w:endnoteRef/>
      </w:r>
      <w:r>
        <w:t xml:space="preserve"> </w:t>
      </w:r>
      <w:r w:rsidRPr="004B5584">
        <w:rPr>
          <w:rFonts w:cs="Arial"/>
          <w:i/>
        </w:rPr>
        <w:t>Discrimination Act 1991</w:t>
      </w:r>
      <w:r w:rsidRPr="004B5584">
        <w:rPr>
          <w:rFonts w:cs="Arial"/>
        </w:rPr>
        <w:t xml:space="preserve"> (ACT)</w:t>
      </w:r>
      <w:r>
        <w:rPr>
          <w:rFonts w:cs="Arial"/>
        </w:rPr>
        <w:t xml:space="preserve"> s 67; </w:t>
      </w:r>
      <w:r w:rsidRPr="002E79ED">
        <w:rPr>
          <w:i/>
        </w:rPr>
        <w:t>Anti-Discrimination Act 1977</w:t>
      </w:r>
      <w:r>
        <w:t xml:space="preserve"> (NSW) s 20D; </w:t>
      </w:r>
      <w:r>
        <w:rPr>
          <w:rFonts w:cs="Arial"/>
          <w:i/>
        </w:rPr>
        <w:t>Anti-</w:t>
      </w:r>
      <w:r w:rsidRPr="004B5584">
        <w:rPr>
          <w:rFonts w:cs="Arial"/>
          <w:i/>
        </w:rPr>
        <w:t>Discrimination Act 1991</w:t>
      </w:r>
      <w:r>
        <w:rPr>
          <w:rFonts w:cs="Arial"/>
        </w:rPr>
        <w:t xml:space="preserve"> (Qld</w:t>
      </w:r>
      <w:r w:rsidRPr="004B5584">
        <w:rPr>
          <w:rFonts w:cs="Arial"/>
        </w:rPr>
        <w:t>)</w:t>
      </w:r>
      <w:r>
        <w:rPr>
          <w:rFonts w:cs="Arial"/>
        </w:rPr>
        <w:t xml:space="preserve"> s 131A; </w:t>
      </w:r>
      <w:r>
        <w:rPr>
          <w:rFonts w:cs="Arial"/>
          <w:i/>
        </w:rPr>
        <w:t>Racial Vilification Act 1996</w:t>
      </w:r>
      <w:r>
        <w:rPr>
          <w:rFonts w:cs="Arial"/>
        </w:rPr>
        <w:t xml:space="preserve"> (SA) s 4; </w:t>
      </w:r>
      <w:r w:rsidRPr="004B5584">
        <w:rPr>
          <w:rFonts w:cs="Arial"/>
          <w:i/>
        </w:rPr>
        <w:t>Racial and Religious Tolerance Act 2001</w:t>
      </w:r>
      <w:r>
        <w:rPr>
          <w:rFonts w:cs="Arial"/>
          <w:i/>
        </w:rPr>
        <w:t xml:space="preserve"> </w:t>
      </w:r>
      <w:r>
        <w:rPr>
          <w:rFonts w:cs="Arial"/>
        </w:rPr>
        <w:t xml:space="preserve">(Vic) s 24; </w:t>
      </w:r>
      <w:r>
        <w:rPr>
          <w:rFonts w:cs="Arial"/>
          <w:i/>
        </w:rPr>
        <w:t xml:space="preserve">Criminal Code </w:t>
      </w:r>
      <w:r w:rsidRPr="00D55EDC">
        <w:rPr>
          <w:rFonts w:cs="Arial"/>
        </w:rPr>
        <w:t>(WA)</w:t>
      </w:r>
      <w:r>
        <w:rPr>
          <w:rFonts w:cs="Arial"/>
        </w:rPr>
        <w:t xml:space="preserve"> ss 77, 78, 80A and 80B. </w:t>
      </w:r>
      <w:r>
        <w:t>The exceptions are Tasmania and the Northern Territory which do not have any criminal prohibitions on racial vilification.</w:t>
      </w:r>
    </w:p>
  </w:endnote>
  <w:endnote w:id="58">
    <w:p w:rsidR="00F97457" w:rsidRDefault="00F97457">
      <w:pPr>
        <w:pStyle w:val="EndnoteText"/>
      </w:pPr>
      <w:r>
        <w:rPr>
          <w:rStyle w:val="EndnoteReference"/>
        </w:rPr>
        <w:endnoteRef/>
      </w:r>
      <w:r>
        <w:t xml:space="preserve"> </w:t>
      </w:r>
      <w:r w:rsidRPr="002450D5">
        <w:rPr>
          <w:i/>
        </w:rPr>
        <w:t>McGlade v Lightfoot</w:t>
      </w:r>
      <w:r w:rsidRPr="002450D5">
        <w:t xml:space="preserve"> (2002) 124 FCR 106 at 116 [42] (citing with approval </w:t>
      </w:r>
      <w:r w:rsidRPr="002450D5">
        <w:rPr>
          <w:i/>
        </w:rPr>
        <w:t>Hagan v Trustees of the Toowoomba Sports Ground Trust</w:t>
      </w:r>
      <w:r w:rsidRPr="002450D5">
        <w:t xml:space="preserve"> [2000] FCA 1615, </w:t>
      </w:r>
      <w:r w:rsidRPr="002450D5">
        <w:rPr>
          <w:i/>
        </w:rPr>
        <w:t>Creek v Cairns Post Pty Ltd</w:t>
      </w:r>
      <w:r w:rsidRPr="002450D5">
        <w:t xml:space="preserve"> (2001) 112 FCR 352 at 355 [12], and </w:t>
      </w:r>
      <w:r w:rsidRPr="002450D5">
        <w:rPr>
          <w:i/>
        </w:rPr>
        <w:t>Jones v Scully</w:t>
      </w:r>
      <w:r w:rsidRPr="002450D5">
        <w:t xml:space="preserve"> (2002) 120 FCR 243, 268-269 [98]-[100]); </w:t>
      </w:r>
      <w:r w:rsidRPr="002450D5">
        <w:rPr>
          <w:i/>
        </w:rPr>
        <w:t>Eatock v Bolt</w:t>
      </w:r>
      <w:r w:rsidRPr="002450D5">
        <w:t xml:space="preserve"> (2011) 197 FCR 261 at [242]; </w:t>
      </w:r>
      <w:r w:rsidRPr="002450D5">
        <w:rPr>
          <w:i/>
        </w:rPr>
        <w:t xml:space="preserve">Clarke v Nationwide News Pty Ltd trading as The Sunday Times </w:t>
      </w:r>
      <w:r w:rsidRPr="002450D5">
        <w:t>(2012) 201 FCR 389 at [46].  See also the Explanatory Memorandum to the Racial Hatred Bill 1994 (Cth)</w:t>
      </w:r>
      <w:r>
        <w:t>,</w:t>
      </w:r>
      <w:r w:rsidRPr="002450D5">
        <w:t xml:space="preserve"> p 10, dealing with the analogous position under the </w:t>
      </w:r>
      <w:r w:rsidRPr="002450D5">
        <w:rPr>
          <w:i/>
        </w:rPr>
        <w:t>Sex Discrimination Act 1984</w:t>
      </w:r>
      <w:r w:rsidRPr="002450D5">
        <w:t xml:space="preserve"> (Cth).</w:t>
      </w:r>
    </w:p>
  </w:endnote>
  <w:endnote w:id="59">
    <w:p w:rsidR="00F97457" w:rsidRDefault="00F97457">
      <w:pPr>
        <w:pStyle w:val="EndnoteText"/>
      </w:pPr>
      <w:r>
        <w:rPr>
          <w:rStyle w:val="EndnoteReference"/>
        </w:rPr>
        <w:endnoteRef/>
      </w:r>
      <w:r>
        <w:t xml:space="preserve"> </w:t>
      </w:r>
      <w:r w:rsidRPr="002450D5">
        <w:rPr>
          <w:i/>
        </w:rPr>
        <w:t xml:space="preserve">Clarke v Nationwide News Pty Ltd trading as The Sunday Times </w:t>
      </w:r>
      <w:r w:rsidRPr="002450D5">
        <w:t>(2012) 201 FCR 389 at [46].</w:t>
      </w:r>
    </w:p>
  </w:endnote>
  <w:endnote w:id="60">
    <w:p w:rsidR="00F97457" w:rsidRDefault="00F97457">
      <w:pPr>
        <w:pStyle w:val="EndnoteText"/>
      </w:pPr>
      <w:r>
        <w:rPr>
          <w:rStyle w:val="EndnoteReference"/>
        </w:rPr>
        <w:endnoteRef/>
      </w:r>
      <w:r>
        <w:t xml:space="preserve"> </w:t>
      </w:r>
      <w:r w:rsidRPr="002450D5">
        <w:rPr>
          <w:i/>
        </w:rPr>
        <w:t>Jones v Scully</w:t>
      </w:r>
      <w:r w:rsidRPr="002450D5">
        <w:t xml:space="preserve"> (2002) 120 FCR 243 at [99]; </w:t>
      </w:r>
      <w:r w:rsidRPr="002450D5">
        <w:rPr>
          <w:i/>
        </w:rPr>
        <w:t xml:space="preserve">McGlade v Lightfoot </w:t>
      </w:r>
      <w:r w:rsidRPr="002450D5">
        <w:t>(2002) 124 FCR 106 at [44]-[45].</w:t>
      </w:r>
    </w:p>
  </w:endnote>
  <w:endnote w:id="61">
    <w:p w:rsidR="00F97457" w:rsidRDefault="00F97457">
      <w:pPr>
        <w:pStyle w:val="EndnoteText"/>
      </w:pPr>
      <w:r>
        <w:rPr>
          <w:rStyle w:val="EndnoteReference"/>
        </w:rPr>
        <w:endnoteRef/>
      </w:r>
      <w:r>
        <w:t xml:space="preserve"> Gillian Triggs, President Australian Human Rights Commission, </w:t>
      </w:r>
      <w:r w:rsidRPr="00C154F8">
        <w:rPr>
          <w:i/>
        </w:rPr>
        <w:t>Race law changes seriously undermine protections</w:t>
      </w:r>
      <w:r>
        <w:t xml:space="preserve">. At </w:t>
      </w:r>
      <w:hyperlink r:id="rId32" w:history="1">
        <w:r w:rsidRPr="00F21CD2">
          <w:rPr>
            <w:rStyle w:val="Hyperlink"/>
          </w:rPr>
          <w:t>http://www.humanrights.gov.au/news/stories/race-law-changes-seriously-undermine-protections</w:t>
        </w:r>
      </w:hyperlink>
      <w:r>
        <w:t xml:space="preserve"> (viewed 4 April 2014). Article originally published </w:t>
      </w:r>
      <w:r w:rsidRPr="00C154F8">
        <w:t>in The Australian on Friday 28 March</w:t>
      </w:r>
      <w:r>
        <w:t xml:space="preserve"> 2014.</w:t>
      </w:r>
    </w:p>
  </w:endnote>
  <w:endnote w:id="62">
    <w:p w:rsidR="00F97457" w:rsidRDefault="00F97457" w:rsidP="002450D5">
      <w:pPr>
        <w:pStyle w:val="EndnoteText"/>
      </w:pPr>
      <w:r>
        <w:rPr>
          <w:rStyle w:val="EndnoteReference"/>
        </w:rPr>
        <w:endnoteRef/>
      </w:r>
      <w:r>
        <w:t xml:space="preserve"> </w:t>
      </w:r>
      <w:proofErr w:type="spellStart"/>
      <w:proofErr w:type="gramStart"/>
      <w:r>
        <w:rPr>
          <w:i/>
        </w:rPr>
        <w:t>Bropho</w:t>
      </w:r>
      <w:proofErr w:type="spellEnd"/>
      <w:r>
        <w:rPr>
          <w:i/>
        </w:rPr>
        <w:t xml:space="preserve"> v HREOC</w:t>
      </w:r>
      <w:r>
        <w:t xml:space="preserve"> (2004) 135 FCR 105 at 128-129 [81] (French J).</w:t>
      </w:r>
      <w:proofErr w:type="gramEnd"/>
    </w:p>
  </w:endnote>
  <w:endnote w:id="63">
    <w:p w:rsidR="00F97457" w:rsidRDefault="00F97457">
      <w:pPr>
        <w:pStyle w:val="EndnoteText"/>
      </w:pPr>
      <w:r w:rsidRPr="008113FC">
        <w:rPr>
          <w:rStyle w:val="EndnoteReference"/>
        </w:rPr>
        <w:endnoteRef/>
      </w:r>
      <w:r>
        <w:t xml:space="preserve"> </w:t>
      </w:r>
      <w:proofErr w:type="gramStart"/>
      <w:r>
        <w:t xml:space="preserve">Above note 2, </w:t>
      </w:r>
      <w:proofErr w:type="spellStart"/>
      <w:r>
        <w:t>paras</w:t>
      </w:r>
      <w:proofErr w:type="spellEnd"/>
      <w:r>
        <w:t xml:space="preserve"> 138-139</w:t>
      </w:r>
      <w:r w:rsidRPr="008113FC">
        <w:t>.</w:t>
      </w:r>
      <w:proofErr w:type="gramEnd"/>
    </w:p>
  </w:endnote>
  <w:endnote w:id="64">
    <w:p w:rsidR="00F97457" w:rsidRDefault="00F97457">
      <w:pPr>
        <w:pStyle w:val="EndnoteText"/>
      </w:pPr>
      <w:r>
        <w:rPr>
          <w:rStyle w:val="EndnoteReference"/>
        </w:rPr>
        <w:endnoteRef/>
      </w:r>
      <w:r>
        <w:t xml:space="preserve"> See </w:t>
      </w:r>
      <w:r w:rsidRPr="00776F71">
        <w:rPr>
          <w:i/>
        </w:rPr>
        <w:t>IW v City of Perth</w:t>
      </w:r>
      <w:r w:rsidRPr="00776F71">
        <w:t xml:space="preserve"> [1997] HCA 30 at [63]</w:t>
      </w:r>
      <w:r>
        <w:t xml:space="preserve"> (Kirby J). </w:t>
      </w:r>
    </w:p>
  </w:endnote>
  <w:endnote w:id="65">
    <w:p w:rsidR="00F97457" w:rsidRDefault="00F97457" w:rsidP="00846EE0">
      <w:pPr>
        <w:pStyle w:val="EndnoteText"/>
      </w:pPr>
      <w:r>
        <w:rPr>
          <w:rStyle w:val="EndnoteReference"/>
        </w:rPr>
        <w:endnoteRef/>
      </w:r>
      <w:r>
        <w:t xml:space="preserve"> </w:t>
      </w:r>
      <w:r>
        <w:rPr>
          <w:i/>
        </w:rPr>
        <w:t>Racial Discrimination Act 1975</w:t>
      </w:r>
      <w:r>
        <w:t xml:space="preserve"> (Cth) s 18A (this section does not apply to Part IIA of the RDA); </w:t>
      </w:r>
      <w:r>
        <w:rPr>
          <w:i/>
        </w:rPr>
        <w:t>Sex Discrimination Act 1984</w:t>
      </w:r>
      <w:r>
        <w:t xml:space="preserve"> (Cth) s 106; </w:t>
      </w:r>
      <w:r>
        <w:rPr>
          <w:i/>
        </w:rPr>
        <w:t>Disability Discrimination Act</w:t>
      </w:r>
      <w:r>
        <w:t xml:space="preserve"> 1992 (Cth) s 123; </w:t>
      </w:r>
      <w:r>
        <w:rPr>
          <w:i/>
        </w:rPr>
        <w:t>Age Discrimination Act 2004</w:t>
      </w:r>
      <w:r>
        <w:t xml:space="preserve"> (Cth) s 57.</w:t>
      </w:r>
    </w:p>
  </w:endnote>
  <w:endnote w:id="66">
    <w:p w:rsidR="00F97457" w:rsidRDefault="00F97457">
      <w:pPr>
        <w:pStyle w:val="EndnoteText"/>
      </w:pPr>
      <w:r w:rsidRPr="008113FC">
        <w:rPr>
          <w:rStyle w:val="EndnoteReference"/>
        </w:rPr>
        <w:endnoteRef/>
      </w:r>
      <w:r w:rsidRPr="008113FC">
        <w:t xml:space="preserve"> Above note 2, section 11.</w:t>
      </w:r>
    </w:p>
  </w:endnote>
  <w:endnote w:id="67">
    <w:p w:rsidR="00F97457" w:rsidRPr="00E359C5" w:rsidRDefault="00F97457" w:rsidP="00687766">
      <w:pPr>
        <w:pStyle w:val="Default"/>
        <w:rPr>
          <w:rFonts w:cs="Arial"/>
          <w:sz w:val="20"/>
          <w:szCs w:val="20"/>
        </w:rPr>
      </w:pPr>
      <w:r w:rsidRPr="00E359C5">
        <w:rPr>
          <w:rStyle w:val="EndnoteReference"/>
          <w:rFonts w:cs="Arial"/>
          <w:szCs w:val="20"/>
        </w:rPr>
        <w:endnoteRef/>
      </w:r>
      <w:r w:rsidRPr="00E359C5">
        <w:rPr>
          <w:rFonts w:cs="Arial"/>
          <w:sz w:val="20"/>
          <w:szCs w:val="20"/>
        </w:rPr>
        <w:t xml:space="preserve"> </w:t>
      </w:r>
      <w:r>
        <w:rPr>
          <w:rStyle w:val="A3"/>
          <w:rFonts w:cs="Arial"/>
          <w:color w:val="auto"/>
          <w:sz w:val="20"/>
          <w:szCs w:val="20"/>
        </w:rPr>
        <w:t>T Calma, Aboriginal and Torres Strait Islander Social Justice Commissioner, S</w:t>
      </w:r>
      <w:r w:rsidRPr="008D4FBC">
        <w:rPr>
          <w:rStyle w:val="A3"/>
          <w:rFonts w:cs="Arial"/>
          <w:i/>
          <w:color w:val="auto"/>
          <w:sz w:val="20"/>
          <w:szCs w:val="20"/>
        </w:rPr>
        <w:t>ocial Justice Report 2005</w:t>
      </w:r>
      <w:r>
        <w:rPr>
          <w:rStyle w:val="A3"/>
          <w:rFonts w:cs="Arial"/>
          <w:color w:val="auto"/>
          <w:sz w:val="20"/>
          <w:szCs w:val="20"/>
        </w:rPr>
        <w:t xml:space="preserve">, Human Rights and Equal Opportunity Commission (2005), chapter 2. At </w:t>
      </w:r>
      <w:hyperlink r:id="rId33" w:history="1">
        <w:r w:rsidRPr="00712910">
          <w:rPr>
            <w:rStyle w:val="Hyperlink"/>
            <w:rFonts w:cs="Arial"/>
            <w:sz w:val="20"/>
            <w:szCs w:val="20"/>
          </w:rPr>
          <w:t>http://www.humanrights.gov.au/publications/social-justice-report-2005-home</w:t>
        </w:r>
      </w:hyperlink>
      <w:r>
        <w:rPr>
          <w:rStyle w:val="A3"/>
          <w:rFonts w:cs="Arial"/>
          <w:color w:val="auto"/>
          <w:sz w:val="20"/>
          <w:szCs w:val="20"/>
        </w:rPr>
        <w:t xml:space="preserve"> (viewed 4 April 2005). </w:t>
      </w:r>
    </w:p>
  </w:endnote>
  <w:endnote w:id="68">
    <w:p w:rsidR="00F97457" w:rsidRPr="00E359C5" w:rsidRDefault="00F97457" w:rsidP="00687766">
      <w:pPr>
        <w:pStyle w:val="EndnoteText"/>
        <w:rPr>
          <w:rFonts w:cs="Arial"/>
        </w:rPr>
      </w:pPr>
      <w:r w:rsidRPr="00E359C5">
        <w:rPr>
          <w:rStyle w:val="EndnoteReference"/>
          <w:rFonts w:cs="Arial"/>
        </w:rPr>
        <w:endnoteRef/>
      </w:r>
      <w:r w:rsidRPr="00E359C5">
        <w:rPr>
          <w:rFonts w:cs="Arial"/>
        </w:rPr>
        <w:t xml:space="preserve"> See</w:t>
      </w:r>
      <w:r>
        <w:rPr>
          <w:rFonts w:cs="Arial"/>
        </w:rPr>
        <w:t xml:space="preserve"> Oxfam Australia, Sign the Close the Gap pledge, </w:t>
      </w:r>
      <w:hyperlink r:id="rId34" w:history="1">
        <w:r w:rsidRPr="00712910">
          <w:rPr>
            <w:rStyle w:val="Hyperlink"/>
            <w:rFonts w:cs="Arial"/>
          </w:rPr>
          <w:t>https://www.oxfam.org.au/my/act/sign-the-close-the-gap-pledge</w:t>
        </w:r>
      </w:hyperlink>
      <w:r>
        <w:rPr>
          <w:rFonts w:cs="Arial"/>
        </w:rPr>
        <w:t xml:space="preserve"> (viewed 4 April 2014)</w:t>
      </w:r>
      <w:r w:rsidRPr="00E359C5">
        <w:rPr>
          <w:rFonts w:cs="Arial"/>
        </w:rPr>
        <w:t xml:space="preserve">. </w:t>
      </w:r>
    </w:p>
  </w:endnote>
  <w:endnote w:id="69">
    <w:p w:rsidR="00F97457" w:rsidRPr="00E359C5" w:rsidRDefault="00F97457" w:rsidP="00687766">
      <w:pPr>
        <w:pStyle w:val="EndnoteText"/>
        <w:rPr>
          <w:rFonts w:cs="Arial"/>
        </w:rPr>
      </w:pPr>
      <w:r w:rsidRPr="00E359C5">
        <w:rPr>
          <w:rStyle w:val="EndnoteReference"/>
          <w:rFonts w:cs="Arial"/>
        </w:rPr>
        <w:endnoteRef/>
      </w:r>
      <w:r w:rsidRPr="00E359C5">
        <w:rPr>
          <w:rFonts w:cs="Arial"/>
        </w:rPr>
        <w:t xml:space="preserve"> </w:t>
      </w:r>
      <w:r w:rsidRPr="00E359C5">
        <w:rPr>
          <w:rFonts w:cs="Arial"/>
          <w:i/>
        </w:rPr>
        <w:t>National Indigenous Reform Agreement</w:t>
      </w:r>
      <w:r w:rsidRPr="00E359C5">
        <w:rPr>
          <w:rFonts w:cs="Arial"/>
        </w:rPr>
        <w:t xml:space="preserve">, Council of Australian Governments, p A-16. </w:t>
      </w:r>
      <w:r>
        <w:rPr>
          <w:rFonts w:cs="Arial"/>
        </w:rPr>
        <w:t>At</w:t>
      </w:r>
      <w:r w:rsidRPr="00E359C5">
        <w:rPr>
          <w:rFonts w:cs="Arial"/>
        </w:rPr>
        <w:t xml:space="preserve"> </w:t>
      </w:r>
      <w:hyperlink r:id="rId35" w:history="1">
        <w:r w:rsidRPr="00E359C5">
          <w:rPr>
            <w:rStyle w:val="Hyperlink"/>
            <w:rFonts w:cs="Arial"/>
          </w:rPr>
          <w:t>http://www.federalfinancialrelations.gov.au/content/npa/health_indigenous/indigenous-reform/national-agreement_sept_12.pdf</w:t>
        </w:r>
      </w:hyperlink>
      <w:r>
        <w:rPr>
          <w:rFonts w:cs="Arial"/>
        </w:rPr>
        <w:t xml:space="preserve"> (viewed 4 April</w:t>
      </w:r>
      <w:r w:rsidRPr="00E359C5">
        <w:rPr>
          <w:rFonts w:cs="Arial"/>
        </w:rPr>
        <w:t xml:space="preserve"> 2014).</w:t>
      </w:r>
    </w:p>
  </w:endnote>
  <w:endnote w:id="70">
    <w:p w:rsidR="00F97457" w:rsidRPr="008113FC" w:rsidRDefault="00F97457">
      <w:pPr>
        <w:pStyle w:val="EndnoteText"/>
      </w:pPr>
      <w:r>
        <w:rPr>
          <w:rStyle w:val="EndnoteReference"/>
        </w:rPr>
        <w:endnoteRef/>
      </w:r>
      <w:r>
        <w:t xml:space="preserve"> </w:t>
      </w:r>
      <w:proofErr w:type="gramStart"/>
      <w:r>
        <w:t xml:space="preserve">Drawn from the Australian Human Rights Commission’s submission: </w:t>
      </w:r>
      <w:r w:rsidRPr="008113FC">
        <w:t>above note 2.</w:t>
      </w:r>
      <w:proofErr w:type="gramEnd"/>
    </w:p>
  </w:endnote>
  <w:endnote w:id="71">
    <w:p w:rsidR="00F97457" w:rsidRPr="008113FC" w:rsidRDefault="00F97457">
      <w:pPr>
        <w:pStyle w:val="EndnoteText"/>
      </w:pPr>
      <w:r w:rsidRPr="008113FC">
        <w:rPr>
          <w:rStyle w:val="EndnoteReference"/>
        </w:rPr>
        <w:endnoteRef/>
      </w:r>
      <w:r w:rsidRPr="008113FC">
        <w:t xml:space="preserve"> </w:t>
      </w:r>
      <w:proofErr w:type="gramStart"/>
      <w:r w:rsidRPr="008113FC">
        <w:t>Drawn from the Australian Human Rights Commission’s submission: above note 2.</w:t>
      </w:r>
      <w:proofErr w:type="gramEnd"/>
    </w:p>
  </w:endnote>
  <w:endnote w:id="72">
    <w:p w:rsidR="00F97457" w:rsidRDefault="00F97457" w:rsidP="00A432AA">
      <w:pPr>
        <w:pStyle w:val="EndnoteText"/>
      </w:pPr>
      <w:r w:rsidRPr="008113FC">
        <w:rPr>
          <w:rStyle w:val="EndnoteReference"/>
        </w:rPr>
        <w:endnoteRef/>
      </w:r>
      <w:r w:rsidRPr="008113FC">
        <w:t xml:space="preserve"> </w:t>
      </w:r>
      <w:r w:rsidRPr="008113FC">
        <w:rPr>
          <w:i/>
        </w:rPr>
        <w:t>Clarke v Nationwide News Pty Ltd</w:t>
      </w:r>
      <w:r w:rsidRPr="008113FC">
        <w:t xml:space="preserve"> (2012) 201 FCR 389.</w:t>
      </w:r>
    </w:p>
  </w:endnote>
  <w:endnote w:id="73">
    <w:p w:rsidR="00F97457" w:rsidRDefault="00F97457" w:rsidP="001E584F">
      <w:pPr>
        <w:pStyle w:val="EndnoteText"/>
      </w:pPr>
      <w:r>
        <w:rPr>
          <w:rStyle w:val="EndnoteReference"/>
        </w:rPr>
        <w:endnoteRef/>
      </w:r>
      <w:r>
        <w:t xml:space="preserve"> </w:t>
      </w:r>
      <w:r>
        <w:rPr>
          <w:i/>
        </w:rPr>
        <w:t>Jones v Scully</w:t>
      </w:r>
      <w:r>
        <w:t xml:space="preserve"> (2002) 120 FCR 243.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57" w:rsidRPr="0090165F" w:rsidRDefault="00F97457"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57" w:rsidRPr="004A187B" w:rsidRDefault="00F97457" w:rsidP="008B23BC">
    <w:pPr>
      <w:pStyle w:val="Footer"/>
    </w:pPr>
    <w:r>
      <w:rPr>
        <w:noProof/>
        <w:lang w:val="en-AU" w:eastAsia="en-AU"/>
      </w:rPr>
      <mc:AlternateContent>
        <mc:Choice Requires="wps">
          <w:drawing>
            <wp:anchor distT="0" distB="0" distL="114300" distR="114300" simplePos="0" relativeHeight="251657216" behindDoc="0" locked="0" layoutInCell="1" allowOverlap="1" wp14:anchorId="6B0EAE71" wp14:editId="2D471106">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F97457" w:rsidRPr="00B63D24" w:rsidRDefault="00F97457"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3.15pt;margin-top:-102.8pt;width:478.05pt;height:6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F97457" w:rsidRPr="00B63D24" w:rsidRDefault="00F97457" w:rsidP="00B63D24">
                    <w:pPr>
                      <w:pStyle w:val="Foo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57" w:rsidRPr="0090165F" w:rsidRDefault="00F97457"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2B27DA">
      <w:rPr>
        <w:rStyle w:val="PageNumber"/>
        <w:noProof/>
      </w:rPr>
      <w:t>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57" w:rsidRPr="0090165F" w:rsidRDefault="00F97457"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2B27DA">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457" w:rsidRDefault="00F97457" w:rsidP="00F14C6D">
      <w:r>
        <w:separator/>
      </w:r>
    </w:p>
  </w:footnote>
  <w:footnote w:type="continuationSeparator" w:id="0">
    <w:p w:rsidR="00F97457" w:rsidRDefault="00F97457"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57" w:rsidRPr="00D27262" w:rsidRDefault="00F97457" w:rsidP="002B1B65">
    <w:pPr>
      <w:spacing w:before="0" w:after="0"/>
      <w:jc w:val="right"/>
      <w:rPr>
        <w:sz w:val="22"/>
        <w:szCs w:val="22"/>
      </w:rPr>
    </w:pPr>
    <w:r w:rsidRPr="00D27262">
      <w:rPr>
        <w:sz w:val="22"/>
        <w:szCs w:val="22"/>
      </w:rPr>
      <w:t>Au</w:t>
    </w:r>
    <w:r>
      <w:rPr>
        <w:sz w:val="22"/>
        <w:szCs w:val="22"/>
      </w:rPr>
      <w:t>stralian Human Rights Commission</w:t>
    </w:r>
  </w:p>
  <w:p w:rsidR="00F97457" w:rsidRDefault="00F97457"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F97457" w:rsidRPr="00B85DD4" w:rsidTr="00165E3C">
      <w:trPr>
        <w:trHeight w:val="1276"/>
      </w:trPr>
      <w:tc>
        <w:tcPr>
          <w:tcW w:w="1508" w:type="dxa"/>
        </w:tcPr>
        <w:p w:rsidR="00F97457" w:rsidRPr="00B36BDF" w:rsidRDefault="00F97457" w:rsidP="00B520BC">
          <w:pPr>
            <w:pStyle w:val="Header"/>
            <w:tabs>
              <w:tab w:val="left" w:pos="4686"/>
              <w:tab w:val="left" w:pos="7088"/>
              <w:tab w:val="left" w:pos="7242"/>
            </w:tabs>
            <w:ind w:left="-108"/>
            <w:rPr>
              <w:rFonts w:eastAsia="MS Mincho" w:cs="ArialMT"/>
              <w:b/>
              <w:spacing w:val="-20"/>
            </w:rPr>
          </w:pPr>
        </w:p>
      </w:tc>
      <w:tc>
        <w:tcPr>
          <w:tcW w:w="2688" w:type="dxa"/>
          <w:vAlign w:val="center"/>
        </w:tcPr>
        <w:p w:rsidR="00F97457" w:rsidRPr="00B85DD4" w:rsidRDefault="00F97457" w:rsidP="002B1B65">
          <w:pPr>
            <w:spacing w:before="0" w:after="0"/>
            <w:rPr>
              <w:rFonts w:cs="ArialMT"/>
              <w:i/>
              <w:color w:val="808080"/>
              <w:sz w:val="17"/>
            </w:rPr>
          </w:pPr>
        </w:p>
      </w:tc>
      <w:tc>
        <w:tcPr>
          <w:tcW w:w="2302" w:type="dxa"/>
        </w:tcPr>
        <w:p w:rsidR="00F97457" w:rsidRPr="00B85DD4" w:rsidRDefault="00F97457" w:rsidP="00B520BC">
          <w:pPr>
            <w:pStyle w:val="HeaderFooter"/>
            <w:rPr>
              <w:b/>
              <w:spacing w:val="-20"/>
              <w:sz w:val="40"/>
            </w:rPr>
          </w:pPr>
        </w:p>
      </w:tc>
      <w:tc>
        <w:tcPr>
          <w:tcW w:w="2130" w:type="dxa"/>
        </w:tcPr>
        <w:p w:rsidR="00F97457" w:rsidRPr="00B85DD4" w:rsidRDefault="00F97457" w:rsidP="00B520BC">
          <w:pPr>
            <w:pStyle w:val="HeaderFooter"/>
            <w:rPr>
              <w:b/>
              <w:spacing w:val="-20"/>
              <w:sz w:val="40"/>
            </w:rPr>
          </w:pPr>
        </w:p>
      </w:tc>
      <w:tc>
        <w:tcPr>
          <w:tcW w:w="1721" w:type="dxa"/>
        </w:tcPr>
        <w:p w:rsidR="00F97457" w:rsidRPr="00B85DD4" w:rsidRDefault="00F97457" w:rsidP="00AD3397">
          <w:pPr>
            <w:pStyle w:val="HeaderFooter"/>
            <w:spacing w:before="227" w:after="340"/>
            <w:jc w:val="center"/>
            <w:rPr>
              <w:b/>
              <w:spacing w:val="-20"/>
              <w:sz w:val="40"/>
            </w:rPr>
          </w:pPr>
        </w:p>
      </w:tc>
    </w:tr>
  </w:tbl>
  <w:p w:rsidR="00F97457" w:rsidRDefault="00F974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57" w:rsidRDefault="00F974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57" w:rsidRPr="00D27262" w:rsidRDefault="00F97457" w:rsidP="00B34946">
    <w:pPr>
      <w:spacing w:before="0" w:after="60"/>
      <w:jc w:val="right"/>
      <w:rPr>
        <w:sz w:val="22"/>
        <w:szCs w:val="22"/>
      </w:rPr>
    </w:pPr>
    <w:r w:rsidRPr="00AD3397">
      <w:rPr>
        <w:sz w:val="22"/>
        <w:szCs w:val="22"/>
      </w:rPr>
      <w:t>Close the Gap Steering Committee</w:t>
    </w:r>
  </w:p>
  <w:p w:rsidR="00F97457" w:rsidRPr="004D2537" w:rsidRDefault="00F97457" w:rsidP="006F2061">
    <w:pPr>
      <w:pStyle w:val="Footer"/>
      <w:spacing w:after="0"/>
      <w:jc w:val="right"/>
      <w:rPr>
        <w:b/>
        <w:i/>
        <w:szCs w:val="18"/>
        <w:lang w:val="en-AU"/>
      </w:rPr>
    </w:pPr>
    <w:r w:rsidRPr="0026067B">
      <w:rPr>
        <w:b/>
        <w:i/>
        <w:szCs w:val="18"/>
      </w:rPr>
      <w:t>Submission</w:t>
    </w:r>
    <w:r>
      <w:rPr>
        <w:b/>
        <w:i/>
        <w:szCs w:val="18"/>
        <w:lang w:val="en-AU"/>
      </w:rPr>
      <w:t xml:space="preserve"> to the Exposure Draft of the</w:t>
    </w:r>
    <w:r w:rsidRPr="0026067B">
      <w:rPr>
        <w:b/>
        <w:i/>
        <w:szCs w:val="18"/>
      </w:rPr>
      <w:t xml:space="preserve"> </w:t>
    </w:r>
    <w:r>
      <w:rPr>
        <w:b/>
        <w:i/>
        <w:szCs w:val="18"/>
      </w:rPr>
      <w:t xml:space="preserve">Freedom of </w:t>
    </w:r>
    <w:r>
      <w:rPr>
        <w:b/>
        <w:i/>
        <w:szCs w:val="18"/>
        <w:lang w:val="en-AU"/>
      </w:rPr>
      <w:t>Speech</w:t>
    </w:r>
    <w:r w:rsidRPr="006F2061">
      <w:rPr>
        <w:b/>
        <w:i/>
        <w:szCs w:val="18"/>
      </w:rPr>
      <w:t xml:space="preserve"> (Repeal of S. 18C) Bill 2014</w:t>
    </w:r>
    <w:r>
      <w:rPr>
        <w:b/>
        <w:i/>
        <w:szCs w:val="18"/>
        <w:lang w:val="en-AU"/>
      </w:rP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F97457" w:rsidRPr="00B85DD4" w:rsidTr="002B1B65">
      <w:trPr>
        <w:trHeight w:val="1603"/>
      </w:trPr>
      <w:tc>
        <w:tcPr>
          <w:tcW w:w="1508" w:type="dxa"/>
        </w:tcPr>
        <w:p w:rsidR="00F97457" w:rsidRPr="00B36BDF" w:rsidRDefault="00F97457" w:rsidP="00B520BC">
          <w:pPr>
            <w:pStyle w:val="Header"/>
            <w:tabs>
              <w:tab w:val="left" w:pos="4686"/>
              <w:tab w:val="left" w:pos="7088"/>
              <w:tab w:val="left" w:pos="7242"/>
            </w:tabs>
            <w:ind w:left="-108"/>
            <w:rPr>
              <w:rFonts w:eastAsia="MS Mincho" w:cs="ArialMT"/>
              <w:b/>
              <w:spacing w:val="-20"/>
            </w:rPr>
          </w:pPr>
          <w:r>
            <w:rPr>
              <w:rFonts w:eastAsia="MS Mincho" w:cs="ArialMT"/>
              <w:b/>
              <w:noProof/>
              <w:spacing w:val="-20"/>
            </w:rPr>
            <w:drawing>
              <wp:inline distT="0" distB="0" distL="0" distR="0" wp14:anchorId="6C079FED" wp14:editId="7B8F4772">
                <wp:extent cx="819785" cy="819785"/>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c>
      <w:tc>
        <w:tcPr>
          <w:tcW w:w="2688" w:type="dxa"/>
          <w:vAlign w:val="center"/>
        </w:tcPr>
        <w:p w:rsidR="00F97457" w:rsidRPr="00B36BDF" w:rsidRDefault="00F97457" w:rsidP="002B1B65">
          <w:pPr>
            <w:pStyle w:val="LogoType"/>
            <w:pBdr>
              <w:bottom w:val="single" w:sz="4" w:space="1" w:color="808080"/>
            </w:pBdr>
            <w:spacing w:line="240" w:lineRule="auto"/>
            <w:rPr>
              <w:rFonts w:eastAsia="MS Mincho"/>
            </w:rPr>
          </w:pPr>
          <w:r w:rsidRPr="00B36BDF">
            <w:rPr>
              <w:rFonts w:eastAsia="MS Mincho"/>
            </w:rPr>
            <w:t>Australian</w:t>
          </w:r>
        </w:p>
        <w:p w:rsidR="00F97457" w:rsidRPr="00B36BDF" w:rsidRDefault="00F97457" w:rsidP="002B1B65">
          <w:pPr>
            <w:pStyle w:val="LogoType"/>
            <w:pBdr>
              <w:bottom w:val="single" w:sz="4" w:space="1" w:color="808080"/>
            </w:pBdr>
            <w:spacing w:line="240" w:lineRule="auto"/>
            <w:rPr>
              <w:rFonts w:eastAsia="MS Mincho"/>
            </w:rPr>
          </w:pPr>
          <w:r w:rsidRPr="00B36BDF">
            <w:rPr>
              <w:rFonts w:eastAsia="MS Mincho"/>
            </w:rPr>
            <w:t>Human Rights</w:t>
          </w:r>
        </w:p>
        <w:p w:rsidR="00F97457" w:rsidRPr="00B36BDF" w:rsidRDefault="00F97457" w:rsidP="002B1B65">
          <w:pPr>
            <w:pStyle w:val="LogoType"/>
            <w:pBdr>
              <w:bottom w:val="single" w:sz="4" w:space="1" w:color="808080"/>
            </w:pBdr>
            <w:spacing w:line="240" w:lineRule="auto"/>
            <w:rPr>
              <w:rFonts w:eastAsia="MS Mincho"/>
            </w:rPr>
          </w:pPr>
          <w:r w:rsidRPr="00B36BDF">
            <w:rPr>
              <w:rFonts w:eastAsia="MS Mincho"/>
            </w:rPr>
            <w:t>Commission</w:t>
          </w:r>
        </w:p>
        <w:p w:rsidR="00F97457" w:rsidRPr="00B85DD4" w:rsidRDefault="00F97457"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F97457" w:rsidRPr="00B85DD4" w:rsidRDefault="00F97457" w:rsidP="00B520BC">
          <w:pPr>
            <w:pStyle w:val="HeaderFooter"/>
            <w:rPr>
              <w:b/>
              <w:spacing w:val="-20"/>
              <w:sz w:val="40"/>
            </w:rPr>
          </w:pPr>
        </w:p>
      </w:tc>
      <w:tc>
        <w:tcPr>
          <w:tcW w:w="2130" w:type="dxa"/>
        </w:tcPr>
        <w:p w:rsidR="00F97457" w:rsidRPr="00B85DD4" w:rsidRDefault="00F97457" w:rsidP="00B520BC">
          <w:pPr>
            <w:pStyle w:val="HeaderFooter"/>
            <w:rPr>
              <w:b/>
              <w:spacing w:val="-20"/>
              <w:sz w:val="40"/>
            </w:rPr>
          </w:pPr>
        </w:p>
      </w:tc>
      <w:tc>
        <w:tcPr>
          <w:tcW w:w="1721" w:type="dxa"/>
        </w:tcPr>
        <w:p w:rsidR="00F97457" w:rsidRPr="00B85DD4" w:rsidRDefault="00F97457" w:rsidP="00B520BC">
          <w:pPr>
            <w:pStyle w:val="HeaderFooter"/>
            <w:spacing w:before="227" w:after="340"/>
            <w:rPr>
              <w:b/>
              <w:spacing w:val="-20"/>
              <w:sz w:val="40"/>
            </w:rPr>
          </w:pPr>
        </w:p>
      </w:tc>
    </w:tr>
  </w:tbl>
  <w:p w:rsidR="00F97457" w:rsidRDefault="00F9745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57" w:rsidRDefault="00F9745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57" w:rsidRPr="00D27262" w:rsidRDefault="00F97457" w:rsidP="00B34946">
    <w:pPr>
      <w:spacing w:before="0" w:after="60"/>
      <w:jc w:val="right"/>
      <w:rPr>
        <w:sz w:val="22"/>
        <w:szCs w:val="22"/>
      </w:rPr>
    </w:pPr>
    <w:r w:rsidRPr="00AD3397">
      <w:rPr>
        <w:sz w:val="22"/>
        <w:szCs w:val="22"/>
      </w:rPr>
      <w:t>Close the Gap Steering Committee</w:t>
    </w:r>
  </w:p>
  <w:p w:rsidR="00F97457" w:rsidRPr="004D2537" w:rsidRDefault="00F97457" w:rsidP="008F18CD">
    <w:pPr>
      <w:pStyle w:val="Footer"/>
      <w:spacing w:after="0"/>
      <w:jc w:val="right"/>
      <w:rPr>
        <w:b/>
        <w:i/>
        <w:szCs w:val="18"/>
        <w:lang w:val="en-AU"/>
      </w:rPr>
    </w:pPr>
    <w:r w:rsidRPr="0026067B">
      <w:rPr>
        <w:b/>
        <w:i/>
        <w:szCs w:val="18"/>
      </w:rPr>
      <w:t>Submission</w:t>
    </w:r>
    <w:r>
      <w:rPr>
        <w:b/>
        <w:i/>
        <w:szCs w:val="18"/>
        <w:lang w:val="en-AU"/>
      </w:rPr>
      <w:t xml:space="preserve"> to the Exposure Draft of the</w:t>
    </w:r>
    <w:r w:rsidRPr="0026067B">
      <w:rPr>
        <w:b/>
        <w:i/>
        <w:szCs w:val="18"/>
      </w:rPr>
      <w:t xml:space="preserve"> </w:t>
    </w:r>
    <w:r>
      <w:rPr>
        <w:b/>
        <w:i/>
        <w:szCs w:val="18"/>
      </w:rPr>
      <w:t xml:space="preserve">Freedom of </w:t>
    </w:r>
    <w:r>
      <w:rPr>
        <w:b/>
        <w:i/>
        <w:szCs w:val="18"/>
        <w:lang w:val="en-AU"/>
      </w:rPr>
      <w:t>Speech</w:t>
    </w:r>
    <w:r w:rsidRPr="006F2061">
      <w:rPr>
        <w:b/>
        <w:i/>
        <w:szCs w:val="18"/>
      </w:rPr>
      <w:t xml:space="preserve"> (Repeal of S. 18C) Bill 2014</w:t>
    </w:r>
    <w:r w:rsidRPr="0026067B">
      <w:rPr>
        <w:b/>
        <w:i/>
        <w:szCs w:val="18"/>
      </w:rPr>
      <w:t>– April 2014</w:t>
    </w:r>
    <w:r>
      <w:rPr>
        <w:b/>
        <w:i/>
        <w:szCs w:val="18"/>
        <w:lang w:val="en-AU"/>
      </w:rP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F97457" w:rsidRPr="00B85DD4" w:rsidTr="002B1B65">
      <w:trPr>
        <w:trHeight w:val="1603"/>
      </w:trPr>
      <w:tc>
        <w:tcPr>
          <w:tcW w:w="1508" w:type="dxa"/>
        </w:tcPr>
        <w:p w:rsidR="00F97457" w:rsidRPr="00B36BDF" w:rsidRDefault="00F97457" w:rsidP="00B520BC">
          <w:pPr>
            <w:pStyle w:val="Header"/>
            <w:tabs>
              <w:tab w:val="left" w:pos="4686"/>
              <w:tab w:val="left" w:pos="7088"/>
              <w:tab w:val="left" w:pos="7242"/>
            </w:tabs>
            <w:ind w:left="-108"/>
            <w:rPr>
              <w:rFonts w:eastAsia="MS Mincho" w:cs="ArialMT"/>
              <w:b/>
              <w:spacing w:val="-20"/>
            </w:rPr>
          </w:pPr>
          <w:r>
            <w:rPr>
              <w:rFonts w:eastAsia="MS Mincho" w:cs="ArialMT"/>
              <w:b/>
              <w:noProof/>
              <w:spacing w:val="-20"/>
            </w:rPr>
            <w:drawing>
              <wp:inline distT="0" distB="0" distL="0" distR="0">
                <wp:extent cx="819785" cy="819785"/>
                <wp:effectExtent l="0" t="0" r="0" b="0"/>
                <wp:docPr id="2"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c>
      <w:tc>
        <w:tcPr>
          <w:tcW w:w="2688" w:type="dxa"/>
          <w:vAlign w:val="center"/>
        </w:tcPr>
        <w:p w:rsidR="00F97457" w:rsidRPr="00B36BDF" w:rsidRDefault="00F97457" w:rsidP="002B1B65">
          <w:pPr>
            <w:pStyle w:val="LogoType"/>
            <w:pBdr>
              <w:bottom w:val="single" w:sz="4" w:space="1" w:color="808080"/>
            </w:pBdr>
            <w:spacing w:line="240" w:lineRule="auto"/>
            <w:rPr>
              <w:rFonts w:eastAsia="MS Mincho"/>
            </w:rPr>
          </w:pPr>
          <w:r w:rsidRPr="00B36BDF">
            <w:rPr>
              <w:rFonts w:eastAsia="MS Mincho"/>
            </w:rPr>
            <w:t>Australian</w:t>
          </w:r>
        </w:p>
        <w:p w:rsidR="00F97457" w:rsidRPr="00B36BDF" w:rsidRDefault="00F97457" w:rsidP="002B1B65">
          <w:pPr>
            <w:pStyle w:val="LogoType"/>
            <w:pBdr>
              <w:bottom w:val="single" w:sz="4" w:space="1" w:color="808080"/>
            </w:pBdr>
            <w:spacing w:line="240" w:lineRule="auto"/>
            <w:rPr>
              <w:rFonts w:eastAsia="MS Mincho"/>
            </w:rPr>
          </w:pPr>
          <w:r w:rsidRPr="00B36BDF">
            <w:rPr>
              <w:rFonts w:eastAsia="MS Mincho"/>
            </w:rPr>
            <w:t>Human Rights</w:t>
          </w:r>
        </w:p>
        <w:p w:rsidR="00F97457" w:rsidRPr="00B36BDF" w:rsidRDefault="00F97457" w:rsidP="002B1B65">
          <w:pPr>
            <w:pStyle w:val="LogoType"/>
            <w:pBdr>
              <w:bottom w:val="single" w:sz="4" w:space="1" w:color="808080"/>
            </w:pBdr>
            <w:spacing w:line="240" w:lineRule="auto"/>
            <w:rPr>
              <w:rFonts w:eastAsia="MS Mincho"/>
            </w:rPr>
          </w:pPr>
          <w:r w:rsidRPr="00B36BDF">
            <w:rPr>
              <w:rFonts w:eastAsia="MS Mincho"/>
            </w:rPr>
            <w:t>Commission</w:t>
          </w:r>
        </w:p>
        <w:p w:rsidR="00F97457" w:rsidRPr="00B85DD4" w:rsidRDefault="00F97457"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F97457" w:rsidRPr="00B85DD4" w:rsidRDefault="00F97457" w:rsidP="00B520BC">
          <w:pPr>
            <w:pStyle w:val="HeaderFooter"/>
            <w:rPr>
              <w:b/>
              <w:spacing w:val="-20"/>
              <w:sz w:val="40"/>
            </w:rPr>
          </w:pPr>
        </w:p>
      </w:tc>
      <w:tc>
        <w:tcPr>
          <w:tcW w:w="2130" w:type="dxa"/>
        </w:tcPr>
        <w:p w:rsidR="00F97457" w:rsidRPr="00B85DD4" w:rsidRDefault="00F97457" w:rsidP="00B520BC">
          <w:pPr>
            <w:pStyle w:val="HeaderFooter"/>
            <w:rPr>
              <w:b/>
              <w:spacing w:val="-20"/>
              <w:sz w:val="40"/>
            </w:rPr>
          </w:pPr>
        </w:p>
      </w:tc>
      <w:tc>
        <w:tcPr>
          <w:tcW w:w="1721" w:type="dxa"/>
        </w:tcPr>
        <w:p w:rsidR="00F97457" w:rsidRPr="00B85DD4" w:rsidRDefault="00F97457" w:rsidP="00B520BC">
          <w:pPr>
            <w:pStyle w:val="HeaderFooter"/>
            <w:spacing w:before="227" w:after="340"/>
            <w:rPr>
              <w:b/>
              <w:spacing w:val="-20"/>
              <w:sz w:val="40"/>
            </w:rPr>
          </w:pPr>
        </w:p>
      </w:tc>
    </w:tr>
  </w:tbl>
  <w:p w:rsidR="00F97457" w:rsidRDefault="00F97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D563B"/>
    <w:multiLevelType w:val="hybridMultilevel"/>
    <w:tmpl w:val="D2D270CC"/>
    <w:lvl w:ilvl="0" w:tplc="0C090001">
      <w:start w:val="1"/>
      <w:numFmt w:val="bullet"/>
      <w:lvlText w:val=""/>
      <w:lvlJc w:val="left"/>
      <w:pPr>
        <w:tabs>
          <w:tab w:val="num" w:pos="360"/>
        </w:tabs>
        <w:ind w:left="360" w:hanging="360"/>
      </w:pPr>
      <w:rPr>
        <w:rFonts w:ascii="Symbol" w:hAnsi="Symbol" w:hint="default"/>
        <w:b w:val="0"/>
      </w:rPr>
    </w:lvl>
    <w:lvl w:ilvl="1" w:tplc="0C090001">
      <w:start w:val="1"/>
      <w:numFmt w:val="bullet"/>
      <w:lvlText w:val=""/>
      <w:lvlJc w:val="left"/>
      <w:pPr>
        <w:tabs>
          <w:tab w:val="num" w:pos="1440"/>
        </w:tabs>
        <w:ind w:left="1440" w:hanging="360"/>
      </w:pPr>
      <w:rPr>
        <w:rFonts w:ascii="Symbol" w:hAnsi="Symbol" w:hint="default"/>
      </w:rPr>
    </w:lvl>
    <w:lvl w:ilvl="2" w:tplc="F83A70D8">
      <w:numFmt w:val="bullet"/>
      <w:lvlText w:val="•"/>
      <w:lvlJc w:val="left"/>
      <w:pPr>
        <w:ind w:left="2700" w:hanging="720"/>
      </w:pPr>
      <w:rPr>
        <w:rFonts w:ascii="Arial" w:eastAsia="Times New Roman" w:hAnsi="Arial" w:cs="Arial" w:hint="default"/>
      </w:rPr>
    </w:lvl>
    <w:lvl w:ilvl="3" w:tplc="0C090001">
      <w:start w:val="1"/>
      <w:numFmt w:val="bullet"/>
      <w:lvlText w:val=""/>
      <w:lvlJc w:val="left"/>
      <w:pPr>
        <w:ind w:left="3240" w:hanging="720"/>
      </w:pPr>
      <w:rPr>
        <w:rFonts w:ascii="Symbol" w:hAnsi="Symbol"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nsid w:val="059557B9"/>
    <w:multiLevelType w:val="multilevel"/>
    <w:tmpl w:val="9DA2BCE4"/>
    <w:styleLink w:val="Style1"/>
    <w:lvl w:ilvl="0">
      <w:start w:val="1"/>
      <w:numFmt w:val="bullet"/>
      <w:lvlText w:val=""/>
      <w:lvlJc w:val="left"/>
      <w:pPr>
        <w:tabs>
          <w:tab w:val="num" w:pos="786"/>
        </w:tabs>
        <w:ind w:left="786" w:hanging="360"/>
      </w:pPr>
      <w:rPr>
        <w:rFonts w:ascii="Symbol" w:hAnsi="Symbol" w:hint="default"/>
        <w:b w:val="0"/>
      </w:rPr>
    </w:lvl>
    <w:lvl w:ilvl="1">
      <w:start w:val="1"/>
      <w:numFmt w:val="bullet"/>
      <w:lvlText w:val=""/>
      <w:lvlJc w:val="left"/>
      <w:pPr>
        <w:tabs>
          <w:tab w:val="num" w:pos="1440"/>
        </w:tabs>
        <w:ind w:left="1440" w:hanging="360"/>
      </w:pPr>
      <w:rPr>
        <w:rFonts w:ascii="Symbol" w:hAnsi="Symbol" w:hint="default"/>
        <w:color w:val="auto"/>
      </w:rPr>
    </w:lvl>
    <w:lvl w:ilvl="2">
      <w:numFmt w:val="bullet"/>
      <w:lvlText w:val=""/>
      <w:lvlJc w:val="left"/>
      <w:pPr>
        <w:ind w:left="2700" w:hanging="720"/>
      </w:pPr>
      <w:rPr>
        <w:rFonts w:ascii="Symbol" w:eastAsia="Times New Roman" w:hAnsi="Symbol" w:cs="Arial" w:hint="default"/>
        <w:color w:val="auto"/>
      </w:rPr>
    </w:lvl>
    <w:lvl w:ilvl="3">
      <w:start w:val="1"/>
      <w:numFmt w:val="lowerRoman"/>
      <w:lvlText w:val="%4)"/>
      <w:lvlJc w:val="left"/>
      <w:pPr>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CB237C"/>
    <w:multiLevelType w:val="hybridMultilevel"/>
    <w:tmpl w:val="4F40BB12"/>
    <w:lvl w:ilvl="0" w:tplc="CC905B76">
      <w:start w:val="1"/>
      <w:numFmt w:val="decimal"/>
      <w:pStyle w:val="SubmissionNormal"/>
      <w:lvlText w:val="%1."/>
      <w:lvlJc w:val="left"/>
      <w:pPr>
        <w:tabs>
          <w:tab w:val="num" w:pos="360"/>
        </w:tabs>
        <w:ind w:left="360" w:hanging="360"/>
      </w:pPr>
      <w:rPr>
        <w:rFonts w:hint="default"/>
        <w:b w:val="0"/>
      </w:rPr>
    </w:lvl>
    <w:lvl w:ilvl="1" w:tplc="0C090001">
      <w:start w:val="1"/>
      <w:numFmt w:val="bullet"/>
      <w:lvlText w:val=""/>
      <w:lvlJc w:val="left"/>
      <w:pPr>
        <w:tabs>
          <w:tab w:val="num" w:pos="1440"/>
        </w:tabs>
        <w:ind w:left="1440" w:hanging="360"/>
      </w:pPr>
      <w:rPr>
        <w:rFonts w:ascii="Symbol" w:hAnsi="Symbol" w:hint="default"/>
      </w:rPr>
    </w:lvl>
    <w:lvl w:ilvl="2" w:tplc="F83A70D8">
      <w:numFmt w:val="bullet"/>
      <w:lvlText w:val="•"/>
      <w:lvlJc w:val="left"/>
      <w:pPr>
        <w:ind w:left="2700" w:hanging="720"/>
      </w:pPr>
      <w:rPr>
        <w:rFonts w:ascii="Arial" w:eastAsia="Times New Roman" w:hAnsi="Arial" w:cs="Arial" w:hint="default"/>
      </w:rPr>
    </w:lvl>
    <w:lvl w:ilvl="3" w:tplc="0C090001">
      <w:start w:val="1"/>
      <w:numFmt w:val="bullet"/>
      <w:lvlText w:val=""/>
      <w:lvlJc w:val="left"/>
      <w:pPr>
        <w:ind w:left="3240" w:hanging="720"/>
      </w:pPr>
      <w:rPr>
        <w:rFonts w:ascii="Symbol" w:hAnsi="Symbol"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94A401F"/>
    <w:multiLevelType w:val="hybridMultilevel"/>
    <w:tmpl w:val="36327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DD50D0"/>
    <w:multiLevelType w:val="hybridMultilevel"/>
    <w:tmpl w:val="068A2354"/>
    <w:lvl w:ilvl="0" w:tplc="0C090001">
      <w:start w:val="1"/>
      <w:numFmt w:val="bullet"/>
      <w:lvlText w:val=""/>
      <w:lvlJc w:val="left"/>
      <w:pPr>
        <w:tabs>
          <w:tab w:val="num" w:pos="360"/>
        </w:tabs>
        <w:ind w:left="360" w:hanging="360"/>
      </w:pPr>
      <w:rPr>
        <w:rFonts w:ascii="Symbol" w:hAnsi="Symbol" w:hint="default"/>
        <w:b w:val="0"/>
      </w:rPr>
    </w:lvl>
    <w:lvl w:ilvl="1" w:tplc="0C090001">
      <w:start w:val="1"/>
      <w:numFmt w:val="bullet"/>
      <w:lvlText w:val=""/>
      <w:lvlJc w:val="left"/>
      <w:pPr>
        <w:tabs>
          <w:tab w:val="num" w:pos="1440"/>
        </w:tabs>
        <w:ind w:left="1440" w:hanging="360"/>
      </w:pPr>
      <w:rPr>
        <w:rFonts w:ascii="Symbol" w:hAnsi="Symbol" w:hint="default"/>
      </w:rPr>
    </w:lvl>
    <w:lvl w:ilvl="2" w:tplc="F83A70D8">
      <w:numFmt w:val="bullet"/>
      <w:lvlText w:val="•"/>
      <w:lvlJc w:val="left"/>
      <w:pPr>
        <w:ind w:left="2700" w:hanging="720"/>
      </w:pPr>
      <w:rPr>
        <w:rFonts w:ascii="Arial" w:eastAsia="Times New Roman" w:hAnsi="Arial" w:cs="Arial" w:hint="default"/>
      </w:rPr>
    </w:lvl>
    <w:lvl w:ilvl="3" w:tplc="0C090001">
      <w:start w:val="1"/>
      <w:numFmt w:val="bullet"/>
      <w:lvlText w:val=""/>
      <w:lvlJc w:val="left"/>
      <w:pPr>
        <w:ind w:left="3240" w:hanging="720"/>
      </w:pPr>
      <w:rPr>
        <w:rFonts w:ascii="Symbol" w:hAnsi="Symbol"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A917D64"/>
    <w:multiLevelType w:val="hybridMultilevel"/>
    <w:tmpl w:val="5DA88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FF7A73"/>
    <w:multiLevelType w:val="multilevel"/>
    <w:tmpl w:val="5EE0408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851"/>
        </w:tabs>
        <w:ind w:left="851" w:hanging="851"/>
      </w:pPr>
      <w:rPr>
        <w:rFonts w:hint="default"/>
        <w:i/>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E833D86"/>
    <w:multiLevelType w:val="hybridMultilevel"/>
    <w:tmpl w:val="16E0E0B2"/>
    <w:lvl w:ilvl="0" w:tplc="012D0000">
      <w:start w:val="1"/>
      <w:numFmt w:val="bullet"/>
      <w:lvlText w:val="•"/>
      <w:lvlJc w:val="left"/>
      <w:pPr>
        <w:ind w:left="576" w:hanging="360"/>
      </w:pPr>
    </w:lvl>
    <w:lvl w:ilvl="1" w:tplc="0C090003" w:tentative="1">
      <w:start w:val="1"/>
      <w:numFmt w:val="bullet"/>
      <w:lvlText w:val="o"/>
      <w:lvlJc w:val="left"/>
      <w:pPr>
        <w:ind w:left="1656" w:hanging="360"/>
      </w:pPr>
      <w:rPr>
        <w:rFonts w:ascii="Courier New" w:hAnsi="Courier New" w:cs="Wingdings"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Wingdings"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Wingdings" w:hint="default"/>
      </w:rPr>
    </w:lvl>
    <w:lvl w:ilvl="8" w:tplc="0C090005" w:tentative="1">
      <w:start w:val="1"/>
      <w:numFmt w:val="bullet"/>
      <w:lvlText w:val=""/>
      <w:lvlJc w:val="left"/>
      <w:pPr>
        <w:ind w:left="6696" w:hanging="360"/>
      </w:pPr>
      <w:rPr>
        <w:rFonts w:ascii="Wingdings" w:hAnsi="Wingdings" w:hint="default"/>
      </w:rPr>
    </w:lvl>
  </w:abstractNum>
  <w:abstractNum w:abstractNumId="22">
    <w:nsid w:val="78A943D2"/>
    <w:multiLevelType w:val="hybridMultilevel"/>
    <w:tmpl w:val="3F1EEEB6"/>
    <w:lvl w:ilvl="0" w:tplc="7C20F054">
      <w:start w:val="1"/>
      <w:numFmt w:val="bullet"/>
      <w:lvlText w:val=""/>
      <w:lvlJc w:val="left"/>
      <w:pPr>
        <w:tabs>
          <w:tab w:val="num" w:pos="936"/>
        </w:tabs>
        <w:ind w:left="936" w:hanging="360"/>
      </w:pPr>
      <w:rPr>
        <w:rFonts w:ascii="Symbol" w:eastAsia="Times New Roman" w:hAnsi="Symbol" w:hint="default"/>
      </w:rPr>
    </w:lvl>
    <w:lvl w:ilvl="1" w:tplc="00030409" w:tentative="1">
      <w:start w:val="1"/>
      <w:numFmt w:val="bullet"/>
      <w:lvlText w:val="o"/>
      <w:lvlJc w:val="left"/>
      <w:pPr>
        <w:tabs>
          <w:tab w:val="num" w:pos="1656"/>
        </w:tabs>
        <w:ind w:left="1656" w:hanging="360"/>
      </w:pPr>
      <w:rPr>
        <w:rFonts w:ascii="Courier New" w:hAnsi="Courier New"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3">
    <w:nsid w:val="7CD84507"/>
    <w:multiLevelType w:val="hybridMultilevel"/>
    <w:tmpl w:val="B0F8C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0"/>
  </w:num>
  <w:num w:numId="13">
    <w:abstractNumId w:val="18"/>
  </w:num>
  <w:num w:numId="14">
    <w:abstractNumId w:val="14"/>
  </w:num>
  <w:num w:numId="15">
    <w:abstractNumId w:val="13"/>
  </w:num>
  <w:num w:numId="16">
    <w:abstractNumId w:val="11"/>
  </w:num>
  <w:num w:numId="17">
    <w:abstractNumId w:val="12"/>
  </w:num>
  <w:num w:numId="18">
    <w:abstractNumId w:val="17"/>
  </w:num>
  <w:num w:numId="19">
    <w:abstractNumId w:val="1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2"/>
  </w:num>
  <w:num w:numId="25">
    <w:abstractNumId w:val="16"/>
  </w:num>
  <w:num w:numId="26">
    <w:abstractNumId w:val="10"/>
  </w:num>
  <w:num w:numId="27">
    <w:abstractNumId w:val="13"/>
  </w:num>
  <w:num w:numId="28">
    <w:abstractNumId w:val="13"/>
  </w:num>
  <w:num w:numId="29">
    <w:abstractNumId w:val="13"/>
  </w:num>
  <w:num w:numId="30">
    <w:abstractNumId w:val="13"/>
  </w:num>
  <w:num w:numId="31">
    <w:abstractNumId w:val="1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97"/>
    <w:rsid w:val="00000ABC"/>
    <w:rsid w:val="00000DB3"/>
    <w:rsid w:val="0000214C"/>
    <w:rsid w:val="00003794"/>
    <w:rsid w:val="00005045"/>
    <w:rsid w:val="00005BCC"/>
    <w:rsid w:val="00005C64"/>
    <w:rsid w:val="00006CF7"/>
    <w:rsid w:val="00010F4D"/>
    <w:rsid w:val="000169FD"/>
    <w:rsid w:val="00022E4B"/>
    <w:rsid w:val="00023945"/>
    <w:rsid w:val="00026174"/>
    <w:rsid w:val="00034CEA"/>
    <w:rsid w:val="0003606D"/>
    <w:rsid w:val="00036739"/>
    <w:rsid w:val="000403C0"/>
    <w:rsid w:val="000415BB"/>
    <w:rsid w:val="00043AD2"/>
    <w:rsid w:val="00047CD8"/>
    <w:rsid w:val="00052EF4"/>
    <w:rsid w:val="000558D8"/>
    <w:rsid w:val="000573F9"/>
    <w:rsid w:val="000579B1"/>
    <w:rsid w:val="00060186"/>
    <w:rsid w:val="00060EC8"/>
    <w:rsid w:val="000621AA"/>
    <w:rsid w:val="000677CC"/>
    <w:rsid w:val="00072D2F"/>
    <w:rsid w:val="00072FC2"/>
    <w:rsid w:val="00074072"/>
    <w:rsid w:val="00074319"/>
    <w:rsid w:val="000756E2"/>
    <w:rsid w:val="0008132B"/>
    <w:rsid w:val="000819C2"/>
    <w:rsid w:val="00087500"/>
    <w:rsid w:val="0009688C"/>
    <w:rsid w:val="000968E5"/>
    <w:rsid w:val="000A11AE"/>
    <w:rsid w:val="000A1CE4"/>
    <w:rsid w:val="000A1DB8"/>
    <w:rsid w:val="000A1DFB"/>
    <w:rsid w:val="000A4077"/>
    <w:rsid w:val="000A48AC"/>
    <w:rsid w:val="000A5E00"/>
    <w:rsid w:val="000A7D70"/>
    <w:rsid w:val="000B0A5D"/>
    <w:rsid w:val="000B1530"/>
    <w:rsid w:val="000B2AF1"/>
    <w:rsid w:val="000B40D4"/>
    <w:rsid w:val="000B4C5D"/>
    <w:rsid w:val="000B5E4C"/>
    <w:rsid w:val="000C4315"/>
    <w:rsid w:val="000D0B17"/>
    <w:rsid w:val="000D2D9C"/>
    <w:rsid w:val="000D2DEB"/>
    <w:rsid w:val="000D3546"/>
    <w:rsid w:val="000D6E3E"/>
    <w:rsid w:val="000D7464"/>
    <w:rsid w:val="000E130A"/>
    <w:rsid w:val="000E6D0C"/>
    <w:rsid w:val="000E7E44"/>
    <w:rsid w:val="000F0413"/>
    <w:rsid w:val="000F1603"/>
    <w:rsid w:val="000F1ABE"/>
    <w:rsid w:val="000F4F29"/>
    <w:rsid w:val="001023D6"/>
    <w:rsid w:val="00102432"/>
    <w:rsid w:val="0011033D"/>
    <w:rsid w:val="00112D6D"/>
    <w:rsid w:val="00113E89"/>
    <w:rsid w:val="00120045"/>
    <w:rsid w:val="001204C1"/>
    <w:rsid w:val="00121040"/>
    <w:rsid w:val="001221FC"/>
    <w:rsid w:val="00126DEE"/>
    <w:rsid w:val="00131C31"/>
    <w:rsid w:val="00133658"/>
    <w:rsid w:val="00134774"/>
    <w:rsid w:val="00134F3A"/>
    <w:rsid w:val="0013540B"/>
    <w:rsid w:val="0013564D"/>
    <w:rsid w:val="001372C6"/>
    <w:rsid w:val="00137AD4"/>
    <w:rsid w:val="00140274"/>
    <w:rsid w:val="001440A1"/>
    <w:rsid w:val="00144B09"/>
    <w:rsid w:val="00151263"/>
    <w:rsid w:val="00152D98"/>
    <w:rsid w:val="0015453F"/>
    <w:rsid w:val="001572B7"/>
    <w:rsid w:val="00160197"/>
    <w:rsid w:val="00160F0F"/>
    <w:rsid w:val="00161537"/>
    <w:rsid w:val="001615A4"/>
    <w:rsid w:val="00162A8D"/>
    <w:rsid w:val="00164223"/>
    <w:rsid w:val="001659A9"/>
    <w:rsid w:val="00165E3C"/>
    <w:rsid w:val="00172958"/>
    <w:rsid w:val="00173FB5"/>
    <w:rsid w:val="00177172"/>
    <w:rsid w:val="00181420"/>
    <w:rsid w:val="00184198"/>
    <w:rsid w:val="00191754"/>
    <w:rsid w:val="00194067"/>
    <w:rsid w:val="001A0710"/>
    <w:rsid w:val="001A2EED"/>
    <w:rsid w:val="001A5505"/>
    <w:rsid w:val="001A7C89"/>
    <w:rsid w:val="001B0353"/>
    <w:rsid w:val="001B0BB9"/>
    <w:rsid w:val="001B1C6F"/>
    <w:rsid w:val="001B6705"/>
    <w:rsid w:val="001B6E6C"/>
    <w:rsid w:val="001B7D7A"/>
    <w:rsid w:val="001C1F8B"/>
    <w:rsid w:val="001C6AAB"/>
    <w:rsid w:val="001D02EC"/>
    <w:rsid w:val="001D09A9"/>
    <w:rsid w:val="001D5F3B"/>
    <w:rsid w:val="001E3EC2"/>
    <w:rsid w:val="001E4199"/>
    <w:rsid w:val="001E5786"/>
    <w:rsid w:val="001E584F"/>
    <w:rsid w:val="001F2BBB"/>
    <w:rsid w:val="001F3128"/>
    <w:rsid w:val="001F37E0"/>
    <w:rsid w:val="001F4378"/>
    <w:rsid w:val="001F6736"/>
    <w:rsid w:val="00200677"/>
    <w:rsid w:val="00201FC9"/>
    <w:rsid w:val="00212268"/>
    <w:rsid w:val="0021454E"/>
    <w:rsid w:val="002170DF"/>
    <w:rsid w:val="00220715"/>
    <w:rsid w:val="00220D43"/>
    <w:rsid w:val="00220EB4"/>
    <w:rsid w:val="0022278E"/>
    <w:rsid w:val="002227DC"/>
    <w:rsid w:val="00222889"/>
    <w:rsid w:val="00222AED"/>
    <w:rsid w:val="00224AA3"/>
    <w:rsid w:val="00231ED1"/>
    <w:rsid w:val="00234315"/>
    <w:rsid w:val="00234A07"/>
    <w:rsid w:val="00242624"/>
    <w:rsid w:val="002450D5"/>
    <w:rsid w:val="0024557E"/>
    <w:rsid w:val="00252071"/>
    <w:rsid w:val="00252B69"/>
    <w:rsid w:val="00253381"/>
    <w:rsid w:val="0025470B"/>
    <w:rsid w:val="00255B79"/>
    <w:rsid w:val="00256C9B"/>
    <w:rsid w:val="002575DB"/>
    <w:rsid w:val="0026067B"/>
    <w:rsid w:val="00262ABE"/>
    <w:rsid w:val="00265661"/>
    <w:rsid w:val="00266E06"/>
    <w:rsid w:val="002713E1"/>
    <w:rsid w:val="00274F3B"/>
    <w:rsid w:val="00283E68"/>
    <w:rsid w:val="00285650"/>
    <w:rsid w:val="002863D7"/>
    <w:rsid w:val="00286CF2"/>
    <w:rsid w:val="00287820"/>
    <w:rsid w:val="002950BE"/>
    <w:rsid w:val="00295687"/>
    <w:rsid w:val="00295832"/>
    <w:rsid w:val="00297BAA"/>
    <w:rsid w:val="002A19DE"/>
    <w:rsid w:val="002A3FA6"/>
    <w:rsid w:val="002A464A"/>
    <w:rsid w:val="002A70A8"/>
    <w:rsid w:val="002A7983"/>
    <w:rsid w:val="002B0536"/>
    <w:rsid w:val="002B1B65"/>
    <w:rsid w:val="002B2704"/>
    <w:rsid w:val="002B27DA"/>
    <w:rsid w:val="002B45C6"/>
    <w:rsid w:val="002B5B6A"/>
    <w:rsid w:val="002B6770"/>
    <w:rsid w:val="002C1866"/>
    <w:rsid w:val="002C1C1B"/>
    <w:rsid w:val="002C2ADF"/>
    <w:rsid w:val="002C3437"/>
    <w:rsid w:val="002C4F40"/>
    <w:rsid w:val="002C750B"/>
    <w:rsid w:val="002E3AC8"/>
    <w:rsid w:val="002E5E08"/>
    <w:rsid w:val="002E5F81"/>
    <w:rsid w:val="002F4CE1"/>
    <w:rsid w:val="002F6155"/>
    <w:rsid w:val="00300F22"/>
    <w:rsid w:val="00302762"/>
    <w:rsid w:val="003045B7"/>
    <w:rsid w:val="00304A37"/>
    <w:rsid w:val="00304F85"/>
    <w:rsid w:val="00305590"/>
    <w:rsid w:val="003103D6"/>
    <w:rsid w:val="00310ED4"/>
    <w:rsid w:val="00312301"/>
    <w:rsid w:val="00312B18"/>
    <w:rsid w:val="0031492A"/>
    <w:rsid w:val="003158ED"/>
    <w:rsid w:val="00316C1A"/>
    <w:rsid w:val="003172FC"/>
    <w:rsid w:val="003174AE"/>
    <w:rsid w:val="00320015"/>
    <w:rsid w:val="00320800"/>
    <w:rsid w:val="00320971"/>
    <w:rsid w:val="00322BDD"/>
    <w:rsid w:val="00323C73"/>
    <w:rsid w:val="00324530"/>
    <w:rsid w:val="00326DC2"/>
    <w:rsid w:val="00327D4F"/>
    <w:rsid w:val="00331141"/>
    <w:rsid w:val="00331E7B"/>
    <w:rsid w:val="00332B77"/>
    <w:rsid w:val="003361A1"/>
    <w:rsid w:val="003364DC"/>
    <w:rsid w:val="00342625"/>
    <w:rsid w:val="00344758"/>
    <w:rsid w:val="00347142"/>
    <w:rsid w:val="003506A4"/>
    <w:rsid w:val="00351436"/>
    <w:rsid w:val="00355BB7"/>
    <w:rsid w:val="00355F85"/>
    <w:rsid w:val="003565A8"/>
    <w:rsid w:val="003565B3"/>
    <w:rsid w:val="003566C4"/>
    <w:rsid w:val="003566EA"/>
    <w:rsid w:val="003569C5"/>
    <w:rsid w:val="00361014"/>
    <w:rsid w:val="00367218"/>
    <w:rsid w:val="003711BE"/>
    <w:rsid w:val="00371F19"/>
    <w:rsid w:val="00372C79"/>
    <w:rsid w:val="0037422B"/>
    <w:rsid w:val="00374CA2"/>
    <w:rsid w:val="00383A7F"/>
    <w:rsid w:val="0038451E"/>
    <w:rsid w:val="0038597E"/>
    <w:rsid w:val="00387036"/>
    <w:rsid w:val="003921A4"/>
    <w:rsid w:val="003927CE"/>
    <w:rsid w:val="00395E38"/>
    <w:rsid w:val="003964DE"/>
    <w:rsid w:val="00396F2E"/>
    <w:rsid w:val="00397E33"/>
    <w:rsid w:val="003A0319"/>
    <w:rsid w:val="003A4F3B"/>
    <w:rsid w:val="003A6E55"/>
    <w:rsid w:val="003B048E"/>
    <w:rsid w:val="003B3050"/>
    <w:rsid w:val="003B30A1"/>
    <w:rsid w:val="003B5068"/>
    <w:rsid w:val="003C2753"/>
    <w:rsid w:val="003C301B"/>
    <w:rsid w:val="003C4117"/>
    <w:rsid w:val="003D4A0D"/>
    <w:rsid w:val="003D5B2A"/>
    <w:rsid w:val="003D6369"/>
    <w:rsid w:val="003E19F4"/>
    <w:rsid w:val="003E302A"/>
    <w:rsid w:val="003E34F7"/>
    <w:rsid w:val="003E3500"/>
    <w:rsid w:val="003F256F"/>
    <w:rsid w:val="003F2DD4"/>
    <w:rsid w:val="003F3364"/>
    <w:rsid w:val="003F6426"/>
    <w:rsid w:val="00400118"/>
    <w:rsid w:val="00402887"/>
    <w:rsid w:val="0040388D"/>
    <w:rsid w:val="004042D5"/>
    <w:rsid w:val="004059C9"/>
    <w:rsid w:val="00416C7E"/>
    <w:rsid w:val="00420DD9"/>
    <w:rsid w:val="0042229B"/>
    <w:rsid w:val="00422417"/>
    <w:rsid w:val="00424233"/>
    <w:rsid w:val="00424677"/>
    <w:rsid w:val="0042739D"/>
    <w:rsid w:val="00427A2E"/>
    <w:rsid w:val="0043042B"/>
    <w:rsid w:val="00432295"/>
    <w:rsid w:val="00432897"/>
    <w:rsid w:val="004340A4"/>
    <w:rsid w:val="004402D1"/>
    <w:rsid w:val="004445EA"/>
    <w:rsid w:val="0044747D"/>
    <w:rsid w:val="00450F12"/>
    <w:rsid w:val="004521E5"/>
    <w:rsid w:val="00452510"/>
    <w:rsid w:val="004569C7"/>
    <w:rsid w:val="00457820"/>
    <w:rsid w:val="00457EC0"/>
    <w:rsid w:val="00460DFB"/>
    <w:rsid w:val="004639C1"/>
    <w:rsid w:val="0047275E"/>
    <w:rsid w:val="00472EFF"/>
    <w:rsid w:val="00474063"/>
    <w:rsid w:val="00476793"/>
    <w:rsid w:val="00483A9D"/>
    <w:rsid w:val="00492337"/>
    <w:rsid w:val="0049300B"/>
    <w:rsid w:val="00494684"/>
    <w:rsid w:val="00496CF9"/>
    <w:rsid w:val="00497F4E"/>
    <w:rsid w:val="004A187B"/>
    <w:rsid w:val="004A2D3C"/>
    <w:rsid w:val="004A3544"/>
    <w:rsid w:val="004A3576"/>
    <w:rsid w:val="004A38FC"/>
    <w:rsid w:val="004A4CBD"/>
    <w:rsid w:val="004A6823"/>
    <w:rsid w:val="004B2A31"/>
    <w:rsid w:val="004B326B"/>
    <w:rsid w:val="004B57CA"/>
    <w:rsid w:val="004C0C3D"/>
    <w:rsid w:val="004C1AD6"/>
    <w:rsid w:val="004C7412"/>
    <w:rsid w:val="004C7AD1"/>
    <w:rsid w:val="004D04BF"/>
    <w:rsid w:val="004D2537"/>
    <w:rsid w:val="004D4582"/>
    <w:rsid w:val="004D6E55"/>
    <w:rsid w:val="004E027D"/>
    <w:rsid w:val="004E0444"/>
    <w:rsid w:val="004E0DFF"/>
    <w:rsid w:val="004E78B2"/>
    <w:rsid w:val="004F1C7C"/>
    <w:rsid w:val="004F6DE1"/>
    <w:rsid w:val="00500505"/>
    <w:rsid w:val="005020CF"/>
    <w:rsid w:val="00502B50"/>
    <w:rsid w:val="005031C3"/>
    <w:rsid w:val="0050582C"/>
    <w:rsid w:val="0051176C"/>
    <w:rsid w:val="005123F0"/>
    <w:rsid w:val="00512CFD"/>
    <w:rsid w:val="00513540"/>
    <w:rsid w:val="00513941"/>
    <w:rsid w:val="00515948"/>
    <w:rsid w:val="0052097E"/>
    <w:rsid w:val="00521207"/>
    <w:rsid w:val="005214B7"/>
    <w:rsid w:val="00523A55"/>
    <w:rsid w:val="00523FF7"/>
    <w:rsid w:val="00524529"/>
    <w:rsid w:val="005261E9"/>
    <w:rsid w:val="0053051D"/>
    <w:rsid w:val="005345A9"/>
    <w:rsid w:val="005351EF"/>
    <w:rsid w:val="005428CA"/>
    <w:rsid w:val="00550F3C"/>
    <w:rsid w:val="00552088"/>
    <w:rsid w:val="00552386"/>
    <w:rsid w:val="00553008"/>
    <w:rsid w:val="0055382A"/>
    <w:rsid w:val="0055491C"/>
    <w:rsid w:val="00554EFB"/>
    <w:rsid w:val="005562D4"/>
    <w:rsid w:val="00560E4D"/>
    <w:rsid w:val="00560FFF"/>
    <w:rsid w:val="00562B59"/>
    <w:rsid w:val="00564208"/>
    <w:rsid w:val="00571CEB"/>
    <w:rsid w:val="00573C9C"/>
    <w:rsid w:val="00575AB2"/>
    <w:rsid w:val="00576AEE"/>
    <w:rsid w:val="00576E62"/>
    <w:rsid w:val="00577C8D"/>
    <w:rsid w:val="00580721"/>
    <w:rsid w:val="00582657"/>
    <w:rsid w:val="00587704"/>
    <w:rsid w:val="00590373"/>
    <w:rsid w:val="00590B38"/>
    <w:rsid w:val="00590E89"/>
    <w:rsid w:val="00591951"/>
    <w:rsid w:val="00591A97"/>
    <w:rsid w:val="00593305"/>
    <w:rsid w:val="00593F9A"/>
    <w:rsid w:val="005955D3"/>
    <w:rsid w:val="00596B36"/>
    <w:rsid w:val="005A3D57"/>
    <w:rsid w:val="005A449A"/>
    <w:rsid w:val="005A4592"/>
    <w:rsid w:val="005A5049"/>
    <w:rsid w:val="005A6BEC"/>
    <w:rsid w:val="005B126A"/>
    <w:rsid w:val="005B1FC7"/>
    <w:rsid w:val="005B27B3"/>
    <w:rsid w:val="005B5333"/>
    <w:rsid w:val="005C10A0"/>
    <w:rsid w:val="005C1EBD"/>
    <w:rsid w:val="005C4C56"/>
    <w:rsid w:val="005C5D41"/>
    <w:rsid w:val="005D1F34"/>
    <w:rsid w:val="005D2BBF"/>
    <w:rsid w:val="005D383D"/>
    <w:rsid w:val="005D398B"/>
    <w:rsid w:val="005D6938"/>
    <w:rsid w:val="005E1CD6"/>
    <w:rsid w:val="005E4B13"/>
    <w:rsid w:val="005E5933"/>
    <w:rsid w:val="005E593A"/>
    <w:rsid w:val="005E6696"/>
    <w:rsid w:val="005E6A6C"/>
    <w:rsid w:val="005F06CD"/>
    <w:rsid w:val="005F103C"/>
    <w:rsid w:val="005F1454"/>
    <w:rsid w:val="005F19FE"/>
    <w:rsid w:val="005F1EE6"/>
    <w:rsid w:val="005F1F72"/>
    <w:rsid w:val="005F61D2"/>
    <w:rsid w:val="005F64E3"/>
    <w:rsid w:val="005F7BD1"/>
    <w:rsid w:val="0060091B"/>
    <w:rsid w:val="006012F0"/>
    <w:rsid w:val="00602574"/>
    <w:rsid w:val="00602D47"/>
    <w:rsid w:val="00604590"/>
    <w:rsid w:val="006046B8"/>
    <w:rsid w:val="00605E3F"/>
    <w:rsid w:val="00607ECC"/>
    <w:rsid w:val="006114AE"/>
    <w:rsid w:val="00613515"/>
    <w:rsid w:val="00614000"/>
    <w:rsid w:val="00617316"/>
    <w:rsid w:val="0062054E"/>
    <w:rsid w:val="00620B11"/>
    <w:rsid w:val="00621377"/>
    <w:rsid w:val="00621EE3"/>
    <w:rsid w:val="00622562"/>
    <w:rsid w:val="0062419A"/>
    <w:rsid w:val="006263B4"/>
    <w:rsid w:val="00626C75"/>
    <w:rsid w:val="006304CB"/>
    <w:rsid w:val="00633A44"/>
    <w:rsid w:val="0063557F"/>
    <w:rsid w:val="006448C4"/>
    <w:rsid w:val="006458D1"/>
    <w:rsid w:val="00652912"/>
    <w:rsid w:val="00653FE5"/>
    <w:rsid w:val="00654793"/>
    <w:rsid w:val="006552DC"/>
    <w:rsid w:val="00657A94"/>
    <w:rsid w:val="0066041C"/>
    <w:rsid w:val="00663384"/>
    <w:rsid w:val="00663976"/>
    <w:rsid w:val="00665508"/>
    <w:rsid w:val="00666BEA"/>
    <w:rsid w:val="0067030D"/>
    <w:rsid w:val="00672C11"/>
    <w:rsid w:val="0067467A"/>
    <w:rsid w:val="00681E70"/>
    <w:rsid w:val="0068230E"/>
    <w:rsid w:val="0068244D"/>
    <w:rsid w:val="00687766"/>
    <w:rsid w:val="00693ACA"/>
    <w:rsid w:val="00694E2D"/>
    <w:rsid w:val="006A1120"/>
    <w:rsid w:val="006A1973"/>
    <w:rsid w:val="006A5CC3"/>
    <w:rsid w:val="006A61E8"/>
    <w:rsid w:val="006A6BB3"/>
    <w:rsid w:val="006A793E"/>
    <w:rsid w:val="006B0761"/>
    <w:rsid w:val="006B650A"/>
    <w:rsid w:val="006C6FCC"/>
    <w:rsid w:val="006D1557"/>
    <w:rsid w:val="006D2DE3"/>
    <w:rsid w:val="006D46EF"/>
    <w:rsid w:val="006D5EE5"/>
    <w:rsid w:val="006E0B4F"/>
    <w:rsid w:val="006E0C7E"/>
    <w:rsid w:val="006E258D"/>
    <w:rsid w:val="006E3115"/>
    <w:rsid w:val="006E4F0D"/>
    <w:rsid w:val="006E58B9"/>
    <w:rsid w:val="006E63E3"/>
    <w:rsid w:val="006F0094"/>
    <w:rsid w:val="006F1A89"/>
    <w:rsid w:val="006F2061"/>
    <w:rsid w:val="006F2F21"/>
    <w:rsid w:val="006F3E81"/>
    <w:rsid w:val="006F44A7"/>
    <w:rsid w:val="006F79FC"/>
    <w:rsid w:val="00701CAD"/>
    <w:rsid w:val="00703D2D"/>
    <w:rsid w:val="00704730"/>
    <w:rsid w:val="00711249"/>
    <w:rsid w:val="0072204E"/>
    <w:rsid w:val="0072216D"/>
    <w:rsid w:val="00723E17"/>
    <w:rsid w:val="00730174"/>
    <w:rsid w:val="00731271"/>
    <w:rsid w:val="00734B61"/>
    <w:rsid w:val="0073562F"/>
    <w:rsid w:val="00736600"/>
    <w:rsid w:val="00737AD8"/>
    <w:rsid w:val="00737DFE"/>
    <w:rsid w:val="00741237"/>
    <w:rsid w:val="007419B9"/>
    <w:rsid w:val="0074269E"/>
    <w:rsid w:val="00742DA3"/>
    <w:rsid w:val="00742E0F"/>
    <w:rsid w:val="00742F58"/>
    <w:rsid w:val="00743727"/>
    <w:rsid w:val="00743935"/>
    <w:rsid w:val="00745E5B"/>
    <w:rsid w:val="00747F59"/>
    <w:rsid w:val="00753550"/>
    <w:rsid w:val="007540BF"/>
    <w:rsid w:val="0075486B"/>
    <w:rsid w:val="007561D4"/>
    <w:rsid w:val="0075768C"/>
    <w:rsid w:val="00761731"/>
    <w:rsid w:val="007675A7"/>
    <w:rsid w:val="00770203"/>
    <w:rsid w:val="007706D8"/>
    <w:rsid w:val="00770DCB"/>
    <w:rsid w:val="00770FED"/>
    <w:rsid w:val="00775485"/>
    <w:rsid w:val="00775D46"/>
    <w:rsid w:val="00776F71"/>
    <w:rsid w:val="007778F0"/>
    <w:rsid w:val="0079079A"/>
    <w:rsid w:val="007950CE"/>
    <w:rsid w:val="0079615F"/>
    <w:rsid w:val="00796AAC"/>
    <w:rsid w:val="007A2546"/>
    <w:rsid w:val="007A2C33"/>
    <w:rsid w:val="007B47C9"/>
    <w:rsid w:val="007B690E"/>
    <w:rsid w:val="007B79B4"/>
    <w:rsid w:val="007C0FD6"/>
    <w:rsid w:val="007C1C6F"/>
    <w:rsid w:val="007C4DE9"/>
    <w:rsid w:val="007C5ED0"/>
    <w:rsid w:val="007C6C3F"/>
    <w:rsid w:val="007D17F3"/>
    <w:rsid w:val="007D26AA"/>
    <w:rsid w:val="007D5DEE"/>
    <w:rsid w:val="007D62EA"/>
    <w:rsid w:val="007E5B88"/>
    <w:rsid w:val="007E601B"/>
    <w:rsid w:val="007E6C3B"/>
    <w:rsid w:val="007F0D0B"/>
    <w:rsid w:val="007F17AC"/>
    <w:rsid w:val="007F2A58"/>
    <w:rsid w:val="007F6243"/>
    <w:rsid w:val="008007A8"/>
    <w:rsid w:val="008042D9"/>
    <w:rsid w:val="00806D03"/>
    <w:rsid w:val="00810DBA"/>
    <w:rsid w:val="008113FC"/>
    <w:rsid w:val="00814A93"/>
    <w:rsid w:val="00814FC0"/>
    <w:rsid w:val="00825628"/>
    <w:rsid w:val="00826511"/>
    <w:rsid w:val="0083155D"/>
    <w:rsid w:val="00831B8E"/>
    <w:rsid w:val="0083313C"/>
    <w:rsid w:val="00836689"/>
    <w:rsid w:val="00837B56"/>
    <w:rsid w:val="00840967"/>
    <w:rsid w:val="00840F8E"/>
    <w:rsid w:val="008417B7"/>
    <w:rsid w:val="00842308"/>
    <w:rsid w:val="00843F82"/>
    <w:rsid w:val="00846E4A"/>
    <w:rsid w:val="00846EE0"/>
    <w:rsid w:val="008479D6"/>
    <w:rsid w:val="00850134"/>
    <w:rsid w:val="00850BFF"/>
    <w:rsid w:val="008518D3"/>
    <w:rsid w:val="0086045C"/>
    <w:rsid w:val="0086246D"/>
    <w:rsid w:val="00865BD2"/>
    <w:rsid w:val="008724DE"/>
    <w:rsid w:val="008733F8"/>
    <w:rsid w:val="0088188A"/>
    <w:rsid w:val="00885185"/>
    <w:rsid w:val="00886AED"/>
    <w:rsid w:val="00886C15"/>
    <w:rsid w:val="008903CD"/>
    <w:rsid w:val="00893EDB"/>
    <w:rsid w:val="008951C1"/>
    <w:rsid w:val="008A061D"/>
    <w:rsid w:val="008A22C5"/>
    <w:rsid w:val="008A28B2"/>
    <w:rsid w:val="008A3313"/>
    <w:rsid w:val="008A37ED"/>
    <w:rsid w:val="008A3D57"/>
    <w:rsid w:val="008B23BC"/>
    <w:rsid w:val="008B49B8"/>
    <w:rsid w:val="008B5A2B"/>
    <w:rsid w:val="008B62C2"/>
    <w:rsid w:val="008B7F27"/>
    <w:rsid w:val="008C217C"/>
    <w:rsid w:val="008C255C"/>
    <w:rsid w:val="008C2D8F"/>
    <w:rsid w:val="008D4FBC"/>
    <w:rsid w:val="008D51A6"/>
    <w:rsid w:val="008D57B6"/>
    <w:rsid w:val="008D71A1"/>
    <w:rsid w:val="008E1FAA"/>
    <w:rsid w:val="008E3D60"/>
    <w:rsid w:val="008E3F4C"/>
    <w:rsid w:val="008E3FBF"/>
    <w:rsid w:val="008E44E4"/>
    <w:rsid w:val="008E7076"/>
    <w:rsid w:val="008E7712"/>
    <w:rsid w:val="008F18CD"/>
    <w:rsid w:val="008F4130"/>
    <w:rsid w:val="008F63F6"/>
    <w:rsid w:val="008F666C"/>
    <w:rsid w:val="008F6B7B"/>
    <w:rsid w:val="008F718F"/>
    <w:rsid w:val="0090038D"/>
    <w:rsid w:val="0090165F"/>
    <w:rsid w:val="00901B82"/>
    <w:rsid w:val="009026CB"/>
    <w:rsid w:val="009042A1"/>
    <w:rsid w:val="00904445"/>
    <w:rsid w:val="009129E7"/>
    <w:rsid w:val="00912B09"/>
    <w:rsid w:val="00913E73"/>
    <w:rsid w:val="00914219"/>
    <w:rsid w:val="00914DEA"/>
    <w:rsid w:val="00915B86"/>
    <w:rsid w:val="00917CE8"/>
    <w:rsid w:val="0092194B"/>
    <w:rsid w:val="00924076"/>
    <w:rsid w:val="00924499"/>
    <w:rsid w:val="009257FD"/>
    <w:rsid w:val="00930C70"/>
    <w:rsid w:val="0093110F"/>
    <w:rsid w:val="00945C06"/>
    <w:rsid w:val="00947940"/>
    <w:rsid w:val="00947A69"/>
    <w:rsid w:val="00951137"/>
    <w:rsid w:val="00961237"/>
    <w:rsid w:val="009669DC"/>
    <w:rsid w:val="00966C2F"/>
    <w:rsid w:val="009675C8"/>
    <w:rsid w:val="00970C40"/>
    <w:rsid w:val="00972E47"/>
    <w:rsid w:val="0097512B"/>
    <w:rsid w:val="00980E89"/>
    <w:rsid w:val="009811E7"/>
    <w:rsid w:val="00982628"/>
    <w:rsid w:val="00983CEB"/>
    <w:rsid w:val="00983D72"/>
    <w:rsid w:val="009847C1"/>
    <w:rsid w:val="009856DA"/>
    <w:rsid w:val="00986709"/>
    <w:rsid w:val="00990578"/>
    <w:rsid w:val="00995114"/>
    <w:rsid w:val="009A24F3"/>
    <w:rsid w:val="009A36BF"/>
    <w:rsid w:val="009A67D7"/>
    <w:rsid w:val="009A6D98"/>
    <w:rsid w:val="009B6CF4"/>
    <w:rsid w:val="009C0490"/>
    <w:rsid w:val="009C0BA8"/>
    <w:rsid w:val="009C46FA"/>
    <w:rsid w:val="009C49CD"/>
    <w:rsid w:val="009C4D4C"/>
    <w:rsid w:val="009D028D"/>
    <w:rsid w:val="009D5D1C"/>
    <w:rsid w:val="009D67F6"/>
    <w:rsid w:val="009E0381"/>
    <w:rsid w:val="009E03DE"/>
    <w:rsid w:val="009E0FE1"/>
    <w:rsid w:val="009E75CC"/>
    <w:rsid w:val="009E769E"/>
    <w:rsid w:val="009F2AD9"/>
    <w:rsid w:val="009F5AFE"/>
    <w:rsid w:val="009F6904"/>
    <w:rsid w:val="009F6C77"/>
    <w:rsid w:val="009F782F"/>
    <w:rsid w:val="00A01558"/>
    <w:rsid w:val="00A031FF"/>
    <w:rsid w:val="00A0406E"/>
    <w:rsid w:val="00A05B17"/>
    <w:rsid w:val="00A11307"/>
    <w:rsid w:val="00A130CC"/>
    <w:rsid w:val="00A13A20"/>
    <w:rsid w:val="00A13AF3"/>
    <w:rsid w:val="00A15D1D"/>
    <w:rsid w:val="00A21388"/>
    <w:rsid w:val="00A22082"/>
    <w:rsid w:val="00A221EF"/>
    <w:rsid w:val="00A226B5"/>
    <w:rsid w:val="00A2365E"/>
    <w:rsid w:val="00A24657"/>
    <w:rsid w:val="00A2465E"/>
    <w:rsid w:val="00A26946"/>
    <w:rsid w:val="00A26AA6"/>
    <w:rsid w:val="00A27791"/>
    <w:rsid w:val="00A3204B"/>
    <w:rsid w:val="00A344A4"/>
    <w:rsid w:val="00A35435"/>
    <w:rsid w:val="00A376AB"/>
    <w:rsid w:val="00A41355"/>
    <w:rsid w:val="00A432AA"/>
    <w:rsid w:val="00A43B92"/>
    <w:rsid w:val="00A506D7"/>
    <w:rsid w:val="00A5141D"/>
    <w:rsid w:val="00A539A2"/>
    <w:rsid w:val="00A54251"/>
    <w:rsid w:val="00A54276"/>
    <w:rsid w:val="00A6179E"/>
    <w:rsid w:val="00A62FC9"/>
    <w:rsid w:val="00A63FA9"/>
    <w:rsid w:val="00A64316"/>
    <w:rsid w:val="00A65F9C"/>
    <w:rsid w:val="00A71983"/>
    <w:rsid w:val="00A7265C"/>
    <w:rsid w:val="00A7283E"/>
    <w:rsid w:val="00A72FCF"/>
    <w:rsid w:val="00A74748"/>
    <w:rsid w:val="00A74860"/>
    <w:rsid w:val="00A7603C"/>
    <w:rsid w:val="00A774EE"/>
    <w:rsid w:val="00A804D9"/>
    <w:rsid w:val="00A81AFF"/>
    <w:rsid w:val="00A81BEB"/>
    <w:rsid w:val="00A8413A"/>
    <w:rsid w:val="00A85F3D"/>
    <w:rsid w:val="00A87113"/>
    <w:rsid w:val="00A879B2"/>
    <w:rsid w:val="00A92F92"/>
    <w:rsid w:val="00A95FA8"/>
    <w:rsid w:val="00A96892"/>
    <w:rsid w:val="00A96AA8"/>
    <w:rsid w:val="00A97C31"/>
    <w:rsid w:val="00AA2051"/>
    <w:rsid w:val="00AA4896"/>
    <w:rsid w:val="00AA496C"/>
    <w:rsid w:val="00AB01E4"/>
    <w:rsid w:val="00AB061C"/>
    <w:rsid w:val="00AB4E3E"/>
    <w:rsid w:val="00AB65EB"/>
    <w:rsid w:val="00AB6ADC"/>
    <w:rsid w:val="00AC05A4"/>
    <w:rsid w:val="00AC08E1"/>
    <w:rsid w:val="00AC0B88"/>
    <w:rsid w:val="00AC1743"/>
    <w:rsid w:val="00AC1ED4"/>
    <w:rsid w:val="00AC36D5"/>
    <w:rsid w:val="00AC45FA"/>
    <w:rsid w:val="00AD3397"/>
    <w:rsid w:val="00AD4096"/>
    <w:rsid w:val="00AD6821"/>
    <w:rsid w:val="00AE02E3"/>
    <w:rsid w:val="00AE3EDB"/>
    <w:rsid w:val="00AE43A9"/>
    <w:rsid w:val="00AE7171"/>
    <w:rsid w:val="00B03994"/>
    <w:rsid w:val="00B04C28"/>
    <w:rsid w:val="00B0762B"/>
    <w:rsid w:val="00B14327"/>
    <w:rsid w:val="00B17579"/>
    <w:rsid w:val="00B231F2"/>
    <w:rsid w:val="00B24B1D"/>
    <w:rsid w:val="00B26BBA"/>
    <w:rsid w:val="00B27334"/>
    <w:rsid w:val="00B277E0"/>
    <w:rsid w:val="00B314A7"/>
    <w:rsid w:val="00B34946"/>
    <w:rsid w:val="00B34A7A"/>
    <w:rsid w:val="00B3699A"/>
    <w:rsid w:val="00B36BDF"/>
    <w:rsid w:val="00B428A0"/>
    <w:rsid w:val="00B43F73"/>
    <w:rsid w:val="00B45DF6"/>
    <w:rsid w:val="00B519FD"/>
    <w:rsid w:val="00B520BC"/>
    <w:rsid w:val="00B522C1"/>
    <w:rsid w:val="00B53757"/>
    <w:rsid w:val="00B5439F"/>
    <w:rsid w:val="00B562F6"/>
    <w:rsid w:val="00B56DD7"/>
    <w:rsid w:val="00B605C7"/>
    <w:rsid w:val="00B6193F"/>
    <w:rsid w:val="00B62FB1"/>
    <w:rsid w:val="00B63D24"/>
    <w:rsid w:val="00B65395"/>
    <w:rsid w:val="00B72465"/>
    <w:rsid w:val="00B7444F"/>
    <w:rsid w:val="00B777C3"/>
    <w:rsid w:val="00B80D7E"/>
    <w:rsid w:val="00B810FA"/>
    <w:rsid w:val="00B84291"/>
    <w:rsid w:val="00B86CCD"/>
    <w:rsid w:val="00B86FB4"/>
    <w:rsid w:val="00B8729D"/>
    <w:rsid w:val="00B87D8A"/>
    <w:rsid w:val="00B901DC"/>
    <w:rsid w:val="00B924E6"/>
    <w:rsid w:val="00B93078"/>
    <w:rsid w:val="00BA0168"/>
    <w:rsid w:val="00BA2133"/>
    <w:rsid w:val="00BA262D"/>
    <w:rsid w:val="00BA35ED"/>
    <w:rsid w:val="00BA3E26"/>
    <w:rsid w:val="00BA51A8"/>
    <w:rsid w:val="00BA5698"/>
    <w:rsid w:val="00BA695E"/>
    <w:rsid w:val="00BA70D7"/>
    <w:rsid w:val="00BC2933"/>
    <w:rsid w:val="00BC2E0A"/>
    <w:rsid w:val="00BC4166"/>
    <w:rsid w:val="00BC4873"/>
    <w:rsid w:val="00BC5718"/>
    <w:rsid w:val="00BC79EB"/>
    <w:rsid w:val="00BC7BAC"/>
    <w:rsid w:val="00BD1826"/>
    <w:rsid w:val="00BD4627"/>
    <w:rsid w:val="00BD7FCF"/>
    <w:rsid w:val="00BE1D47"/>
    <w:rsid w:val="00BE32A8"/>
    <w:rsid w:val="00BF002E"/>
    <w:rsid w:val="00BF15C5"/>
    <w:rsid w:val="00BF25F0"/>
    <w:rsid w:val="00BF281A"/>
    <w:rsid w:val="00BF5629"/>
    <w:rsid w:val="00C00D07"/>
    <w:rsid w:val="00C03B34"/>
    <w:rsid w:val="00C04A4D"/>
    <w:rsid w:val="00C101B7"/>
    <w:rsid w:val="00C107F3"/>
    <w:rsid w:val="00C10C11"/>
    <w:rsid w:val="00C11014"/>
    <w:rsid w:val="00C154F8"/>
    <w:rsid w:val="00C2158C"/>
    <w:rsid w:val="00C22690"/>
    <w:rsid w:val="00C25BDA"/>
    <w:rsid w:val="00C2767F"/>
    <w:rsid w:val="00C30270"/>
    <w:rsid w:val="00C317DE"/>
    <w:rsid w:val="00C32561"/>
    <w:rsid w:val="00C33104"/>
    <w:rsid w:val="00C34931"/>
    <w:rsid w:val="00C34C68"/>
    <w:rsid w:val="00C35F33"/>
    <w:rsid w:val="00C42605"/>
    <w:rsid w:val="00C43203"/>
    <w:rsid w:val="00C44D96"/>
    <w:rsid w:val="00C45044"/>
    <w:rsid w:val="00C4512A"/>
    <w:rsid w:val="00C45DBF"/>
    <w:rsid w:val="00C4671C"/>
    <w:rsid w:val="00C55978"/>
    <w:rsid w:val="00C55E26"/>
    <w:rsid w:val="00C55E6D"/>
    <w:rsid w:val="00C55FBF"/>
    <w:rsid w:val="00C573A7"/>
    <w:rsid w:val="00C57B79"/>
    <w:rsid w:val="00C57BD7"/>
    <w:rsid w:val="00C60656"/>
    <w:rsid w:val="00C6075D"/>
    <w:rsid w:val="00C63DD7"/>
    <w:rsid w:val="00C64D3B"/>
    <w:rsid w:val="00C65EEC"/>
    <w:rsid w:val="00C6671C"/>
    <w:rsid w:val="00C67241"/>
    <w:rsid w:val="00C70400"/>
    <w:rsid w:val="00C71FF6"/>
    <w:rsid w:val="00C725A7"/>
    <w:rsid w:val="00C755B5"/>
    <w:rsid w:val="00C854D4"/>
    <w:rsid w:val="00C87CB8"/>
    <w:rsid w:val="00C90556"/>
    <w:rsid w:val="00C93B0A"/>
    <w:rsid w:val="00C94088"/>
    <w:rsid w:val="00C9513D"/>
    <w:rsid w:val="00CA022F"/>
    <w:rsid w:val="00CA0D78"/>
    <w:rsid w:val="00CA4855"/>
    <w:rsid w:val="00CA5C5E"/>
    <w:rsid w:val="00CB014F"/>
    <w:rsid w:val="00CB24FE"/>
    <w:rsid w:val="00CB3320"/>
    <w:rsid w:val="00CB6C3B"/>
    <w:rsid w:val="00CC137C"/>
    <w:rsid w:val="00CC26C2"/>
    <w:rsid w:val="00CC2BB9"/>
    <w:rsid w:val="00CC2E07"/>
    <w:rsid w:val="00CD03ED"/>
    <w:rsid w:val="00CD0D69"/>
    <w:rsid w:val="00CD4A23"/>
    <w:rsid w:val="00CD58FD"/>
    <w:rsid w:val="00CE12F8"/>
    <w:rsid w:val="00CE5A7D"/>
    <w:rsid w:val="00CF0AA2"/>
    <w:rsid w:val="00CF136E"/>
    <w:rsid w:val="00CF6022"/>
    <w:rsid w:val="00CF707D"/>
    <w:rsid w:val="00CF791C"/>
    <w:rsid w:val="00D00A4D"/>
    <w:rsid w:val="00D0292B"/>
    <w:rsid w:val="00D05B13"/>
    <w:rsid w:val="00D06246"/>
    <w:rsid w:val="00D130CF"/>
    <w:rsid w:val="00D15D47"/>
    <w:rsid w:val="00D16A55"/>
    <w:rsid w:val="00D16FBE"/>
    <w:rsid w:val="00D30415"/>
    <w:rsid w:val="00D30A61"/>
    <w:rsid w:val="00D3314A"/>
    <w:rsid w:val="00D343FA"/>
    <w:rsid w:val="00D34CB5"/>
    <w:rsid w:val="00D355B6"/>
    <w:rsid w:val="00D37442"/>
    <w:rsid w:val="00D37EDC"/>
    <w:rsid w:val="00D4026D"/>
    <w:rsid w:val="00D40AB2"/>
    <w:rsid w:val="00D418FF"/>
    <w:rsid w:val="00D4682A"/>
    <w:rsid w:val="00D46D6C"/>
    <w:rsid w:val="00D473C4"/>
    <w:rsid w:val="00D4769B"/>
    <w:rsid w:val="00D52D3F"/>
    <w:rsid w:val="00D55625"/>
    <w:rsid w:val="00D60807"/>
    <w:rsid w:val="00D60925"/>
    <w:rsid w:val="00D65C76"/>
    <w:rsid w:val="00D711BC"/>
    <w:rsid w:val="00D729AD"/>
    <w:rsid w:val="00D73310"/>
    <w:rsid w:val="00D734C7"/>
    <w:rsid w:val="00D7664B"/>
    <w:rsid w:val="00D83F0D"/>
    <w:rsid w:val="00D84F7A"/>
    <w:rsid w:val="00D86BE4"/>
    <w:rsid w:val="00D92121"/>
    <w:rsid w:val="00D93009"/>
    <w:rsid w:val="00D93676"/>
    <w:rsid w:val="00D93F68"/>
    <w:rsid w:val="00DA1025"/>
    <w:rsid w:val="00DA16F6"/>
    <w:rsid w:val="00DA2F73"/>
    <w:rsid w:val="00DA5093"/>
    <w:rsid w:val="00DA6A98"/>
    <w:rsid w:val="00DA6C89"/>
    <w:rsid w:val="00DB5CDC"/>
    <w:rsid w:val="00DB5D53"/>
    <w:rsid w:val="00DB6F7B"/>
    <w:rsid w:val="00DC3F36"/>
    <w:rsid w:val="00DC44E4"/>
    <w:rsid w:val="00DC462F"/>
    <w:rsid w:val="00DD0936"/>
    <w:rsid w:val="00DD241D"/>
    <w:rsid w:val="00DD6A21"/>
    <w:rsid w:val="00DD7A51"/>
    <w:rsid w:val="00DE0643"/>
    <w:rsid w:val="00DE3587"/>
    <w:rsid w:val="00DE60CA"/>
    <w:rsid w:val="00DF0ABA"/>
    <w:rsid w:val="00DF12CB"/>
    <w:rsid w:val="00DF1A27"/>
    <w:rsid w:val="00DF2039"/>
    <w:rsid w:val="00DF2AE8"/>
    <w:rsid w:val="00DF30DC"/>
    <w:rsid w:val="00DF6285"/>
    <w:rsid w:val="00E00304"/>
    <w:rsid w:val="00E10B05"/>
    <w:rsid w:val="00E14457"/>
    <w:rsid w:val="00E17DF1"/>
    <w:rsid w:val="00E222CB"/>
    <w:rsid w:val="00E23FE7"/>
    <w:rsid w:val="00E24FA3"/>
    <w:rsid w:val="00E267AD"/>
    <w:rsid w:val="00E26B28"/>
    <w:rsid w:val="00E26C0C"/>
    <w:rsid w:val="00E27A6B"/>
    <w:rsid w:val="00E31465"/>
    <w:rsid w:val="00E3242D"/>
    <w:rsid w:val="00E328CD"/>
    <w:rsid w:val="00E33902"/>
    <w:rsid w:val="00E35534"/>
    <w:rsid w:val="00E359C5"/>
    <w:rsid w:val="00E36B95"/>
    <w:rsid w:val="00E4003F"/>
    <w:rsid w:val="00E40794"/>
    <w:rsid w:val="00E456CA"/>
    <w:rsid w:val="00E458F6"/>
    <w:rsid w:val="00E45954"/>
    <w:rsid w:val="00E462F4"/>
    <w:rsid w:val="00E46DC5"/>
    <w:rsid w:val="00E47918"/>
    <w:rsid w:val="00E4792A"/>
    <w:rsid w:val="00E47E5B"/>
    <w:rsid w:val="00E53A0B"/>
    <w:rsid w:val="00E55CBA"/>
    <w:rsid w:val="00E562E3"/>
    <w:rsid w:val="00E57F91"/>
    <w:rsid w:val="00E603EF"/>
    <w:rsid w:val="00E60534"/>
    <w:rsid w:val="00E60631"/>
    <w:rsid w:val="00E62656"/>
    <w:rsid w:val="00E63E48"/>
    <w:rsid w:val="00E65EF8"/>
    <w:rsid w:val="00E75158"/>
    <w:rsid w:val="00E77400"/>
    <w:rsid w:val="00E863FC"/>
    <w:rsid w:val="00E86F44"/>
    <w:rsid w:val="00E920EE"/>
    <w:rsid w:val="00E92847"/>
    <w:rsid w:val="00E94428"/>
    <w:rsid w:val="00E94F55"/>
    <w:rsid w:val="00E94FC8"/>
    <w:rsid w:val="00E9681B"/>
    <w:rsid w:val="00E96B41"/>
    <w:rsid w:val="00EA2055"/>
    <w:rsid w:val="00EA3A06"/>
    <w:rsid w:val="00EA44D9"/>
    <w:rsid w:val="00EA4D9F"/>
    <w:rsid w:val="00EA7641"/>
    <w:rsid w:val="00EA7769"/>
    <w:rsid w:val="00EB2405"/>
    <w:rsid w:val="00EB311B"/>
    <w:rsid w:val="00EB31D2"/>
    <w:rsid w:val="00EB4155"/>
    <w:rsid w:val="00EB4686"/>
    <w:rsid w:val="00EB4C9F"/>
    <w:rsid w:val="00EB6A76"/>
    <w:rsid w:val="00EB6A97"/>
    <w:rsid w:val="00EB6C3B"/>
    <w:rsid w:val="00EC0D1E"/>
    <w:rsid w:val="00EC6500"/>
    <w:rsid w:val="00EC70F9"/>
    <w:rsid w:val="00ED1E74"/>
    <w:rsid w:val="00ED7943"/>
    <w:rsid w:val="00ED7FBA"/>
    <w:rsid w:val="00EE14C7"/>
    <w:rsid w:val="00EE50C7"/>
    <w:rsid w:val="00EE6AD4"/>
    <w:rsid w:val="00EF3F92"/>
    <w:rsid w:val="00EF4131"/>
    <w:rsid w:val="00EF4A88"/>
    <w:rsid w:val="00EF4E2B"/>
    <w:rsid w:val="00EF5F5F"/>
    <w:rsid w:val="00EF78C6"/>
    <w:rsid w:val="00F02682"/>
    <w:rsid w:val="00F02D46"/>
    <w:rsid w:val="00F066D8"/>
    <w:rsid w:val="00F06F7C"/>
    <w:rsid w:val="00F10BCC"/>
    <w:rsid w:val="00F113D6"/>
    <w:rsid w:val="00F1435B"/>
    <w:rsid w:val="00F14C6D"/>
    <w:rsid w:val="00F1766F"/>
    <w:rsid w:val="00F17F61"/>
    <w:rsid w:val="00F20AB3"/>
    <w:rsid w:val="00F20CFB"/>
    <w:rsid w:val="00F22A62"/>
    <w:rsid w:val="00F2620D"/>
    <w:rsid w:val="00F26A49"/>
    <w:rsid w:val="00F310BB"/>
    <w:rsid w:val="00F32A50"/>
    <w:rsid w:val="00F3676A"/>
    <w:rsid w:val="00F419BD"/>
    <w:rsid w:val="00F50038"/>
    <w:rsid w:val="00F51F7D"/>
    <w:rsid w:val="00F52178"/>
    <w:rsid w:val="00F55236"/>
    <w:rsid w:val="00F63B16"/>
    <w:rsid w:val="00F64BEC"/>
    <w:rsid w:val="00F65DFE"/>
    <w:rsid w:val="00F70FF0"/>
    <w:rsid w:val="00F72862"/>
    <w:rsid w:val="00F74429"/>
    <w:rsid w:val="00F76E3B"/>
    <w:rsid w:val="00F80214"/>
    <w:rsid w:val="00F8070A"/>
    <w:rsid w:val="00F838BE"/>
    <w:rsid w:val="00F844C2"/>
    <w:rsid w:val="00F8744B"/>
    <w:rsid w:val="00F91D93"/>
    <w:rsid w:val="00F92C01"/>
    <w:rsid w:val="00F92F56"/>
    <w:rsid w:val="00F93244"/>
    <w:rsid w:val="00F9392D"/>
    <w:rsid w:val="00F957B8"/>
    <w:rsid w:val="00F97457"/>
    <w:rsid w:val="00FA0314"/>
    <w:rsid w:val="00FA1DA1"/>
    <w:rsid w:val="00FA2DB8"/>
    <w:rsid w:val="00FA4916"/>
    <w:rsid w:val="00FA7F8E"/>
    <w:rsid w:val="00FB15AC"/>
    <w:rsid w:val="00FC0BA3"/>
    <w:rsid w:val="00FC44B4"/>
    <w:rsid w:val="00FD01B5"/>
    <w:rsid w:val="00FD1002"/>
    <w:rsid w:val="00FD23F8"/>
    <w:rsid w:val="00FD4731"/>
    <w:rsid w:val="00FD779C"/>
    <w:rsid w:val="00FE12B2"/>
    <w:rsid w:val="00FE44AC"/>
    <w:rsid w:val="00FE46D4"/>
    <w:rsid w:val="00FE6924"/>
    <w:rsid w:val="00FF542A"/>
    <w:rsid w:val="00FF7D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lang w:val="x-none" w:eastAsia="x-none"/>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lang w:val="x-none" w:eastAsia="x-none"/>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lang w:val="x-none" w:eastAsia="x-none"/>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lang w:val="x-none" w:eastAsia="x-none"/>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x-none" w:eastAsia="x-none"/>
    </w:rPr>
  </w:style>
  <w:style w:type="character" w:customStyle="1" w:styleId="Heading2Char">
    <w:name w:val="Heading 2 Char"/>
    <w:link w:val="Heading2"/>
    <w:rsid w:val="008007A8"/>
    <w:rPr>
      <w:rFonts w:ascii="Arial" w:eastAsia="MS Mincho" w:hAnsi="Arial"/>
      <w:b/>
      <w:i/>
      <w:color w:val="000000"/>
      <w:sz w:val="28"/>
      <w:szCs w:val="26"/>
      <w:lang w:val="x-none" w:eastAsia="x-none"/>
    </w:rPr>
  </w:style>
  <w:style w:type="character" w:customStyle="1" w:styleId="Heading3Char">
    <w:name w:val="Heading 3 Char"/>
    <w:link w:val="Heading3"/>
    <w:rsid w:val="008007A8"/>
    <w:rPr>
      <w:rFonts w:ascii="Arial" w:eastAsia="MS Mincho" w:hAnsi="Arial"/>
      <w:bCs/>
      <w:i/>
      <w:sz w:val="24"/>
      <w:szCs w:val="26"/>
      <w:lang w:val="x-none" w:eastAsia="x-none"/>
    </w:rPr>
  </w:style>
  <w:style w:type="character" w:customStyle="1" w:styleId="Heading4Char">
    <w:name w:val="Heading 4 Char"/>
    <w:link w:val="Heading4"/>
    <w:rsid w:val="008007A8"/>
    <w:rPr>
      <w:rFonts w:ascii="Arial" w:eastAsia="MS Mincho" w:hAnsi="Arial"/>
      <w:iCs/>
      <w:sz w:val="24"/>
      <w:szCs w:val="26"/>
      <w:lang w:val="x-none" w:eastAsia="x-none"/>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lang w:val="x-none" w:eastAsia="x-none"/>
    </w:rPr>
  </w:style>
  <w:style w:type="character" w:customStyle="1" w:styleId="Heading6Char">
    <w:name w:val="Heading 6 Char"/>
    <w:link w:val="Heading6"/>
    <w:rsid w:val="008007A8"/>
    <w:rPr>
      <w:rFonts w:ascii="Cambria" w:eastAsia="MS Mincho" w:hAnsi="Cambria"/>
      <w:i/>
      <w:iCs/>
      <w:color w:val="243F60"/>
      <w:sz w:val="24"/>
      <w:szCs w:val="24"/>
      <w:lang w:val="x-none" w:eastAsia="x-none"/>
    </w:rPr>
  </w:style>
  <w:style w:type="character" w:customStyle="1" w:styleId="Heading7Char">
    <w:name w:val="Heading 7 Char"/>
    <w:link w:val="Heading7"/>
    <w:rsid w:val="008007A8"/>
    <w:rPr>
      <w:rFonts w:ascii="Cambria" w:eastAsia="MS Mincho" w:hAnsi="Cambria"/>
      <w:i/>
      <w:iCs/>
      <w:color w:val="404040"/>
      <w:sz w:val="24"/>
      <w:szCs w:val="24"/>
      <w:lang w:val="x-none" w:eastAsia="x-none"/>
    </w:rPr>
  </w:style>
  <w:style w:type="character" w:customStyle="1" w:styleId="Heading8Char">
    <w:name w:val="Heading 8 Char"/>
    <w:link w:val="Heading8"/>
    <w:rsid w:val="008007A8"/>
    <w:rPr>
      <w:rFonts w:ascii="Cambria" w:eastAsia="MS Mincho" w:hAnsi="Cambria"/>
      <w:color w:val="404040"/>
      <w:lang w:val="x-none" w:eastAsia="x-none"/>
    </w:rPr>
  </w:style>
  <w:style w:type="character" w:customStyle="1" w:styleId="Heading9Char">
    <w:name w:val="Heading 9 Char"/>
    <w:link w:val="Heading9"/>
    <w:rsid w:val="008007A8"/>
    <w:rPr>
      <w:rFonts w:ascii="Cambria" w:eastAsia="MS Mincho" w:hAnsi="Cambria"/>
      <w:i/>
      <w:iCs/>
      <w:color w:val="404040"/>
      <w:lang w:val="x-none" w:eastAsia="x-none"/>
    </w:rPr>
  </w:style>
  <w:style w:type="paragraph" w:styleId="Header">
    <w:name w:val="header"/>
    <w:basedOn w:val="Normal"/>
    <w:link w:val="HeaderChar"/>
    <w:semiHidden/>
    <w:rsid w:val="0090165F"/>
    <w:pPr>
      <w:tabs>
        <w:tab w:val="center" w:pos="4513"/>
        <w:tab w:val="right" w:pos="9026"/>
      </w:tabs>
      <w:spacing w:after="0"/>
    </w:pPr>
    <w:rPr>
      <w:rFonts w:eastAsia="Times New Roman"/>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lang w:val="x-none" w:eastAsia="x-none"/>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customStyle="1" w:styleId="MediumGrid11">
    <w:name w:val="Medium Grid 11"/>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TOCHeading1">
    <w:name w:val="TOC Heading1"/>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rsid w:val="000A1DB8"/>
    <w:rPr>
      <w:rFonts w:ascii="Arial" w:hAnsi="Arial"/>
      <w:sz w:val="20"/>
      <w:vertAlign w:val="superscript"/>
    </w:rPr>
  </w:style>
  <w:style w:type="paragraph" w:styleId="FootnoteText">
    <w:name w:val="footnote text"/>
    <w:basedOn w:val="Normal"/>
    <w:link w:val="FootnoteTextChar"/>
    <w:rsid w:val="000E130A"/>
    <w:pPr>
      <w:spacing w:before="0" w:after="0"/>
    </w:pPr>
    <w:rPr>
      <w:sz w:val="20"/>
      <w:szCs w:val="20"/>
      <w:lang w:val="x-none" w:eastAsia="x-none"/>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b/>
      <w:caps/>
      <w:sz w:val="26"/>
      <w:lang w:val="x-none" w:eastAsia="x-none"/>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lang w:val="x-none" w:eastAsia="x-none"/>
    </w:rPr>
  </w:style>
  <w:style w:type="character" w:customStyle="1" w:styleId="SubmissionNormalChar">
    <w:name w:val="Submission Normal Char"/>
    <w:link w:val="SubmissionNormal"/>
    <w:rsid w:val="00B34946"/>
    <w:rPr>
      <w:rFonts w:ascii="Arial" w:hAnsi="Arial"/>
      <w:sz w:val="24"/>
      <w:szCs w:val="24"/>
      <w:lang w:val="x-none" w:eastAsia="x-none"/>
    </w:rPr>
  </w:style>
  <w:style w:type="paragraph" w:customStyle="1" w:styleId="coveraddresses">
    <w:name w:val="cover addresses"/>
    <w:basedOn w:val="Footer"/>
    <w:qFormat/>
    <w:rsid w:val="0003606D"/>
    <w:pPr>
      <w:spacing w:after="40"/>
    </w:pPr>
    <w:rPr>
      <w:sz w:val="16"/>
      <w:szCs w:val="16"/>
    </w:rPr>
  </w:style>
  <w:style w:type="paragraph" w:customStyle="1" w:styleId="ColorfulList-Accent11">
    <w:name w:val="Colorful List - Accent 11"/>
    <w:basedOn w:val="Normal"/>
    <w:uiPriority w:val="34"/>
    <w:qFormat/>
    <w:rsid w:val="00502B50"/>
    <w:pPr>
      <w:ind w:left="720"/>
      <w:contextualSpacing/>
    </w:pPr>
  </w:style>
  <w:style w:type="character" w:customStyle="1" w:styleId="FootnoteTextChar">
    <w:name w:val="Footnote Text Char"/>
    <w:link w:val="FootnoteText"/>
    <w:rsid w:val="002170DF"/>
    <w:rPr>
      <w:rFonts w:ascii="Arial" w:eastAsia="MS Mincho" w:hAnsi="Arial"/>
    </w:rPr>
  </w:style>
  <w:style w:type="paragraph" w:customStyle="1" w:styleId="Default">
    <w:name w:val="Default"/>
    <w:link w:val="DefaultChar"/>
    <w:rsid w:val="003172FC"/>
    <w:pPr>
      <w:autoSpaceDE w:val="0"/>
      <w:autoSpaceDN w:val="0"/>
      <w:adjustRightInd w:val="0"/>
    </w:pPr>
    <w:rPr>
      <w:rFonts w:ascii="Arial" w:hAnsi="Arial"/>
      <w:color w:val="000000"/>
      <w:sz w:val="24"/>
      <w:szCs w:val="24"/>
    </w:rPr>
  </w:style>
  <w:style w:type="character" w:customStyle="1" w:styleId="A3">
    <w:name w:val="A3"/>
    <w:uiPriority w:val="99"/>
    <w:rsid w:val="003172FC"/>
    <w:rPr>
      <w:color w:val="000000"/>
    </w:rPr>
  </w:style>
  <w:style w:type="character" w:customStyle="1" w:styleId="A35">
    <w:name w:val="A35"/>
    <w:uiPriority w:val="99"/>
    <w:rsid w:val="003172FC"/>
    <w:rPr>
      <w:color w:val="000000"/>
      <w:sz w:val="16"/>
      <w:szCs w:val="16"/>
      <w:u w:val="single"/>
    </w:rPr>
  </w:style>
  <w:style w:type="character" w:customStyle="1" w:styleId="DefaultChar">
    <w:name w:val="Default Char"/>
    <w:link w:val="Default"/>
    <w:locked/>
    <w:rsid w:val="003172FC"/>
    <w:rPr>
      <w:rFonts w:ascii="Arial" w:hAnsi="Arial"/>
      <w:color w:val="000000"/>
      <w:sz w:val="24"/>
      <w:szCs w:val="24"/>
      <w:lang w:bidi="ar-SA"/>
    </w:rPr>
  </w:style>
  <w:style w:type="character" w:styleId="CommentReference">
    <w:name w:val="annotation reference"/>
    <w:locked/>
    <w:rsid w:val="00285650"/>
    <w:rPr>
      <w:sz w:val="16"/>
      <w:szCs w:val="16"/>
    </w:rPr>
  </w:style>
  <w:style w:type="paragraph" w:styleId="CommentText">
    <w:name w:val="annotation text"/>
    <w:basedOn w:val="Normal"/>
    <w:link w:val="CommentTextChar"/>
    <w:locked/>
    <w:rsid w:val="00285650"/>
    <w:rPr>
      <w:sz w:val="20"/>
      <w:szCs w:val="20"/>
      <w:lang w:val="x-none" w:eastAsia="x-none"/>
    </w:rPr>
  </w:style>
  <w:style w:type="character" w:customStyle="1" w:styleId="CommentTextChar">
    <w:name w:val="Comment Text Char"/>
    <w:link w:val="CommentText"/>
    <w:rsid w:val="00285650"/>
    <w:rPr>
      <w:rFonts w:ascii="Arial" w:eastAsia="MS Mincho" w:hAnsi="Arial"/>
    </w:rPr>
  </w:style>
  <w:style w:type="paragraph" w:styleId="CommentSubject">
    <w:name w:val="annotation subject"/>
    <w:basedOn w:val="CommentText"/>
    <w:next w:val="CommentText"/>
    <w:link w:val="CommentSubjectChar"/>
    <w:locked/>
    <w:rsid w:val="00285650"/>
    <w:rPr>
      <w:b/>
      <w:bCs/>
    </w:rPr>
  </w:style>
  <w:style w:type="character" w:customStyle="1" w:styleId="CommentSubjectChar">
    <w:name w:val="Comment Subject Char"/>
    <w:link w:val="CommentSubject"/>
    <w:rsid w:val="00285650"/>
    <w:rPr>
      <w:rFonts w:ascii="Arial" w:eastAsia="MS Mincho" w:hAnsi="Arial"/>
      <w:b/>
      <w:bCs/>
    </w:rPr>
  </w:style>
  <w:style w:type="numbering" w:customStyle="1" w:styleId="Style1">
    <w:name w:val="Style1"/>
    <w:uiPriority w:val="99"/>
    <w:rsid w:val="003921A4"/>
    <w:pPr>
      <w:numPr>
        <w:numId w:val="17"/>
      </w:numPr>
    </w:pPr>
  </w:style>
  <w:style w:type="paragraph" w:customStyle="1" w:styleId="Body">
    <w:name w:val="Body"/>
    <w:rsid w:val="008D51A6"/>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ListParagraph">
    <w:name w:val="List Paragraph"/>
    <w:basedOn w:val="Normal"/>
    <w:uiPriority w:val="34"/>
    <w:qFormat/>
    <w:rsid w:val="00C573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lang w:val="x-none" w:eastAsia="x-none"/>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lang w:val="x-none" w:eastAsia="x-none"/>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lang w:val="x-none" w:eastAsia="x-none"/>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lang w:val="x-none" w:eastAsia="x-none"/>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x-none" w:eastAsia="x-none"/>
    </w:rPr>
  </w:style>
  <w:style w:type="character" w:customStyle="1" w:styleId="Heading2Char">
    <w:name w:val="Heading 2 Char"/>
    <w:link w:val="Heading2"/>
    <w:rsid w:val="008007A8"/>
    <w:rPr>
      <w:rFonts w:ascii="Arial" w:eastAsia="MS Mincho" w:hAnsi="Arial"/>
      <w:b/>
      <w:i/>
      <w:color w:val="000000"/>
      <w:sz w:val="28"/>
      <w:szCs w:val="26"/>
      <w:lang w:val="x-none" w:eastAsia="x-none"/>
    </w:rPr>
  </w:style>
  <w:style w:type="character" w:customStyle="1" w:styleId="Heading3Char">
    <w:name w:val="Heading 3 Char"/>
    <w:link w:val="Heading3"/>
    <w:rsid w:val="008007A8"/>
    <w:rPr>
      <w:rFonts w:ascii="Arial" w:eastAsia="MS Mincho" w:hAnsi="Arial"/>
      <w:bCs/>
      <w:i/>
      <w:sz w:val="24"/>
      <w:szCs w:val="26"/>
      <w:lang w:val="x-none" w:eastAsia="x-none"/>
    </w:rPr>
  </w:style>
  <w:style w:type="character" w:customStyle="1" w:styleId="Heading4Char">
    <w:name w:val="Heading 4 Char"/>
    <w:link w:val="Heading4"/>
    <w:rsid w:val="008007A8"/>
    <w:rPr>
      <w:rFonts w:ascii="Arial" w:eastAsia="MS Mincho" w:hAnsi="Arial"/>
      <w:iCs/>
      <w:sz w:val="24"/>
      <w:szCs w:val="26"/>
      <w:lang w:val="x-none" w:eastAsia="x-none"/>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lang w:val="x-none" w:eastAsia="x-none"/>
    </w:rPr>
  </w:style>
  <w:style w:type="character" w:customStyle="1" w:styleId="Heading6Char">
    <w:name w:val="Heading 6 Char"/>
    <w:link w:val="Heading6"/>
    <w:rsid w:val="008007A8"/>
    <w:rPr>
      <w:rFonts w:ascii="Cambria" w:eastAsia="MS Mincho" w:hAnsi="Cambria"/>
      <w:i/>
      <w:iCs/>
      <w:color w:val="243F60"/>
      <w:sz w:val="24"/>
      <w:szCs w:val="24"/>
      <w:lang w:val="x-none" w:eastAsia="x-none"/>
    </w:rPr>
  </w:style>
  <w:style w:type="character" w:customStyle="1" w:styleId="Heading7Char">
    <w:name w:val="Heading 7 Char"/>
    <w:link w:val="Heading7"/>
    <w:rsid w:val="008007A8"/>
    <w:rPr>
      <w:rFonts w:ascii="Cambria" w:eastAsia="MS Mincho" w:hAnsi="Cambria"/>
      <w:i/>
      <w:iCs/>
      <w:color w:val="404040"/>
      <w:sz w:val="24"/>
      <w:szCs w:val="24"/>
      <w:lang w:val="x-none" w:eastAsia="x-none"/>
    </w:rPr>
  </w:style>
  <w:style w:type="character" w:customStyle="1" w:styleId="Heading8Char">
    <w:name w:val="Heading 8 Char"/>
    <w:link w:val="Heading8"/>
    <w:rsid w:val="008007A8"/>
    <w:rPr>
      <w:rFonts w:ascii="Cambria" w:eastAsia="MS Mincho" w:hAnsi="Cambria"/>
      <w:color w:val="404040"/>
      <w:lang w:val="x-none" w:eastAsia="x-none"/>
    </w:rPr>
  </w:style>
  <w:style w:type="character" w:customStyle="1" w:styleId="Heading9Char">
    <w:name w:val="Heading 9 Char"/>
    <w:link w:val="Heading9"/>
    <w:rsid w:val="008007A8"/>
    <w:rPr>
      <w:rFonts w:ascii="Cambria" w:eastAsia="MS Mincho" w:hAnsi="Cambria"/>
      <w:i/>
      <w:iCs/>
      <w:color w:val="404040"/>
      <w:lang w:val="x-none" w:eastAsia="x-none"/>
    </w:rPr>
  </w:style>
  <w:style w:type="paragraph" w:styleId="Header">
    <w:name w:val="header"/>
    <w:basedOn w:val="Normal"/>
    <w:link w:val="HeaderChar"/>
    <w:semiHidden/>
    <w:rsid w:val="0090165F"/>
    <w:pPr>
      <w:tabs>
        <w:tab w:val="center" w:pos="4513"/>
        <w:tab w:val="right" w:pos="9026"/>
      </w:tabs>
      <w:spacing w:after="0"/>
    </w:pPr>
    <w:rPr>
      <w:rFonts w:eastAsia="Times New Roman"/>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lang w:val="x-none" w:eastAsia="x-none"/>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customStyle="1" w:styleId="MediumGrid11">
    <w:name w:val="Medium Grid 11"/>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TOCHeading1">
    <w:name w:val="TOC Heading1"/>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rsid w:val="000A1DB8"/>
    <w:rPr>
      <w:rFonts w:ascii="Arial" w:hAnsi="Arial"/>
      <w:sz w:val="20"/>
      <w:vertAlign w:val="superscript"/>
    </w:rPr>
  </w:style>
  <w:style w:type="paragraph" w:styleId="FootnoteText">
    <w:name w:val="footnote text"/>
    <w:basedOn w:val="Normal"/>
    <w:link w:val="FootnoteTextChar"/>
    <w:rsid w:val="000E130A"/>
    <w:pPr>
      <w:spacing w:before="0" w:after="0"/>
    </w:pPr>
    <w:rPr>
      <w:sz w:val="20"/>
      <w:szCs w:val="20"/>
      <w:lang w:val="x-none" w:eastAsia="x-none"/>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b/>
      <w:caps/>
      <w:sz w:val="26"/>
      <w:lang w:val="x-none" w:eastAsia="x-none"/>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lang w:val="x-none" w:eastAsia="x-none"/>
    </w:rPr>
  </w:style>
  <w:style w:type="character" w:customStyle="1" w:styleId="SubmissionNormalChar">
    <w:name w:val="Submission Normal Char"/>
    <w:link w:val="SubmissionNormal"/>
    <w:rsid w:val="00B34946"/>
    <w:rPr>
      <w:rFonts w:ascii="Arial" w:hAnsi="Arial"/>
      <w:sz w:val="24"/>
      <w:szCs w:val="24"/>
      <w:lang w:val="x-none" w:eastAsia="x-none"/>
    </w:rPr>
  </w:style>
  <w:style w:type="paragraph" w:customStyle="1" w:styleId="coveraddresses">
    <w:name w:val="cover addresses"/>
    <w:basedOn w:val="Footer"/>
    <w:qFormat/>
    <w:rsid w:val="0003606D"/>
    <w:pPr>
      <w:spacing w:after="40"/>
    </w:pPr>
    <w:rPr>
      <w:sz w:val="16"/>
      <w:szCs w:val="16"/>
    </w:rPr>
  </w:style>
  <w:style w:type="paragraph" w:customStyle="1" w:styleId="ColorfulList-Accent11">
    <w:name w:val="Colorful List - Accent 11"/>
    <w:basedOn w:val="Normal"/>
    <w:uiPriority w:val="34"/>
    <w:qFormat/>
    <w:rsid w:val="00502B50"/>
    <w:pPr>
      <w:ind w:left="720"/>
      <w:contextualSpacing/>
    </w:pPr>
  </w:style>
  <w:style w:type="character" w:customStyle="1" w:styleId="FootnoteTextChar">
    <w:name w:val="Footnote Text Char"/>
    <w:link w:val="FootnoteText"/>
    <w:rsid w:val="002170DF"/>
    <w:rPr>
      <w:rFonts w:ascii="Arial" w:eastAsia="MS Mincho" w:hAnsi="Arial"/>
    </w:rPr>
  </w:style>
  <w:style w:type="paragraph" w:customStyle="1" w:styleId="Default">
    <w:name w:val="Default"/>
    <w:link w:val="DefaultChar"/>
    <w:rsid w:val="003172FC"/>
    <w:pPr>
      <w:autoSpaceDE w:val="0"/>
      <w:autoSpaceDN w:val="0"/>
      <w:adjustRightInd w:val="0"/>
    </w:pPr>
    <w:rPr>
      <w:rFonts w:ascii="Arial" w:hAnsi="Arial"/>
      <w:color w:val="000000"/>
      <w:sz w:val="24"/>
      <w:szCs w:val="24"/>
    </w:rPr>
  </w:style>
  <w:style w:type="character" w:customStyle="1" w:styleId="A3">
    <w:name w:val="A3"/>
    <w:uiPriority w:val="99"/>
    <w:rsid w:val="003172FC"/>
    <w:rPr>
      <w:color w:val="000000"/>
    </w:rPr>
  </w:style>
  <w:style w:type="character" w:customStyle="1" w:styleId="A35">
    <w:name w:val="A35"/>
    <w:uiPriority w:val="99"/>
    <w:rsid w:val="003172FC"/>
    <w:rPr>
      <w:color w:val="000000"/>
      <w:sz w:val="16"/>
      <w:szCs w:val="16"/>
      <w:u w:val="single"/>
    </w:rPr>
  </w:style>
  <w:style w:type="character" w:customStyle="1" w:styleId="DefaultChar">
    <w:name w:val="Default Char"/>
    <w:link w:val="Default"/>
    <w:locked/>
    <w:rsid w:val="003172FC"/>
    <w:rPr>
      <w:rFonts w:ascii="Arial" w:hAnsi="Arial"/>
      <w:color w:val="000000"/>
      <w:sz w:val="24"/>
      <w:szCs w:val="24"/>
      <w:lang w:bidi="ar-SA"/>
    </w:rPr>
  </w:style>
  <w:style w:type="character" w:styleId="CommentReference">
    <w:name w:val="annotation reference"/>
    <w:locked/>
    <w:rsid w:val="00285650"/>
    <w:rPr>
      <w:sz w:val="16"/>
      <w:szCs w:val="16"/>
    </w:rPr>
  </w:style>
  <w:style w:type="paragraph" w:styleId="CommentText">
    <w:name w:val="annotation text"/>
    <w:basedOn w:val="Normal"/>
    <w:link w:val="CommentTextChar"/>
    <w:locked/>
    <w:rsid w:val="00285650"/>
    <w:rPr>
      <w:sz w:val="20"/>
      <w:szCs w:val="20"/>
      <w:lang w:val="x-none" w:eastAsia="x-none"/>
    </w:rPr>
  </w:style>
  <w:style w:type="character" w:customStyle="1" w:styleId="CommentTextChar">
    <w:name w:val="Comment Text Char"/>
    <w:link w:val="CommentText"/>
    <w:rsid w:val="00285650"/>
    <w:rPr>
      <w:rFonts w:ascii="Arial" w:eastAsia="MS Mincho" w:hAnsi="Arial"/>
    </w:rPr>
  </w:style>
  <w:style w:type="paragraph" w:styleId="CommentSubject">
    <w:name w:val="annotation subject"/>
    <w:basedOn w:val="CommentText"/>
    <w:next w:val="CommentText"/>
    <w:link w:val="CommentSubjectChar"/>
    <w:locked/>
    <w:rsid w:val="00285650"/>
    <w:rPr>
      <w:b/>
      <w:bCs/>
    </w:rPr>
  </w:style>
  <w:style w:type="character" w:customStyle="1" w:styleId="CommentSubjectChar">
    <w:name w:val="Comment Subject Char"/>
    <w:link w:val="CommentSubject"/>
    <w:rsid w:val="00285650"/>
    <w:rPr>
      <w:rFonts w:ascii="Arial" w:eastAsia="MS Mincho" w:hAnsi="Arial"/>
      <w:b/>
      <w:bCs/>
    </w:rPr>
  </w:style>
  <w:style w:type="numbering" w:customStyle="1" w:styleId="Style1">
    <w:name w:val="Style1"/>
    <w:uiPriority w:val="99"/>
    <w:rsid w:val="003921A4"/>
    <w:pPr>
      <w:numPr>
        <w:numId w:val="17"/>
      </w:numPr>
    </w:pPr>
  </w:style>
  <w:style w:type="paragraph" w:customStyle="1" w:styleId="Body">
    <w:name w:val="Body"/>
    <w:rsid w:val="008D51A6"/>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ListParagraph">
    <w:name w:val="List Paragraph"/>
    <w:basedOn w:val="Normal"/>
    <w:uiPriority w:val="34"/>
    <w:qFormat/>
    <w:rsid w:val="00C57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1605">
      <w:bodyDiv w:val="1"/>
      <w:marLeft w:val="0"/>
      <w:marRight w:val="0"/>
      <w:marTop w:val="0"/>
      <w:marBottom w:val="0"/>
      <w:divBdr>
        <w:top w:val="none" w:sz="0" w:space="0" w:color="auto"/>
        <w:left w:val="none" w:sz="0" w:space="0" w:color="auto"/>
        <w:bottom w:val="none" w:sz="0" w:space="0" w:color="auto"/>
        <w:right w:val="none" w:sz="0" w:space="0" w:color="auto"/>
      </w:divBdr>
    </w:div>
    <w:div w:id="633103550">
      <w:bodyDiv w:val="1"/>
      <w:marLeft w:val="0"/>
      <w:marRight w:val="0"/>
      <w:marTop w:val="0"/>
      <w:marBottom w:val="0"/>
      <w:divBdr>
        <w:top w:val="none" w:sz="0" w:space="0" w:color="auto"/>
        <w:left w:val="none" w:sz="0" w:space="0" w:color="auto"/>
        <w:bottom w:val="none" w:sz="0" w:space="0" w:color="auto"/>
        <w:right w:val="none" w:sz="0" w:space="0" w:color="auto"/>
      </w:divBdr>
      <w:divsChild>
        <w:div w:id="445806621">
          <w:marLeft w:val="0"/>
          <w:marRight w:val="0"/>
          <w:marTop w:val="0"/>
          <w:marBottom w:val="0"/>
          <w:divBdr>
            <w:top w:val="none" w:sz="0" w:space="0" w:color="auto"/>
            <w:left w:val="none" w:sz="0" w:space="0" w:color="auto"/>
            <w:bottom w:val="none" w:sz="0" w:space="0" w:color="auto"/>
            <w:right w:val="none" w:sz="0" w:space="0" w:color="auto"/>
          </w:divBdr>
          <w:divsChild>
            <w:div w:id="10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19348528">
      <w:bodyDiv w:val="1"/>
      <w:marLeft w:val="0"/>
      <w:marRight w:val="0"/>
      <w:marTop w:val="0"/>
      <w:marBottom w:val="0"/>
      <w:divBdr>
        <w:top w:val="none" w:sz="0" w:space="0" w:color="auto"/>
        <w:left w:val="none" w:sz="0" w:space="0" w:color="auto"/>
        <w:bottom w:val="none" w:sz="0" w:space="0" w:color="auto"/>
        <w:right w:val="none" w:sz="0" w:space="0" w:color="auto"/>
      </w:divBdr>
      <w:divsChild>
        <w:div w:id="1780567884">
          <w:marLeft w:val="0"/>
          <w:marRight w:val="0"/>
          <w:marTop w:val="0"/>
          <w:marBottom w:val="0"/>
          <w:divBdr>
            <w:top w:val="none" w:sz="0" w:space="0" w:color="auto"/>
            <w:left w:val="none" w:sz="0" w:space="0" w:color="auto"/>
            <w:bottom w:val="none" w:sz="0" w:space="0" w:color="auto"/>
            <w:right w:val="none" w:sz="0" w:space="0" w:color="auto"/>
          </w:divBdr>
          <w:divsChild>
            <w:div w:id="8898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44278993">
      <w:bodyDiv w:val="1"/>
      <w:marLeft w:val="0"/>
      <w:marRight w:val="0"/>
      <w:marTop w:val="0"/>
      <w:marBottom w:val="0"/>
      <w:divBdr>
        <w:top w:val="none" w:sz="0" w:space="0" w:color="auto"/>
        <w:left w:val="none" w:sz="0" w:space="0" w:color="auto"/>
        <w:bottom w:val="none" w:sz="0" w:space="0" w:color="auto"/>
        <w:right w:val="none" w:sz="0" w:space="0" w:color="auto"/>
      </w:divBdr>
    </w:div>
    <w:div w:id="1259871135">
      <w:bodyDiv w:val="1"/>
      <w:marLeft w:val="0"/>
      <w:marRight w:val="0"/>
      <w:marTop w:val="0"/>
      <w:marBottom w:val="0"/>
      <w:divBdr>
        <w:top w:val="none" w:sz="0" w:space="0" w:color="auto"/>
        <w:left w:val="none" w:sz="0" w:space="0" w:color="auto"/>
        <w:bottom w:val="none" w:sz="0" w:space="0" w:color="auto"/>
        <w:right w:val="none" w:sz="0" w:space="0" w:color="auto"/>
      </w:divBdr>
    </w:div>
    <w:div w:id="1529565256">
      <w:bodyDiv w:val="1"/>
      <w:marLeft w:val="0"/>
      <w:marRight w:val="0"/>
      <w:marTop w:val="0"/>
      <w:marBottom w:val="0"/>
      <w:divBdr>
        <w:top w:val="none" w:sz="0" w:space="0" w:color="auto"/>
        <w:left w:val="none" w:sz="0" w:space="0" w:color="auto"/>
        <w:bottom w:val="none" w:sz="0" w:space="0" w:color="auto"/>
        <w:right w:val="none" w:sz="0" w:space="0" w:color="auto"/>
      </w:divBdr>
    </w:div>
    <w:div w:id="1593854303">
      <w:bodyDiv w:val="1"/>
      <w:marLeft w:val="0"/>
      <w:marRight w:val="0"/>
      <w:marTop w:val="0"/>
      <w:marBottom w:val="0"/>
      <w:divBdr>
        <w:top w:val="none" w:sz="0" w:space="0" w:color="auto"/>
        <w:left w:val="none" w:sz="0" w:space="0" w:color="auto"/>
        <w:bottom w:val="none" w:sz="0" w:space="0" w:color="auto"/>
        <w:right w:val="none" w:sz="0" w:space="0" w:color="auto"/>
      </w:divBdr>
    </w:div>
    <w:div w:id="1730224075">
      <w:bodyDiv w:val="1"/>
      <w:marLeft w:val="0"/>
      <w:marRight w:val="0"/>
      <w:marTop w:val="0"/>
      <w:marBottom w:val="0"/>
      <w:divBdr>
        <w:top w:val="none" w:sz="0" w:space="0" w:color="auto"/>
        <w:left w:val="none" w:sz="0" w:space="0" w:color="auto"/>
        <w:bottom w:val="none" w:sz="0" w:space="0" w:color="auto"/>
        <w:right w:val="none" w:sz="0" w:space="0" w:color="auto"/>
      </w:divBdr>
    </w:div>
    <w:div w:id="1834637534">
      <w:bodyDiv w:val="1"/>
      <w:marLeft w:val="0"/>
      <w:marRight w:val="0"/>
      <w:marTop w:val="0"/>
      <w:marBottom w:val="0"/>
      <w:divBdr>
        <w:top w:val="none" w:sz="0" w:space="0" w:color="auto"/>
        <w:left w:val="none" w:sz="0" w:space="0" w:color="auto"/>
        <w:bottom w:val="none" w:sz="0" w:space="0" w:color="auto"/>
        <w:right w:val="none" w:sz="0" w:space="0" w:color="auto"/>
      </w:divBdr>
    </w:div>
    <w:div w:id="188980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humanrights.gov.au/sites/default/files/document/publication/NIRV.pdf" TargetMode="External"/><Relationship Id="rId13" Type="http://schemas.openxmlformats.org/officeDocument/2006/relationships/hyperlink" Target="http://multimedia.justice.vic.gov.au/comms/Koori/resources/Victorian_Aboriginal_Justice_Agreement/phase2/index.html" TargetMode="External"/><Relationship Id="rId18" Type="http://schemas.openxmlformats.org/officeDocument/2006/relationships/hyperlink" Target="http://www.aihw.gov.au/WorkArea/DownloadAsset.aspx?id=10737418955" TargetMode="External"/><Relationship Id="rId26" Type="http://schemas.openxmlformats.org/officeDocument/2006/relationships/hyperlink" Target="http://www.biomedcentral.com/1471-2458/11/656" TargetMode="External"/><Relationship Id="rId3" Type="http://schemas.openxmlformats.org/officeDocument/2006/relationships/hyperlink" Target="http://www.uws.edu.au/social_sciences/soss/research/challenging_racism/findings_by_region" TargetMode="External"/><Relationship Id="rId21" Type="http://schemas.openxmlformats.org/officeDocument/2006/relationships/hyperlink" Target="http://onlinelibrary.wiley.com/doi/10.1111/j.1753-6405.2007.00079.x/abstract" TargetMode="External"/><Relationship Id="rId34" Type="http://schemas.openxmlformats.org/officeDocument/2006/relationships/hyperlink" Target="https://www.oxfam.org.au/my/act/sign-the-close-the-gap-pledge" TargetMode="External"/><Relationship Id="rId7" Type="http://schemas.openxmlformats.org/officeDocument/2006/relationships/hyperlink" Target="http://www.vichealth.vic.gov.au/Publications/Freedom-from-discrimination/Building-on-our-strengths.aspx" TargetMode="External"/><Relationship Id="rId12" Type="http://schemas.openxmlformats.org/officeDocument/2006/relationships/hyperlink" Target="https://www.mja.com.au/journal/2005/182/10/rates-percutaneous-coronary-interventions-and-bypass-surgery-after-acute" TargetMode="External"/><Relationship Id="rId17" Type="http://schemas.openxmlformats.org/officeDocument/2006/relationships/hyperlink" Target="http://www.scanlonfoundation.org.au/docs/2013_SocC_report_final.pdf" TargetMode="External"/><Relationship Id="rId25" Type="http://schemas.openxmlformats.org/officeDocument/2006/relationships/hyperlink" Target="http://www.biomedcentral.com/1471-2458/12/131" TargetMode="External"/><Relationship Id="rId33" Type="http://schemas.openxmlformats.org/officeDocument/2006/relationships/hyperlink" Target="http://www.humanrights.gov.au/publications/social-justice-report-2005-home" TargetMode="External"/><Relationship Id="rId2" Type="http://schemas.openxmlformats.org/officeDocument/2006/relationships/hyperlink" Target="http://www.arts.monash.edu.au/mapping-population/scanlon-foundation-surveys.php" TargetMode="External"/><Relationship Id="rId16" Type="http://schemas.openxmlformats.org/officeDocument/2006/relationships/hyperlink" Target="http://www.lowitja.org.au/sites/default/files/docs/Chairperson-unsw-public-health-symposium-oct2013_0.pdf" TargetMode="External"/><Relationship Id="rId20" Type="http://schemas.openxmlformats.org/officeDocument/2006/relationships/hyperlink" Target="https://www.humanrights.gov.au/news/speeches/moral-solidarity-race-and-recognition" TargetMode="External"/><Relationship Id="rId29" Type="http://schemas.openxmlformats.org/officeDocument/2006/relationships/hyperlink" Target="http://www.attorneygeneral.gov.au/Mediareleases/Pages/2014/First%20Quarter/25March2014-RacialDiscriminationAct.aspx" TargetMode="External"/><Relationship Id="rId1" Type="http://schemas.openxmlformats.org/officeDocument/2006/relationships/hyperlink" Target="https://www.humanrights.gov.au/submissions/amendments-part-iia-racial-discrimination-act-1975" TargetMode="External"/><Relationship Id="rId6" Type="http://schemas.openxmlformats.org/officeDocument/2006/relationships/hyperlink" Target="https://www.lowitja.org.au/sites/default/files/docs/LEAD%20Report-WEB_0.pdf" TargetMode="External"/><Relationship Id="rId11" Type="http://schemas.openxmlformats.org/officeDocument/2006/relationships/hyperlink" Target="http://www.thelancet.com/journals/lancet/article/PIIS0140-6736(06)68806-5/fulltext" TargetMode="External"/><Relationship Id="rId24" Type="http://schemas.openxmlformats.org/officeDocument/2006/relationships/hyperlink" Target="http://onlinelibrary.wiley.com/doi/10.1111/j.1753-6405.2011.00681.x/abstract" TargetMode="External"/><Relationship Id="rId32" Type="http://schemas.openxmlformats.org/officeDocument/2006/relationships/hyperlink" Target="http://www.humanrights.gov.au/news/stories/race-law-changes-seriously-undermine-protections" TargetMode="External"/><Relationship Id="rId5" Type="http://schemas.openxmlformats.org/officeDocument/2006/relationships/hyperlink" Target="http://www.reconciliation.org.au/wp-content/uploads/2013/12/2012-Australian-Reconciliation-Barometer-Report-by-Auspoll.pdf" TargetMode="External"/><Relationship Id="rId15" Type="http://schemas.openxmlformats.org/officeDocument/2006/relationships/hyperlink" Target="http://www.tandfonline.com/doi/abs/10.1080/13803611.2010.550497" TargetMode="External"/><Relationship Id="rId23" Type="http://schemas.openxmlformats.org/officeDocument/2006/relationships/hyperlink" Target="http://www.biomedcentral.com/1471-2458/11/568" TargetMode="External"/><Relationship Id="rId28" Type="http://schemas.openxmlformats.org/officeDocument/2006/relationships/hyperlink" Target="https://www.humanrights.gov.au/sites/default/files/18C%20%26%20D%20FactsheetFINAL.pdf" TargetMode="External"/><Relationship Id="rId10" Type="http://schemas.openxmlformats.org/officeDocument/2006/relationships/hyperlink" Target="https://www.mja.com.au/journal/2004/181/4/treatment-patterns-cancer-western-australia-does-being-indigenous-make-difference" TargetMode="External"/><Relationship Id="rId19" Type="http://schemas.openxmlformats.org/officeDocument/2006/relationships/hyperlink" Target="http://theconversation.com/indigenous-students-skipping-school-to-avoid-bullying-and-racism-25433" TargetMode="External"/><Relationship Id="rId31" Type="http://schemas.openxmlformats.org/officeDocument/2006/relationships/hyperlink" Target="http://www.humanrightscommission.vic.gov.au/index.php/news-and-events/commission-news/item/778-submission-to-proposed-amendments-to-racial-discrimination-act" TargetMode="External"/><Relationship Id="rId4" Type="http://schemas.openxmlformats.org/officeDocument/2006/relationships/hyperlink" Target="http://www.abs.gov.au/AUSSTATS/abs@.nsf/lookup/4704.0Chapter450Oct+2010" TargetMode="External"/><Relationship Id="rId9" Type="http://schemas.openxmlformats.org/officeDocument/2006/relationships/hyperlink" Target="https://www.mja.com.au/journal/2002/176/2/diagnostic-and-therapeutic-procedures-among-australian-hospital-patients" TargetMode="External"/><Relationship Id="rId14" Type="http://schemas.openxmlformats.org/officeDocument/2006/relationships/hyperlink" Target="http://papers.ssrn.com/sol3/papers.cfm?abstract_id=1521229" TargetMode="External"/><Relationship Id="rId22" Type="http://schemas.openxmlformats.org/officeDocument/2006/relationships/hyperlink" Target="https://www.mja.com.au/journal/2011/194/10/racism-determinant-social-and-emotional-wellbeing-aboriginal-australian-youth" TargetMode="External"/><Relationship Id="rId27" Type="http://schemas.openxmlformats.org/officeDocument/2006/relationships/hyperlink" Target="http://www.lowitja.org.au/sites/default/files/docs/Indigenous-BoD-Report.pdf" TargetMode="External"/><Relationship Id="rId30" Type="http://schemas.openxmlformats.org/officeDocument/2006/relationships/hyperlink" Target="http://www.attorneygeneral.gov.au/transcripts/Pages/2014/First%20Quarter/25March2014-PressConference-ParliamentHouse.aspx" TargetMode="External"/><Relationship Id="rId35" Type="http://schemas.openxmlformats.org/officeDocument/2006/relationships/hyperlink" Target="http://www.federalfinancialrelations.gov.au/content/npa/health_indigenous/indigenous-reform/national-agreement_sept_12.pdf"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33C76-4B64-4B0D-8866-9EDB2DF8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7000</Words>
  <Characters>39960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Year</vt:lpstr>
    </vt:vector>
  </TitlesOfParts>
  <Company>Australian Human Rights Commission</Company>
  <LinksUpToDate>false</LinksUpToDate>
  <CharactersWithSpaces>46867</CharactersWithSpaces>
  <SharedDoc>false</SharedDoc>
  <HLinks>
    <vt:vector size="72" baseType="variant">
      <vt:variant>
        <vt:i4>1114168</vt:i4>
      </vt:variant>
      <vt:variant>
        <vt:i4>38</vt:i4>
      </vt:variant>
      <vt:variant>
        <vt:i4>0</vt:i4>
      </vt:variant>
      <vt:variant>
        <vt:i4>5</vt:i4>
      </vt:variant>
      <vt:variant>
        <vt:lpwstr/>
      </vt:variant>
      <vt:variant>
        <vt:lpwstr>_Toc374364960</vt:lpwstr>
      </vt:variant>
      <vt:variant>
        <vt:i4>1179704</vt:i4>
      </vt:variant>
      <vt:variant>
        <vt:i4>32</vt:i4>
      </vt:variant>
      <vt:variant>
        <vt:i4>0</vt:i4>
      </vt:variant>
      <vt:variant>
        <vt:i4>5</vt:i4>
      </vt:variant>
      <vt:variant>
        <vt:lpwstr/>
      </vt:variant>
      <vt:variant>
        <vt:lpwstr>_Toc374364959</vt:lpwstr>
      </vt:variant>
      <vt:variant>
        <vt:i4>1179704</vt:i4>
      </vt:variant>
      <vt:variant>
        <vt:i4>26</vt:i4>
      </vt:variant>
      <vt:variant>
        <vt:i4>0</vt:i4>
      </vt:variant>
      <vt:variant>
        <vt:i4>5</vt:i4>
      </vt:variant>
      <vt:variant>
        <vt:lpwstr/>
      </vt:variant>
      <vt:variant>
        <vt:lpwstr>_Toc374364958</vt:lpwstr>
      </vt:variant>
      <vt:variant>
        <vt:i4>1179704</vt:i4>
      </vt:variant>
      <vt:variant>
        <vt:i4>20</vt:i4>
      </vt:variant>
      <vt:variant>
        <vt:i4>0</vt:i4>
      </vt:variant>
      <vt:variant>
        <vt:i4>5</vt:i4>
      </vt:variant>
      <vt:variant>
        <vt:lpwstr/>
      </vt:variant>
      <vt:variant>
        <vt:lpwstr>_Toc374364957</vt:lpwstr>
      </vt:variant>
      <vt:variant>
        <vt:i4>1179704</vt:i4>
      </vt:variant>
      <vt:variant>
        <vt:i4>14</vt:i4>
      </vt:variant>
      <vt:variant>
        <vt:i4>0</vt:i4>
      </vt:variant>
      <vt:variant>
        <vt:i4>5</vt:i4>
      </vt:variant>
      <vt:variant>
        <vt:lpwstr/>
      </vt:variant>
      <vt:variant>
        <vt:lpwstr>_Toc374364956</vt:lpwstr>
      </vt:variant>
      <vt:variant>
        <vt:i4>1179704</vt:i4>
      </vt:variant>
      <vt:variant>
        <vt:i4>8</vt:i4>
      </vt:variant>
      <vt:variant>
        <vt:i4>0</vt:i4>
      </vt:variant>
      <vt:variant>
        <vt:i4>5</vt:i4>
      </vt:variant>
      <vt:variant>
        <vt:lpwstr/>
      </vt:variant>
      <vt:variant>
        <vt:lpwstr>_Toc374364955</vt:lpwstr>
      </vt:variant>
      <vt:variant>
        <vt:i4>2490444</vt:i4>
      </vt:variant>
      <vt:variant>
        <vt:i4>2</vt:i4>
      </vt:variant>
      <vt:variant>
        <vt:i4>0</vt:i4>
      </vt:variant>
      <vt:variant>
        <vt:i4>5</vt:i4>
      </vt:variant>
      <vt:variant>
        <vt:lpwstr>\\fileshare\groups\spt\External Projects\Social Justice. Close The Gap 13.14\CTG\Submissions\Employment and training review\2013.12.04 CTG Employment and training review.doc</vt:lpwstr>
      </vt:variant>
      <vt:variant>
        <vt:lpwstr>_Toc374364954</vt:lpwstr>
      </vt:variant>
      <vt:variant>
        <vt:i4>3604537</vt:i4>
      </vt:variant>
      <vt:variant>
        <vt:i4>12</vt:i4>
      </vt:variant>
      <vt:variant>
        <vt:i4>0</vt:i4>
      </vt:variant>
      <vt:variant>
        <vt:i4>5</vt:i4>
      </vt:variant>
      <vt:variant>
        <vt:lpwstr>https://www.humanrights.gov.au/publications/social-justice-report-2005-home</vt:lpwstr>
      </vt:variant>
      <vt:variant>
        <vt:lpwstr/>
      </vt:variant>
      <vt:variant>
        <vt:i4>5177367</vt:i4>
      </vt:variant>
      <vt:variant>
        <vt:i4>9</vt:i4>
      </vt:variant>
      <vt:variant>
        <vt:i4>0</vt:i4>
      </vt:variant>
      <vt:variant>
        <vt:i4>5</vt:i4>
      </vt:variant>
      <vt:variant>
        <vt:lpwstr>https://www.health.gov.au/internet/main/publishing.nsf/Content/review-australian-government-health-workforce-programs</vt:lpwstr>
      </vt:variant>
      <vt:variant>
        <vt:lpwstr/>
      </vt:variant>
      <vt:variant>
        <vt:i4>6291576</vt:i4>
      </vt:variant>
      <vt:variant>
        <vt:i4>6</vt:i4>
      </vt:variant>
      <vt:variant>
        <vt:i4>0</vt:i4>
      </vt:variant>
      <vt:variant>
        <vt:i4>5</vt:i4>
      </vt:variant>
      <vt:variant>
        <vt:lpwstr>http://www.health.gov.au/indigenous-hpf</vt:lpwstr>
      </vt:variant>
      <vt:variant>
        <vt:lpwstr/>
      </vt:variant>
      <vt:variant>
        <vt:i4>3538998</vt:i4>
      </vt:variant>
      <vt:variant>
        <vt:i4>3</vt:i4>
      </vt:variant>
      <vt:variant>
        <vt:i4>0</vt:i4>
      </vt:variant>
      <vt:variant>
        <vt:i4>5</vt:i4>
      </vt:variant>
      <vt:variant>
        <vt:lpwstr>http://www.abs.gov.au/websitedbs/censushome.nsf/home/CO-64?opendocument&amp;navpos=620</vt:lpwstr>
      </vt:variant>
      <vt:variant>
        <vt:lpwstr>industry</vt:lpwstr>
      </vt:variant>
      <vt:variant>
        <vt:i4>3735593</vt:i4>
      </vt:variant>
      <vt:variant>
        <vt:i4>0</vt:i4>
      </vt:variant>
      <vt:variant>
        <vt:i4>0</vt:i4>
      </vt:variant>
      <vt:variant>
        <vt:i4>5</vt:i4>
      </vt:variant>
      <vt:variant>
        <vt:lpwstr>http://www.pc.gov.au/gsp/indigenous/key-indicators-2011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Andrew Gargett</dc:creator>
  <cp:lastModifiedBy>Andrew Gargett</cp:lastModifiedBy>
  <cp:revision>3</cp:revision>
  <cp:lastPrinted>2014-04-29T07:45:00Z</cp:lastPrinted>
  <dcterms:created xsi:type="dcterms:W3CDTF">2014-04-29T07:45:00Z</dcterms:created>
  <dcterms:modified xsi:type="dcterms:W3CDTF">2014-04-29T07:54:00Z</dcterms:modified>
</cp:coreProperties>
</file>