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8" w:rsidRPr="005262E5" w:rsidRDefault="00656DED" w:rsidP="004E20C1">
      <w:pPr>
        <w:pStyle w:val="MainTitle"/>
        <w:spacing w:before="480" w:after="120"/>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035752" w:rsidP="00960EFD">
      <w:pPr>
        <w:pStyle w:val="TitlewithLine"/>
      </w:pPr>
      <w:bookmarkStart w:id="0" w:name="_Toc209316062"/>
      <w:bookmarkEnd w:id="0"/>
      <w:r>
        <w:t xml:space="preserve">Changes made to the </w:t>
      </w:r>
      <w:r w:rsidRPr="00035752">
        <w:rPr>
          <w:i/>
        </w:rPr>
        <w:t>Australian Human Rights Commission Act 1986</w:t>
      </w:r>
      <w:r>
        <w:t xml:space="preserve"> (April 2017)</w:t>
      </w:r>
    </w:p>
    <w:p w:rsidR="00035752" w:rsidRPr="00781E03" w:rsidRDefault="00035752" w:rsidP="00035752">
      <w:pPr>
        <w:spacing w:before="0" w:after="0"/>
        <w:rPr>
          <w:rFonts w:cs="Arial"/>
          <w:b/>
          <w:color w:val="0070C0"/>
          <w:u w:val="single"/>
        </w:rPr>
      </w:pPr>
      <w:r w:rsidRPr="00781E03">
        <w:rPr>
          <w:rFonts w:cs="Arial"/>
          <w:b/>
          <w:color w:val="0070C0"/>
          <w:u w:val="single"/>
        </w:rPr>
        <w:t>Key changes at a glance</w:t>
      </w:r>
    </w:p>
    <w:p w:rsidR="00035752" w:rsidRPr="00781E03" w:rsidRDefault="00035752" w:rsidP="00035752">
      <w:pPr>
        <w:spacing w:before="0" w:after="0"/>
        <w:rPr>
          <w:rFonts w:cs="Arial"/>
          <w:b/>
          <w:color w:val="000000" w:themeColor="text1"/>
          <w:szCs w:val="22"/>
        </w:rPr>
      </w:pPr>
    </w:p>
    <w:p w:rsidR="00035752" w:rsidRPr="00781E03" w:rsidRDefault="00E34EC6" w:rsidP="00035752">
      <w:pPr>
        <w:spacing w:before="0" w:after="0"/>
        <w:rPr>
          <w:rFonts w:cs="Arial"/>
          <w:color w:val="000000" w:themeColor="text1"/>
          <w:szCs w:val="22"/>
        </w:rPr>
      </w:pPr>
      <w:r>
        <w:rPr>
          <w:rFonts w:cs="Arial"/>
          <w:color w:val="000000" w:themeColor="text1"/>
          <w:szCs w:val="22"/>
        </w:rPr>
        <w:t xml:space="preserve">On 13 April 2017, </w:t>
      </w:r>
      <w:r w:rsidR="00035752" w:rsidRPr="00781E03">
        <w:rPr>
          <w:rFonts w:cs="Arial"/>
          <w:color w:val="000000" w:themeColor="text1"/>
          <w:szCs w:val="22"/>
        </w:rPr>
        <w:t xml:space="preserve">amendments to the </w:t>
      </w:r>
      <w:r w:rsidR="00035752" w:rsidRPr="00781E03">
        <w:rPr>
          <w:rFonts w:cs="Arial"/>
          <w:i/>
          <w:color w:val="000000" w:themeColor="text1"/>
          <w:szCs w:val="22"/>
        </w:rPr>
        <w:t xml:space="preserve">Australian Human Rights </w:t>
      </w:r>
      <w:r w:rsidR="00035752">
        <w:rPr>
          <w:rFonts w:cs="Arial"/>
          <w:i/>
          <w:color w:val="000000" w:themeColor="text1"/>
          <w:szCs w:val="22"/>
        </w:rPr>
        <w:t xml:space="preserve">Commission </w:t>
      </w:r>
      <w:r w:rsidR="00035752" w:rsidRPr="00781E03">
        <w:rPr>
          <w:rFonts w:cs="Arial"/>
          <w:i/>
          <w:color w:val="000000" w:themeColor="text1"/>
          <w:szCs w:val="22"/>
        </w:rPr>
        <w:t xml:space="preserve">Act 1986 </w:t>
      </w:r>
      <w:r w:rsidR="00035752" w:rsidRPr="00E34EC6">
        <w:rPr>
          <w:rFonts w:cs="Arial"/>
          <w:color w:val="000000" w:themeColor="text1"/>
          <w:szCs w:val="22"/>
        </w:rPr>
        <w:t>(</w:t>
      </w:r>
      <w:proofErr w:type="spellStart"/>
      <w:r w:rsidR="00035752" w:rsidRPr="00E34EC6">
        <w:rPr>
          <w:rFonts w:cs="Arial"/>
          <w:color w:val="000000" w:themeColor="text1"/>
          <w:szCs w:val="22"/>
        </w:rPr>
        <w:t>Cth</w:t>
      </w:r>
      <w:proofErr w:type="spellEnd"/>
      <w:r w:rsidR="00035752" w:rsidRPr="00E34EC6">
        <w:rPr>
          <w:rFonts w:cs="Arial"/>
          <w:color w:val="000000" w:themeColor="text1"/>
          <w:szCs w:val="22"/>
        </w:rPr>
        <w:t>)</w:t>
      </w:r>
      <w:r w:rsidR="00035752" w:rsidRPr="00781E03">
        <w:rPr>
          <w:rFonts w:cs="Arial"/>
          <w:i/>
          <w:color w:val="000000" w:themeColor="text1"/>
          <w:szCs w:val="22"/>
        </w:rPr>
        <w:t xml:space="preserve"> </w:t>
      </w:r>
      <w:r w:rsidR="00035752" w:rsidRPr="00781E03">
        <w:rPr>
          <w:rFonts w:cs="Arial"/>
          <w:color w:val="000000" w:themeColor="text1"/>
          <w:szCs w:val="22"/>
        </w:rPr>
        <w:t>(the AHRCA) came into effect which introduce</w:t>
      </w:r>
      <w:r>
        <w:rPr>
          <w:rFonts w:cs="Arial"/>
          <w:color w:val="000000" w:themeColor="text1"/>
          <w:szCs w:val="22"/>
        </w:rPr>
        <w:t>d</w:t>
      </w:r>
      <w:r w:rsidR="00035752" w:rsidRPr="00781E03">
        <w:rPr>
          <w:rFonts w:cs="Arial"/>
          <w:color w:val="000000" w:themeColor="text1"/>
          <w:szCs w:val="22"/>
        </w:rPr>
        <w:t xml:space="preserve"> changes to </w:t>
      </w:r>
      <w:r w:rsidR="004369E5">
        <w:rPr>
          <w:rFonts w:cs="Arial"/>
          <w:color w:val="000000" w:themeColor="text1"/>
          <w:szCs w:val="22"/>
        </w:rPr>
        <w:t>the way</w:t>
      </w:r>
      <w:r w:rsidR="00035752" w:rsidRPr="00781E03">
        <w:rPr>
          <w:rFonts w:cs="Arial"/>
          <w:color w:val="000000" w:themeColor="text1"/>
          <w:szCs w:val="22"/>
        </w:rPr>
        <w:t xml:space="preserve"> in which complaints of unlawful discrimination are defined and handled by the Commission. The changes </w:t>
      </w:r>
      <w:proofErr w:type="gramStart"/>
      <w:r w:rsidR="00035752" w:rsidRPr="00781E03">
        <w:rPr>
          <w:rFonts w:cs="Arial"/>
          <w:color w:val="000000" w:themeColor="text1"/>
          <w:szCs w:val="22"/>
        </w:rPr>
        <w:t>were introduced</w:t>
      </w:r>
      <w:proofErr w:type="gramEnd"/>
      <w:r w:rsidR="00035752" w:rsidRPr="00781E03">
        <w:rPr>
          <w:rFonts w:cs="Arial"/>
          <w:color w:val="000000" w:themeColor="text1"/>
          <w:szCs w:val="22"/>
        </w:rPr>
        <w:t xml:space="preserve"> to make sure that the complaint handling processes are fair to all parties and unmeritorious complaints are dismissed a</w:t>
      </w:r>
      <w:r>
        <w:rPr>
          <w:rFonts w:cs="Arial"/>
          <w:color w:val="000000" w:themeColor="text1"/>
          <w:szCs w:val="22"/>
        </w:rPr>
        <w:t xml:space="preserve">t an early stage of the process. </w:t>
      </w:r>
    </w:p>
    <w:p w:rsidR="00035752" w:rsidRPr="00781E03" w:rsidRDefault="00035752" w:rsidP="00035752">
      <w:pPr>
        <w:spacing w:before="0" w:after="0"/>
        <w:rPr>
          <w:rFonts w:cs="Arial"/>
          <w:color w:val="000000" w:themeColor="text1"/>
          <w:szCs w:val="22"/>
          <w:highlight w:val="lightGray"/>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List of changes"/>
      </w:tblPr>
      <w:tblGrid>
        <w:gridCol w:w="9060"/>
      </w:tblGrid>
      <w:tr w:rsidR="00035752" w:rsidRPr="00F05F99" w:rsidTr="006B53AA">
        <w:tc>
          <w:tcPr>
            <w:tcW w:w="9060" w:type="dxa"/>
          </w:tcPr>
          <w:p w:rsidR="00035752" w:rsidRPr="00781E03" w:rsidRDefault="00035752" w:rsidP="006B53AA">
            <w:pPr>
              <w:spacing w:before="0" w:after="0"/>
              <w:rPr>
                <w:rFonts w:cs="Arial"/>
                <w:b/>
                <w:color w:val="000000" w:themeColor="text1"/>
                <w:szCs w:val="22"/>
              </w:rPr>
            </w:pPr>
            <w:bookmarkStart w:id="1" w:name="_GoBack"/>
            <w:bookmarkEnd w:id="1"/>
          </w:p>
        </w:tc>
      </w:tr>
      <w:tr w:rsidR="004369E5" w:rsidRPr="00F05F99" w:rsidTr="006B53AA">
        <w:tc>
          <w:tcPr>
            <w:tcW w:w="9060" w:type="dxa"/>
          </w:tcPr>
          <w:p w:rsidR="004369E5" w:rsidRPr="00781E03" w:rsidRDefault="004369E5" w:rsidP="006B53AA">
            <w:pPr>
              <w:spacing w:before="0" w:after="0"/>
              <w:rPr>
                <w:rFonts w:cs="Arial"/>
                <w:color w:val="000000" w:themeColor="text1"/>
                <w:szCs w:val="22"/>
              </w:rPr>
            </w:pPr>
            <w:r>
              <w:rPr>
                <w:rFonts w:cs="Arial"/>
                <w:b/>
                <w:color w:val="0070C0"/>
                <w:szCs w:val="22"/>
              </w:rPr>
              <w:t>The changes are:</w:t>
            </w:r>
          </w:p>
        </w:tc>
      </w:tr>
      <w:tr w:rsidR="00035752" w:rsidRPr="00F05F99" w:rsidTr="006B53AA">
        <w:tc>
          <w:tcPr>
            <w:tcW w:w="9060" w:type="dxa"/>
          </w:tcPr>
          <w:p w:rsidR="00035752" w:rsidRPr="00781E03" w:rsidRDefault="00035752" w:rsidP="006B53AA">
            <w:pPr>
              <w:spacing w:before="0" w:after="0"/>
              <w:rPr>
                <w:rFonts w:cs="Arial"/>
                <w:color w:val="000000" w:themeColor="text1"/>
                <w:szCs w:val="22"/>
              </w:rPr>
            </w:pPr>
          </w:p>
        </w:tc>
      </w:tr>
      <w:tr w:rsidR="00035752" w:rsidRPr="00F05F99" w:rsidTr="006B53AA">
        <w:tc>
          <w:tcPr>
            <w:tcW w:w="9060" w:type="dxa"/>
          </w:tcPr>
          <w:p w:rsidR="00035752" w:rsidRPr="00781E03" w:rsidRDefault="00035752" w:rsidP="00F953E8">
            <w:pPr>
              <w:pStyle w:val="ListParagraph"/>
              <w:numPr>
                <w:ilvl w:val="0"/>
                <w:numId w:val="17"/>
              </w:numPr>
              <w:spacing w:before="0" w:after="0"/>
              <w:rPr>
                <w:rFonts w:cs="Arial"/>
                <w:color w:val="000000" w:themeColor="text1"/>
                <w:szCs w:val="22"/>
              </w:rPr>
            </w:pPr>
            <w:r w:rsidRPr="00781E03">
              <w:rPr>
                <w:rFonts w:cs="Arial"/>
                <w:color w:val="000000" w:themeColor="text1"/>
                <w:szCs w:val="22"/>
              </w:rPr>
              <w:t>A higher threshold for making a compl</w:t>
            </w:r>
            <w:r w:rsidR="00E34EC6">
              <w:rPr>
                <w:rFonts w:cs="Arial"/>
                <w:color w:val="000000" w:themeColor="text1"/>
                <w:szCs w:val="22"/>
              </w:rPr>
              <w:t>aint of unlawful discrimination</w:t>
            </w:r>
          </w:p>
        </w:tc>
      </w:tr>
      <w:tr w:rsidR="00035752" w:rsidRPr="00F05F99" w:rsidTr="006B53AA">
        <w:tc>
          <w:tcPr>
            <w:tcW w:w="9060" w:type="dxa"/>
          </w:tcPr>
          <w:p w:rsidR="00035752" w:rsidRPr="00781E03" w:rsidRDefault="00035752" w:rsidP="00F953E8">
            <w:pPr>
              <w:pStyle w:val="ListParagraph"/>
              <w:numPr>
                <w:ilvl w:val="0"/>
                <w:numId w:val="17"/>
              </w:numPr>
              <w:spacing w:before="0" w:after="0"/>
              <w:rPr>
                <w:rFonts w:cs="Arial"/>
                <w:color w:val="000000" w:themeColor="text1"/>
                <w:szCs w:val="22"/>
              </w:rPr>
            </w:pPr>
            <w:r w:rsidRPr="00781E03">
              <w:rPr>
                <w:rFonts w:cs="Arial"/>
                <w:color w:val="000000" w:themeColor="text1"/>
                <w:szCs w:val="22"/>
              </w:rPr>
              <w:t>A requirement that the President carry out an initial assessment of the complaint and consider whether to terminate the complai</w:t>
            </w:r>
            <w:r w:rsidR="00E34EC6">
              <w:rPr>
                <w:rFonts w:cs="Arial"/>
                <w:color w:val="000000" w:themeColor="text1"/>
                <w:szCs w:val="22"/>
              </w:rPr>
              <w:t>nt before commencing an inquiry</w:t>
            </w:r>
          </w:p>
        </w:tc>
      </w:tr>
      <w:tr w:rsidR="00035752" w:rsidRPr="00F05F99" w:rsidTr="006B53AA">
        <w:tc>
          <w:tcPr>
            <w:tcW w:w="9060" w:type="dxa"/>
          </w:tcPr>
          <w:p w:rsidR="00035752" w:rsidRPr="00781E03" w:rsidRDefault="00035752" w:rsidP="00F953E8">
            <w:pPr>
              <w:pStyle w:val="ListParagraph"/>
              <w:numPr>
                <w:ilvl w:val="0"/>
                <w:numId w:val="17"/>
              </w:numPr>
              <w:spacing w:before="0" w:after="0"/>
              <w:rPr>
                <w:rFonts w:cs="Arial"/>
                <w:color w:val="000000" w:themeColor="text1"/>
                <w:szCs w:val="22"/>
              </w:rPr>
            </w:pPr>
            <w:r w:rsidRPr="00781E03">
              <w:rPr>
                <w:rFonts w:cs="Arial"/>
                <w:color w:val="000000" w:themeColor="text1"/>
                <w:szCs w:val="22"/>
              </w:rPr>
              <w:t>Expanded termination grounds and the introduction of discretionary an</w:t>
            </w:r>
            <w:r w:rsidR="00E34EC6">
              <w:rPr>
                <w:rFonts w:cs="Arial"/>
                <w:color w:val="000000" w:themeColor="text1"/>
                <w:szCs w:val="22"/>
              </w:rPr>
              <w:t>d mandatory termination grounds</w:t>
            </w:r>
          </w:p>
        </w:tc>
      </w:tr>
      <w:tr w:rsidR="00035752" w:rsidRPr="00F05F99" w:rsidTr="006B53AA">
        <w:tc>
          <w:tcPr>
            <w:tcW w:w="9060" w:type="dxa"/>
          </w:tcPr>
          <w:p w:rsidR="00035752" w:rsidRPr="00781E03" w:rsidRDefault="00035752" w:rsidP="00F953E8">
            <w:pPr>
              <w:pStyle w:val="ListParagraph"/>
              <w:numPr>
                <w:ilvl w:val="0"/>
                <w:numId w:val="17"/>
              </w:numPr>
              <w:spacing w:before="0" w:after="0"/>
              <w:rPr>
                <w:rFonts w:cs="Arial"/>
                <w:color w:val="000000" w:themeColor="text1"/>
                <w:szCs w:val="22"/>
              </w:rPr>
            </w:pPr>
            <w:r w:rsidRPr="00781E03">
              <w:rPr>
                <w:rFonts w:cs="Arial"/>
                <w:color w:val="000000" w:themeColor="text1"/>
                <w:szCs w:val="22"/>
              </w:rPr>
              <w:t>A complaint can be terminated if lodged more than 6 m</w:t>
            </w:r>
            <w:r w:rsidR="00E34EC6">
              <w:rPr>
                <w:rFonts w:cs="Arial"/>
                <w:color w:val="000000" w:themeColor="text1"/>
                <w:szCs w:val="22"/>
              </w:rPr>
              <w:t>onths after the alleged conduct</w:t>
            </w:r>
          </w:p>
        </w:tc>
      </w:tr>
      <w:tr w:rsidR="00035752" w:rsidRPr="00F05F99" w:rsidTr="006B53AA">
        <w:tc>
          <w:tcPr>
            <w:tcW w:w="9060" w:type="dxa"/>
          </w:tcPr>
          <w:p w:rsidR="00035752" w:rsidRPr="00781E03" w:rsidRDefault="00035752" w:rsidP="00F953E8">
            <w:pPr>
              <w:pStyle w:val="ListParagraph"/>
              <w:numPr>
                <w:ilvl w:val="0"/>
                <w:numId w:val="17"/>
              </w:numPr>
              <w:spacing w:before="0" w:after="0"/>
              <w:rPr>
                <w:rFonts w:cs="Arial"/>
                <w:color w:val="000000" w:themeColor="text1"/>
                <w:szCs w:val="22"/>
              </w:rPr>
            </w:pPr>
            <w:r w:rsidRPr="00781E03">
              <w:rPr>
                <w:rFonts w:cs="Arial"/>
                <w:color w:val="000000" w:themeColor="text1"/>
                <w:szCs w:val="22"/>
              </w:rPr>
              <w:t>New notification obligations on the Commission for respondents and people who are the</w:t>
            </w:r>
            <w:r w:rsidR="00E34EC6">
              <w:rPr>
                <w:rFonts w:cs="Arial"/>
                <w:color w:val="000000" w:themeColor="text1"/>
                <w:szCs w:val="22"/>
              </w:rPr>
              <w:t xml:space="preserve"> subject of adverse allegations</w:t>
            </w:r>
          </w:p>
        </w:tc>
      </w:tr>
      <w:tr w:rsidR="00035752" w:rsidRPr="00F05F99" w:rsidTr="006B53AA">
        <w:tc>
          <w:tcPr>
            <w:tcW w:w="9060" w:type="dxa"/>
          </w:tcPr>
          <w:p w:rsidR="00035752" w:rsidRPr="00781E03" w:rsidRDefault="00035752" w:rsidP="00F953E8">
            <w:pPr>
              <w:pStyle w:val="ListParagraph"/>
              <w:numPr>
                <w:ilvl w:val="0"/>
                <w:numId w:val="17"/>
              </w:numPr>
              <w:spacing w:before="0" w:after="0"/>
              <w:rPr>
                <w:rFonts w:cs="Arial"/>
                <w:color w:val="000000" w:themeColor="text1"/>
                <w:szCs w:val="22"/>
              </w:rPr>
            </w:pPr>
            <w:r w:rsidRPr="00781E03">
              <w:rPr>
                <w:rFonts w:cs="Arial"/>
                <w:color w:val="000000" w:themeColor="text1"/>
                <w:szCs w:val="22"/>
              </w:rPr>
              <w:t>The confidentiality attached to conciliation before the Commission is clarified</w:t>
            </w:r>
          </w:p>
        </w:tc>
      </w:tr>
      <w:tr w:rsidR="00035752" w:rsidRPr="00F05F99" w:rsidTr="006B53AA">
        <w:tc>
          <w:tcPr>
            <w:tcW w:w="9060" w:type="dxa"/>
          </w:tcPr>
          <w:p w:rsidR="00035752" w:rsidRPr="00781E03" w:rsidRDefault="00035752" w:rsidP="00F953E8">
            <w:pPr>
              <w:pStyle w:val="ListParagraph"/>
              <w:numPr>
                <w:ilvl w:val="0"/>
                <w:numId w:val="17"/>
              </w:numPr>
              <w:spacing w:before="0" w:after="0"/>
              <w:rPr>
                <w:rFonts w:cs="Arial"/>
                <w:color w:val="000000" w:themeColor="text1"/>
                <w:szCs w:val="22"/>
              </w:rPr>
            </w:pPr>
            <w:r w:rsidRPr="00781E03">
              <w:rPr>
                <w:rFonts w:cs="Arial"/>
                <w:color w:val="000000" w:themeColor="text1"/>
                <w:szCs w:val="22"/>
              </w:rPr>
              <w:t xml:space="preserve">Where a complaint </w:t>
            </w:r>
            <w:r>
              <w:rPr>
                <w:rFonts w:cs="Arial"/>
                <w:color w:val="000000" w:themeColor="text1"/>
                <w:szCs w:val="22"/>
              </w:rPr>
              <w:t>is</w:t>
            </w:r>
            <w:r w:rsidRPr="00781E03">
              <w:rPr>
                <w:rFonts w:cs="Arial"/>
                <w:color w:val="000000" w:themeColor="text1"/>
                <w:szCs w:val="22"/>
              </w:rPr>
              <w:t xml:space="preserve"> terminated on certain grounds, a complainant can now only make an application to the court if the court h</w:t>
            </w:r>
            <w:r w:rsidR="00E34EC6">
              <w:rPr>
                <w:rFonts w:cs="Arial"/>
                <w:color w:val="000000" w:themeColor="text1"/>
                <w:szCs w:val="22"/>
              </w:rPr>
              <w:t>as granted them leave to do so</w:t>
            </w:r>
          </w:p>
        </w:tc>
      </w:tr>
      <w:tr w:rsidR="004369E5" w:rsidRPr="00F05F99" w:rsidTr="006B53AA">
        <w:tc>
          <w:tcPr>
            <w:tcW w:w="9060" w:type="dxa"/>
          </w:tcPr>
          <w:p w:rsidR="004369E5" w:rsidRPr="00781E03" w:rsidRDefault="004369E5" w:rsidP="004369E5">
            <w:pPr>
              <w:pStyle w:val="ListParagraph"/>
              <w:spacing w:before="0" w:after="0"/>
              <w:rPr>
                <w:rFonts w:cs="Arial"/>
                <w:color w:val="000000" w:themeColor="text1"/>
                <w:szCs w:val="22"/>
              </w:rPr>
            </w:pPr>
          </w:p>
        </w:tc>
      </w:tr>
    </w:tbl>
    <w:p w:rsidR="00035752" w:rsidRDefault="00035752" w:rsidP="00035752">
      <w:pPr>
        <w:spacing w:before="0" w:after="0"/>
        <w:rPr>
          <w:rFonts w:cs="Arial"/>
          <w:b/>
          <w:color w:val="0070C0"/>
          <w:u w:val="single"/>
        </w:rPr>
      </w:pPr>
    </w:p>
    <w:p w:rsidR="00035752" w:rsidRPr="00781E03" w:rsidRDefault="00035752" w:rsidP="00035752">
      <w:pPr>
        <w:spacing w:before="0" w:after="0"/>
        <w:rPr>
          <w:rFonts w:cs="Arial"/>
          <w:b/>
          <w:color w:val="0070C0"/>
          <w:u w:val="single"/>
        </w:rPr>
      </w:pPr>
      <w:r w:rsidRPr="00781E03">
        <w:rPr>
          <w:rFonts w:cs="Arial"/>
          <w:b/>
          <w:color w:val="0070C0"/>
          <w:u w:val="single"/>
        </w:rPr>
        <w:t>Key changes explained</w:t>
      </w:r>
    </w:p>
    <w:p w:rsidR="00035752" w:rsidRPr="00D36019" w:rsidRDefault="00035752" w:rsidP="00035752">
      <w:pPr>
        <w:spacing w:before="0" w:after="0"/>
        <w:rPr>
          <w:rFonts w:cs="Arial"/>
          <w:color w:val="000000" w:themeColor="text1"/>
          <w:szCs w:val="22"/>
        </w:rPr>
      </w:pPr>
    </w:p>
    <w:p w:rsidR="00035752" w:rsidRPr="00565D07" w:rsidRDefault="00035752" w:rsidP="00035752">
      <w:pPr>
        <w:spacing w:before="0" w:after="0"/>
        <w:rPr>
          <w:rFonts w:cs="Arial"/>
          <w:b/>
          <w:color w:val="000000" w:themeColor="text1"/>
          <w:szCs w:val="22"/>
        </w:rPr>
      </w:pPr>
      <w:r>
        <w:rPr>
          <w:rFonts w:cs="Arial"/>
          <w:b/>
          <w:color w:val="000000" w:themeColor="text1"/>
          <w:szCs w:val="22"/>
        </w:rPr>
        <w:t>New requirements for making a valid complaint</w:t>
      </w:r>
    </w:p>
    <w:p w:rsidR="00035752" w:rsidRPr="00565D07" w:rsidRDefault="00035752" w:rsidP="00035752">
      <w:pPr>
        <w:spacing w:before="0" w:after="0"/>
        <w:rPr>
          <w:rFonts w:cs="Arial"/>
          <w:color w:val="000000" w:themeColor="text1"/>
          <w:szCs w:val="22"/>
        </w:rPr>
      </w:pPr>
    </w:p>
    <w:p w:rsidR="00035752" w:rsidRPr="00565D07" w:rsidRDefault="00035752" w:rsidP="00035752">
      <w:pPr>
        <w:spacing w:before="0" w:after="0"/>
        <w:rPr>
          <w:rFonts w:cs="Arial"/>
          <w:color w:val="000000" w:themeColor="text1"/>
          <w:szCs w:val="22"/>
        </w:rPr>
      </w:pPr>
      <w:r w:rsidRPr="00565D07">
        <w:rPr>
          <w:rFonts w:cs="Arial"/>
          <w:color w:val="000000" w:themeColor="text1"/>
          <w:szCs w:val="22"/>
        </w:rPr>
        <w:t xml:space="preserve">The amendments have redefined </w:t>
      </w:r>
      <w:r>
        <w:rPr>
          <w:rFonts w:cs="Arial"/>
          <w:color w:val="000000" w:themeColor="text1"/>
          <w:szCs w:val="22"/>
        </w:rPr>
        <w:t xml:space="preserve">and raised the threshold of </w:t>
      </w:r>
      <w:r w:rsidRPr="00565D07">
        <w:rPr>
          <w:rFonts w:cs="Arial"/>
          <w:color w:val="000000" w:themeColor="text1"/>
          <w:szCs w:val="22"/>
        </w:rPr>
        <w:t xml:space="preserve">what </w:t>
      </w:r>
      <w:r>
        <w:rPr>
          <w:rFonts w:cs="Arial"/>
          <w:color w:val="000000" w:themeColor="text1"/>
          <w:szCs w:val="22"/>
        </w:rPr>
        <w:t>constitutes a valid complaint of unlawful discrimination. Among other things, a complaint has to set out as fully as practicable the details of the alleged acts.</w:t>
      </w:r>
    </w:p>
    <w:p w:rsidR="00035752" w:rsidRPr="00565D07" w:rsidRDefault="00035752" w:rsidP="00035752">
      <w:pPr>
        <w:spacing w:before="0" w:after="0"/>
        <w:rPr>
          <w:rFonts w:cs="Arial"/>
          <w:color w:val="000000" w:themeColor="text1"/>
          <w:szCs w:val="22"/>
        </w:rPr>
      </w:pPr>
    </w:p>
    <w:p w:rsidR="00035752" w:rsidRPr="00565D07" w:rsidRDefault="00035752" w:rsidP="00035752">
      <w:p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r w:rsidRPr="00565D07">
        <w:rPr>
          <w:rFonts w:cs="Arial"/>
          <w:color w:val="000000" w:themeColor="text1"/>
          <w:szCs w:val="22"/>
        </w:rPr>
        <w:t>Section 46P of the</w:t>
      </w:r>
      <w:r w:rsidRPr="006358AB">
        <w:rPr>
          <w:rFonts w:cs="Arial"/>
          <w:color w:val="000000" w:themeColor="text1"/>
          <w:szCs w:val="22"/>
        </w:rPr>
        <w:t xml:space="preserve"> AHRCA </w:t>
      </w:r>
      <w:r w:rsidRPr="00565D07">
        <w:rPr>
          <w:rFonts w:cs="Arial"/>
          <w:color w:val="000000" w:themeColor="text1"/>
          <w:szCs w:val="22"/>
        </w:rPr>
        <w:t xml:space="preserve">sets out the </w:t>
      </w:r>
      <w:r>
        <w:rPr>
          <w:rFonts w:cs="Arial"/>
          <w:color w:val="000000" w:themeColor="text1"/>
          <w:szCs w:val="22"/>
        </w:rPr>
        <w:t xml:space="preserve">new </w:t>
      </w:r>
      <w:r w:rsidRPr="00565D07">
        <w:rPr>
          <w:rFonts w:cs="Arial"/>
          <w:color w:val="000000" w:themeColor="text1"/>
          <w:szCs w:val="22"/>
        </w:rPr>
        <w:t xml:space="preserve">requirements for lodging a valid complaint of unlawful discrimination with the Commission. </w:t>
      </w:r>
    </w:p>
    <w:p w:rsidR="00035752" w:rsidRPr="00565D07" w:rsidRDefault="00035752" w:rsidP="00035752">
      <w:p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p>
    <w:p w:rsidR="00E34EC6" w:rsidRDefault="00E34EC6">
      <w:pPr>
        <w:spacing w:before="0" w:after="0"/>
        <w:rPr>
          <w:rFonts w:cs="Arial"/>
          <w:color w:val="000000" w:themeColor="text1"/>
          <w:szCs w:val="22"/>
        </w:rPr>
      </w:pPr>
      <w:r>
        <w:rPr>
          <w:rFonts w:cs="Arial"/>
          <w:color w:val="000000" w:themeColor="text1"/>
          <w:szCs w:val="22"/>
        </w:rPr>
        <w:br w:type="page"/>
      </w:r>
    </w:p>
    <w:p w:rsidR="00035752" w:rsidRDefault="00035752" w:rsidP="00035752">
      <w:p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r w:rsidRPr="00565D07">
        <w:rPr>
          <w:rFonts w:cs="Arial"/>
          <w:color w:val="000000" w:themeColor="text1"/>
          <w:szCs w:val="22"/>
        </w:rPr>
        <w:lastRenderedPageBreak/>
        <w:t>These requirements are that the complaint:</w:t>
      </w:r>
    </w:p>
    <w:p w:rsidR="00E34EC6" w:rsidRPr="00565D07" w:rsidRDefault="00E34EC6" w:rsidP="00035752">
      <w:p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p>
    <w:p w:rsidR="00035752" w:rsidRPr="00565D07" w:rsidRDefault="00035752" w:rsidP="00F953E8">
      <w:pPr>
        <w:pStyle w:val="ListParagraph"/>
        <w:numPr>
          <w:ilvl w:val="0"/>
          <w:numId w:val="16"/>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r w:rsidRPr="00565D07">
        <w:rPr>
          <w:rFonts w:cs="Arial"/>
          <w:color w:val="000000" w:themeColor="text1"/>
          <w:szCs w:val="22"/>
        </w:rPr>
        <w:t>must be in writing</w:t>
      </w:r>
      <w:r w:rsidR="00D60432">
        <w:rPr>
          <w:rFonts w:cs="Arial"/>
          <w:color w:val="000000" w:themeColor="text1"/>
          <w:szCs w:val="22"/>
        </w:rPr>
        <w:t>;</w:t>
      </w:r>
    </w:p>
    <w:p w:rsidR="00035752" w:rsidRPr="00565D07" w:rsidRDefault="00035752" w:rsidP="00F953E8">
      <w:pPr>
        <w:pStyle w:val="ListParagraph"/>
        <w:numPr>
          <w:ilvl w:val="0"/>
          <w:numId w:val="16"/>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r w:rsidRPr="00565D07">
        <w:rPr>
          <w:rFonts w:cs="Arial"/>
          <w:color w:val="000000" w:themeColor="text1"/>
          <w:szCs w:val="22"/>
        </w:rPr>
        <w:t>is lodged by a person aggrieved by alleged unlawful discrimination or by a person on behalf of one or more other people aggrieved by the alleged unlawful discrimination</w:t>
      </w:r>
      <w:r w:rsidR="00D60432">
        <w:rPr>
          <w:rFonts w:cs="Arial"/>
          <w:color w:val="000000" w:themeColor="text1"/>
          <w:szCs w:val="22"/>
        </w:rPr>
        <w:t>;</w:t>
      </w:r>
    </w:p>
    <w:p w:rsidR="00035752" w:rsidRPr="00565D07" w:rsidRDefault="00035752" w:rsidP="00F953E8">
      <w:pPr>
        <w:pStyle w:val="ListParagraph"/>
        <w:numPr>
          <w:ilvl w:val="0"/>
          <w:numId w:val="16"/>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r w:rsidRPr="00565D07">
        <w:rPr>
          <w:rFonts w:cs="Arial"/>
          <w:color w:val="000000" w:themeColor="text1"/>
          <w:szCs w:val="22"/>
        </w:rPr>
        <w:t xml:space="preserve">alleges acts, omissions or practices and it must be </w:t>
      </w:r>
      <w:r w:rsidR="004369E5">
        <w:rPr>
          <w:rFonts w:cs="Arial"/>
          <w:color w:val="000000" w:themeColor="text1"/>
          <w:szCs w:val="22"/>
        </w:rPr>
        <w:t>reasonably arguable</w:t>
      </w:r>
      <w:r w:rsidRPr="00565D07">
        <w:rPr>
          <w:rFonts w:cs="Arial"/>
          <w:color w:val="000000" w:themeColor="text1"/>
          <w:szCs w:val="22"/>
        </w:rPr>
        <w:t xml:space="preserve"> that the alleged acts, omissions or practices are unlawful discrimination</w:t>
      </w:r>
      <w:r w:rsidR="00D60432">
        <w:rPr>
          <w:rFonts w:cs="Arial"/>
          <w:color w:val="000000" w:themeColor="text1"/>
          <w:szCs w:val="22"/>
        </w:rPr>
        <w:t xml:space="preserve">; and </w:t>
      </w:r>
    </w:p>
    <w:p w:rsidR="00035752" w:rsidRPr="00565D07" w:rsidRDefault="00035752" w:rsidP="00F953E8">
      <w:pPr>
        <w:pStyle w:val="ListParagraph"/>
        <w:numPr>
          <w:ilvl w:val="0"/>
          <w:numId w:val="16"/>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0" w:after="0"/>
        <w:rPr>
          <w:rFonts w:cs="Arial"/>
          <w:color w:val="000000" w:themeColor="text1"/>
          <w:szCs w:val="22"/>
        </w:rPr>
      </w:pPr>
      <w:proofErr w:type="gramStart"/>
      <w:r w:rsidRPr="00565D07">
        <w:rPr>
          <w:rFonts w:cs="Arial"/>
          <w:color w:val="000000" w:themeColor="text1"/>
          <w:szCs w:val="22"/>
        </w:rPr>
        <w:t>must</w:t>
      </w:r>
      <w:proofErr w:type="gramEnd"/>
      <w:r w:rsidRPr="00565D07">
        <w:rPr>
          <w:rFonts w:cs="Arial"/>
          <w:color w:val="000000" w:themeColor="text1"/>
          <w:szCs w:val="22"/>
        </w:rPr>
        <w:t xml:space="preserve"> set out, as fully as practicable, the details of the alleged acts, omissions or practices. </w:t>
      </w:r>
    </w:p>
    <w:p w:rsidR="00035752" w:rsidRPr="00895A0A" w:rsidRDefault="00035752" w:rsidP="00035752">
      <w:pPr>
        <w:spacing w:before="0" w:after="0"/>
        <w:rPr>
          <w:rFonts w:cs="Arial"/>
          <w:color w:val="000000" w:themeColor="text1"/>
          <w:sz w:val="20"/>
          <w:szCs w:val="20"/>
        </w:rPr>
      </w:pPr>
    </w:p>
    <w:p w:rsidR="00035752" w:rsidRPr="00FB2CD4" w:rsidRDefault="00035752" w:rsidP="00035752">
      <w:pPr>
        <w:spacing w:before="0" w:after="0"/>
        <w:rPr>
          <w:rFonts w:cs="Arial"/>
          <w:color w:val="000000" w:themeColor="text1"/>
          <w:szCs w:val="22"/>
        </w:rPr>
      </w:pPr>
      <w:r w:rsidRPr="00FB2CD4">
        <w:rPr>
          <w:rFonts w:cs="Arial"/>
          <w:color w:val="000000" w:themeColor="text1"/>
          <w:szCs w:val="22"/>
        </w:rPr>
        <w:t xml:space="preserve">The Explanatory Memorandum refers to the new requirement that it must be ‘reasonably arguable’ that the alleged conduct is unlawful discrimination and states: </w:t>
      </w:r>
    </w:p>
    <w:p w:rsidR="00035752" w:rsidRDefault="00035752" w:rsidP="00035752">
      <w:pPr>
        <w:spacing w:before="0" w:after="0"/>
        <w:ind w:left="720"/>
        <w:jc w:val="right"/>
        <w:rPr>
          <w:rFonts w:cs="Arial"/>
          <w:color w:val="000000" w:themeColor="text1"/>
          <w:szCs w:val="22"/>
        </w:rPr>
      </w:pPr>
    </w:p>
    <w:p w:rsidR="00035752" w:rsidRPr="00FB2CD4" w:rsidRDefault="00035752" w:rsidP="00035752">
      <w:pPr>
        <w:spacing w:before="0" w:after="0"/>
        <w:ind w:left="720"/>
        <w:rPr>
          <w:rFonts w:cs="Arial"/>
          <w:color w:val="000000" w:themeColor="text1"/>
          <w:szCs w:val="22"/>
        </w:rPr>
      </w:pPr>
      <w:r w:rsidRPr="00FB2CD4">
        <w:rPr>
          <w:rFonts w:cs="Arial"/>
          <w:color w:val="000000" w:themeColor="text1"/>
          <w:szCs w:val="22"/>
        </w:rPr>
        <w:t xml:space="preserve">“To be a valid complaint under 46P, a complaint must allege conduct that, if true, would constitute unlawful discrimination”. </w:t>
      </w:r>
    </w:p>
    <w:p w:rsidR="00035752" w:rsidRDefault="00035752" w:rsidP="00035752">
      <w:pPr>
        <w:spacing w:before="0" w:after="0"/>
        <w:rPr>
          <w:rFonts w:cs="Arial"/>
          <w:color w:val="000000" w:themeColor="text1"/>
          <w:szCs w:val="22"/>
        </w:rPr>
      </w:pPr>
    </w:p>
    <w:p w:rsidR="00035752" w:rsidRPr="00C470F1" w:rsidRDefault="00035752" w:rsidP="00035752">
      <w:pPr>
        <w:spacing w:before="0" w:after="0"/>
        <w:rPr>
          <w:rFonts w:cs="Arial"/>
          <w:b/>
          <w:color w:val="000000" w:themeColor="text1"/>
          <w:szCs w:val="22"/>
        </w:rPr>
      </w:pPr>
      <w:r w:rsidRPr="00C470F1">
        <w:rPr>
          <w:rFonts w:cs="Arial"/>
          <w:b/>
          <w:color w:val="000000" w:themeColor="text1"/>
          <w:szCs w:val="22"/>
        </w:rPr>
        <w:t>Initial assessment</w:t>
      </w:r>
      <w:r>
        <w:rPr>
          <w:rFonts w:cs="Arial"/>
          <w:b/>
          <w:color w:val="000000" w:themeColor="text1"/>
          <w:szCs w:val="22"/>
        </w:rPr>
        <w:t xml:space="preserve"> and the termination grounds</w:t>
      </w:r>
    </w:p>
    <w:p w:rsidR="00035752" w:rsidRPr="00565D07" w:rsidRDefault="00035752" w:rsidP="00035752">
      <w:pPr>
        <w:spacing w:before="0" w:after="0"/>
        <w:rPr>
          <w:rFonts w:cs="Arial"/>
          <w:color w:val="000000" w:themeColor="text1"/>
          <w:szCs w:val="22"/>
        </w:rPr>
      </w:pPr>
    </w:p>
    <w:p w:rsidR="00035752" w:rsidRDefault="00035752" w:rsidP="00035752">
      <w:pPr>
        <w:spacing w:before="0" w:after="0"/>
        <w:rPr>
          <w:rFonts w:cs="Arial"/>
          <w:color w:val="000000" w:themeColor="text1"/>
          <w:szCs w:val="22"/>
        </w:rPr>
      </w:pPr>
      <w:r>
        <w:rPr>
          <w:rFonts w:cs="Arial"/>
          <w:color w:val="000000" w:themeColor="text1"/>
          <w:szCs w:val="22"/>
        </w:rPr>
        <w:t>Section 46PF of the AHRCA provides that t</w:t>
      </w:r>
      <w:r w:rsidRPr="00565D07">
        <w:rPr>
          <w:rFonts w:cs="Arial"/>
          <w:color w:val="000000" w:themeColor="text1"/>
          <w:szCs w:val="22"/>
        </w:rPr>
        <w:t>he President</w:t>
      </w:r>
      <w:r>
        <w:rPr>
          <w:rStyle w:val="EndnoteReference"/>
          <w:rFonts w:cs="Arial"/>
          <w:color w:val="000000" w:themeColor="text1"/>
          <w:szCs w:val="22"/>
        </w:rPr>
        <w:endnoteReference w:id="1"/>
      </w:r>
      <w:r w:rsidRPr="00565D07">
        <w:rPr>
          <w:rFonts w:cs="Arial"/>
          <w:color w:val="000000" w:themeColor="text1"/>
          <w:szCs w:val="22"/>
        </w:rPr>
        <w:t xml:space="preserve"> must now undertake an initial assessment to consider whether </w:t>
      </w:r>
      <w:r>
        <w:rPr>
          <w:rFonts w:cs="Arial"/>
          <w:color w:val="000000" w:themeColor="text1"/>
          <w:szCs w:val="22"/>
        </w:rPr>
        <w:t xml:space="preserve">the </w:t>
      </w:r>
      <w:r w:rsidRPr="00565D07">
        <w:rPr>
          <w:rFonts w:cs="Arial"/>
          <w:color w:val="000000" w:themeColor="text1"/>
          <w:szCs w:val="22"/>
        </w:rPr>
        <w:t xml:space="preserve">complaint </w:t>
      </w:r>
      <w:proofErr w:type="gramStart"/>
      <w:r>
        <w:rPr>
          <w:rFonts w:cs="Arial"/>
          <w:color w:val="000000" w:themeColor="text1"/>
          <w:szCs w:val="22"/>
        </w:rPr>
        <w:t>should be terminated</w:t>
      </w:r>
      <w:proofErr w:type="gramEnd"/>
      <w:r>
        <w:rPr>
          <w:rFonts w:cs="Arial"/>
          <w:color w:val="000000" w:themeColor="text1"/>
          <w:szCs w:val="22"/>
        </w:rPr>
        <w:t xml:space="preserve"> </w:t>
      </w:r>
      <w:r w:rsidRPr="00565D07">
        <w:rPr>
          <w:rFonts w:cs="Arial"/>
          <w:color w:val="000000" w:themeColor="text1"/>
          <w:szCs w:val="22"/>
        </w:rPr>
        <w:t>under the termination grounds</w:t>
      </w:r>
      <w:r>
        <w:rPr>
          <w:rFonts w:cs="Arial"/>
          <w:color w:val="000000" w:themeColor="text1"/>
          <w:szCs w:val="22"/>
        </w:rPr>
        <w:t xml:space="preserve"> set out in s</w:t>
      </w:r>
      <w:r w:rsidR="00E34EC6">
        <w:rPr>
          <w:rFonts w:cs="Arial"/>
          <w:color w:val="000000" w:themeColor="text1"/>
          <w:szCs w:val="22"/>
        </w:rPr>
        <w:t xml:space="preserve">ection </w:t>
      </w:r>
      <w:r>
        <w:rPr>
          <w:rFonts w:cs="Arial"/>
          <w:color w:val="000000" w:themeColor="text1"/>
          <w:szCs w:val="22"/>
        </w:rPr>
        <w:t>46PH of the AHRCA</w:t>
      </w:r>
      <w:r w:rsidRPr="00565D07">
        <w:rPr>
          <w:rFonts w:cs="Arial"/>
          <w:color w:val="000000" w:themeColor="text1"/>
          <w:szCs w:val="22"/>
        </w:rPr>
        <w:t xml:space="preserve">. </w:t>
      </w:r>
      <w:r>
        <w:rPr>
          <w:rFonts w:cs="Arial"/>
          <w:color w:val="000000" w:themeColor="text1"/>
          <w:szCs w:val="22"/>
        </w:rPr>
        <w:t xml:space="preserve">The requirement to consider whether a complaint </w:t>
      </w:r>
      <w:proofErr w:type="gramStart"/>
      <w:r>
        <w:rPr>
          <w:rFonts w:cs="Arial"/>
          <w:color w:val="000000" w:themeColor="text1"/>
          <w:szCs w:val="22"/>
        </w:rPr>
        <w:t>should be terminated</w:t>
      </w:r>
      <w:proofErr w:type="gramEnd"/>
      <w:r>
        <w:rPr>
          <w:rFonts w:cs="Arial"/>
          <w:color w:val="000000" w:themeColor="text1"/>
          <w:szCs w:val="22"/>
        </w:rPr>
        <w:t xml:space="preserve"> occurs before the President commences an inquiry or attempts to conciliate a complaint. </w:t>
      </w:r>
    </w:p>
    <w:p w:rsidR="00035752" w:rsidRDefault="00035752" w:rsidP="00035752">
      <w:pPr>
        <w:spacing w:before="0" w:after="0"/>
        <w:rPr>
          <w:rFonts w:cs="Arial"/>
          <w:color w:val="000000" w:themeColor="text1"/>
          <w:szCs w:val="22"/>
        </w:rPr>
      </w:pPr>
    </w:p>
    <w:p w:rsidR="00035752" w:rsidRPr="00565D07" w:rsidRDefault="00035752" w:rsidP="00035752">
      <w:pPr>
        <w:spacing w:before="0" w:after="0"/>
        <w:rPr>
          <w:rFonts w:cs="Arial"/>
          <w:color w:val="000000" w:themeColor="text1"/>
          <w:szCs w:val="22"/>
        </w:rPr>
      </w:pPr>
      <w:r w:rsidRPr="00565D07">
        <w:rPr>
          <w:rFonts w:cs="Arial"/>
          <w:color w:val="000000" w:themeColor="text1"/>
          <w:szCs w:val="22"/>
        </w:rPr>
        <w:t>T</w:t>
      </w:r>
      <w:r>
        <w:rPr>
          <w:rFonts w:cs="Arial"/>
          <w:color w:val="000000" w:themeColor="text1"/>
          <w:szCs w:val="22"/>
        </w:rPr>
        <w:t xml:space="preserve">he termination grounds </w:t>
      </w:r>
      <w:proofErr w:type="gramStart"/>
      <w:r>
        <w:rPr>
          <w:rFonts w:cs="Arial"/>
          <w:color w:val="000000" w:themeColor="text1"/>
          <w:szCs w:val="22"/>
        </w:rPr>
        <w:t>are now</w:t>
      </w:r>
      <w:r w:rsidRPr="00565D07">
        <w:rPr>
          <w:rFonts w:cs="Arial"/>
          <w:color w:val="000000" w:themeColor="text1"/>
          <w:szCs w:val="22"/>
        </w:rPr>
        <w:t xml:space="preserve"> grouped</w:t>
      </w:r>
      <w:proofErr w:type="gramEnd"/>
      <w:r w:rsidRPr="00565D07">
        <w:rPr>
          <w:rFonts w:cs="Arial"/>
          <w:color w:val="000000" w:themeColor="text1"/>
          <w:szCs w:val="22"/>
        </w:rPr>
        <w:t xml:space="preserve"> into two </w:t>
      </w:r>
      <w:r>
        <w:rPr>
          <w:rFonts w:cs="Arial"/>
          <w:color w:val="000000" w:themeColor="text1"/>
          <w:szCs w:val="22"/>
        </w:rPr>
        <w:t>categories</w:t>
      </w:r>
      <w:r w:rsidRPr="00565D07">
        <w:rPr>
          <w:rFonts w:cs="Arial"/>
          <w:color w:val="000000" w:themeColor="text1"/>
          <w:szCs w:val="22"/>
        </w:rPr>
        <w:t>:</w:t>
      </w:r>
      <w:r w:rsidR="00D60432">
        <w:rPr>
          <w:rFonts w:cs="Arial"/>
          <w:color w:val="000000" w:themeColor="text1"/>
          <w:szCs w:val="22"/>
        </w:rPr>
        <w:t xml:space="preserve"> </w:t>
      </w:r>
      <w:r w:rsidRPr="00565D07">
        <w:rPr>
          <w:rFonts w:cs="Arial"/>
          <w:color w:val="000000" w:themeColor="text1"/>
          <w:szCs w:val="22"/>
        </w:rPr>
        <w:t xml:space="preserve">discretionary and mandatory. </w:t>
      </w:r>
    </w:p>
    <w:p w:rsidR="00035752" w:rsidRPr="00565D07" w:rsidRDefault="00035752" w:rsidP="00035752">
      <w:pPr>
        <w:spacing w:before="0" w:after="0"/>
        <w:rPr>
          <w:rFonts w:cs="Arial"/>
          <w:color w:val="000000" w:themeColor="text1"/>
          <w:szCs w:val="22"/>
        </w:rPr>
      </w:pPr>
    </w:p>
    <w:p w:rsidR="00035752" w:rsidRPr="00337F3B" w:rsidRDefault="00035752" w:rsidP="00035752">
      <w:pPr>
        <w:spacing w:before="0" w:after="0"/>
        <w:rPr>
          <w:rFonts w:cs="Arial"/>
          <w:color w:val="000000" w:themeColor="text1"/>
          <w:szCs w:val="22"/>
        </w:rPr>
      </w:pPr>
      <w:r w:rsidRPr="00337F3B">
        <w:rPr>
          <w:rFonts w:cs="Arial"/>
          <w:color w:val="000000" w:themeColor="text1"/>
          <w:szCs w:val="22"/>
        </w:rPr>
        <w:t>The mandatory termination grounds include</w:t>
      </w:r>
      <w:r>
        <w:rPr>
          <w:rFonts w:cs="Arial"/>
          <w:color w:val="000000" w:themeColor="text1"/>
          <w:szCs w:val="22"/>
        </w:rPr>
        <w:t xml:space="preserve"> where the President is satisfied that</w:t>
      </w:r>
      <w:r w:rsidRPr="00337F3B">
        <w:rPr>
          <w:rFonts w:cs="Arial"/>
          <w:color w:val="000000" w:themeColor="text1"/>
          <w:szCs w:val="22"/>
        </w:rPr>
        <w:t>:</w:t>
      </w:r>
    </w:p>
    <w:p w:rsidR="00035752" w:rsidRPr="00565D07" w:rsidRDefault="00035752" w:rsidP="00D60432">
      <w:pPr>
        <w:tabs>
          <w:tab w:val="left" w:pos="709"/>
        </w:tabs>
        <w:spacing w:before="0" w:after="0"/>
        <w:rPr>
          <w:rFonts w:cs="Arial"/>
          <w:color w:val="000000" w:themeColor="text1"/>
          <w:szCs w:val="22"/>
        </w:rPr>
      </w:pPr>
    </w:p>
    <w:p w:rsidR="00035752" w:rsidRPr="00D60432" w:rsidRDefault="00035752" w:rsidP="00F953E8">
      <w:pPr>
        <w:pStyle w:val="ListParagraph"/>
        <w:numPr>
          <w:ilvl w:val="0"/>
          <w:numId w:val="21"/>
        </w:numPr>
        <w:tabs>
          <w:tab w:val="left" w:pos="426"/>
        </w:tabs>
        <w:spacing w:before="0" w:after="0"/>
        <w:rPr>
          <w:rFonts w:cs="Arial"/>
          <w:color w:val="000000" w:themeColor="text1"/>
          <w:szCs w:val="22"/>
        </w:rPr>
      </w:pPr>
      <w:r w:rsidRPr="00D60432">
        <w:rPr>
          <w:rFonts w:cs="Arial"/>
          <w:color w:val="000000" w:themeColor="text1"/>
          <w:szCs w:val="22"/>
        </w:rPr>
        <w:t>the complaint is trivial, vexatious, misconce</w:t>
      </w:r>
      <w:r w:rsidR="00E34EC6" w:rsidRPr="00D60432">
        <w:rPr>
          <w:rFonts w:cs="Arial"/>
          <w:color w:val="000000" w:themeColor="text1"/>
          <w:szCs w:val="22"/>
        </w:rPr>
        <w:t>ived or lacking in substance</w:t>
      </w:r>
      <w:r w:rsidR="004369E5">
        <w:rPr>
          <w:rFonts w:cs="Arial"/>
          <w:color w:val="000000" w:themeColor="text1"/>
          <w:szCs w:val="22"/>
        </w:rPr>
        <w:t>;</w:t>
      </w:r>
    </w:p>
    <w:p w:rsidR="00035752" w:rsidRPr="00D60432" w:rsidRDefault="00035752" w:rsidP="00F953E8">
      <w:pPr>
        <w:pStyle w:val="ListParagraph"/>
        <w:numPr>
          <w:ilvl w:val="0"/>
          <w:numId w:val="21"/>
        </w:numPr>
        <w:tabs>
          <w:tab w:val="left" w:pos="426"/>
        </w:tabs>
        <w:spacing w:before="0" w:after="0"/>
        <w:rPr>
          <w:rFonts w:cs="Arial"/>
          <w:color w:val="000000" w:themeColor="text1"/>
          <w:szCs w:val="22"/>
        </w:rPr>
      </w:pPr>
      <w:r w:rsidRPr="00D60432">
        <w:rPr>
          <w:rFonts w:cs="Arial"/>
          <w:color w:val="000000" w:themeColor="text1"/>
          <w:szCs w:val="22"/>
        </w:rPr>
        <w:t>there is no reasonable prospect of the matter b</w:t>
      </w:r>
      <w:r w:rsidR="00E34EC6" w:rsidRPr="00D60432">
        <w:rPr>
          <w:rFonts w:cs="Arial"/>
          <w:color w:val="000000" w:themeColor="text1"/>
          <w:szCs w:val="22"/>
        </w:rPr>
        <w:t>eing settled by conciliation</w:t>
      </w:r>
      <w:r w:rsidR="004369E5">
        <w:rPr>
          <w:rFonts w:cs="Arial"/>
          <w:color w:val="000000" w:themeColor="text1"/>
          <w:szCs w:val="22"/>
        </w:rPr>
        <w:t>; or</w:t>
      </w:r>
    </w:p>
    <w:p w:rsidR="00035752" w:rsidRPr="00D60432" w:rsidRDefault="00035752" w:rsidP="00F953E8">
      <w:pPr>
        <w:pStyle w:val="ListParagraph"/>
        <w:numPr>
          <w:ilvl w:val="0"/>
          <w:numId w:val="21"/>
        </w:numPr>
        <w:tabs>
          <w:tab w:val="left" w:pos="426"/>
        </w:tabs>
        <w:spacing w:before="0" w:after="0"/>
        <w:rPr>
          <w:rFonts w:cs="Arial"/>
          <w:color w:val="000000" w:themeColor="text1"/>
          <w:szCs w:val="22"/>
        </w:rPr>
      </w:pPr>
      <w:proofErr w:type="gramStart"/>
      <w:r w:rsidRPr="00D60432">
        <w:rPr>
          <w:rFonts w:cs="Arial"/>
          <w:color w:val="000000" w:themeColor="text1"/>
          <w:szCs w:val="22"/>
        </w:rPr>
        <w:t>there</w:t>
      </w:r>
      <w:proofErr w:type="gramEnd"/>
      <w:r w:rsidRPr="00D60432">
        <w:rPr>
          <w:rFonts w:cs="Arial"/>
          <w:color w:val="000000" w:themeColor="text1"/>
          <w:szCs w:val="22"/>
        </w:rPr>
        <w:t xml:space="preserve"> would be no reasonable prospect of success in court</w:t>
      </w:r>
      <w:r w:rsidR="004369E5">
        <w:rPr>
          <w:rFonts w:cs="Arial"/>
          <w:color w:val="000000" w:themeColor="text1"/>
          <w:szCs w:val="22"/>
        </w:rPr>
        <w:t>.</w:t>
      </w:r>
    </w:p>
    <w:p w:rsidR="00035752" w:rsidRPr="00565D07" w:rsidRDefault="00035752" w:rsidP="00035752">
      <w:pPr>
        <w:spacing w:before="0" w:after="0"/>
        <w:rPr>
          <w:rFonts w:cs="Arial"/>
          <w:color w:val="000000" w:themeColor="text1"/>
          <w:szCs w:val="22"/>
        </w:rPr>
      </w:pPr>
    </w:p>
    <w:p w:rsidR="00035752" w:rsidRDefault="00035752" w:rsidP="00035752">
      <w:pPr>
        <w:spacing w:before="0" w:after="0"/>
        <w:rPr>
          <w:rFonts w:cs="Arial"/>
          <w:color w:val="000000" w:themeColor="text1"/>
          <w:szCs w:val="22"/>
        </w:rPr>
      </w:pPr>
      <w:r w:rsidRPr="00565D07">
        <w:rPr>
          <w:rFonts w:cs="Arial"/>
          <w:color w:val="000000" w:themeColor="text1"/>
          <w:szCs w:val="22"/>
        </w:rPr>
        <w:t xml:space="preserve">The </w:t>
      </w:r>
      <w:r>
        <w:rPr>
          <w:rFonts w:cs="Arial"/>
          <w:color w:val="000000" w:themeColor="text1"/>
          <w:szCs w:val="22"/>
        </w:rPr>
        <w:t>amendments also added an additional discretionary ground under which the President may terminate a complaint</w:t>
      </w:r>
      <w:r w:rsidRPr="00565D07">
        <w:rPr>
          <w:rFonts w:cs="Arial"/>
          <w:color w:val="000000" w:themeColor="text1"/>
          <w:szCs w:val="22"/>
        </w:rPr>
        <w:t xml:space="preserve">, </w:t>
      </w:r>
      <w:r w:rsidRPr="00FB2CD4">
        <w:rPr>
          <w:rFonts w:cs="Arial"/>
          <w:color w:val="000000" w:themeColor="text1"/>
          <w:szCs w:val="22"/>
        </w:rPr>
        <w:t>where satisfied</w:t>
      </w:r>
      <w:r>
        <w:rPr>
          <w:rFonts w:cs="Arial"/>
          <w:color w:val="000000" w:themeColor="text1"/>
          <w:szCs w:val="22"/>
        </w:rPr>
        <w:t xml:space="preserve"> that in all</w:t>
      </w:r>
      <w:r w:rsidRPr="00FB2CD4">
        <w:rPr>
          <w:rFonts w:cs="Arial"/>
          <w:color w:val="000000" w:themeColor="text1"/>
          <w:szCs w:val="22"/>
        </w:rPr>
        <w:t xml:space="preserve"> the circumstances, an inquiry, or a continuation of an inquiry, </w:t>
      </w:r>
      <w:proofErr w:type="gramStart"/>
      <w:r w:rsidRPr="00FB2CD4">
        <w:rPr>
          <w:rFonts w:cs="Arial"/>
          <w:color w:val="000000" w:themeColor="text1"/>
          <w:szCs w:val="22"/>
        </w:rPr>
        <w:t>is not warranted</w:t>
      </w:r>
      <w:proofErr w:type="gramEnd"/>
      <w:r w:rsidRPr="00FB2CD4">
        <w:rPr>
          <w:rFonts w:cs="Arial"/>
          <w:color w:val="000000" w:themeColor="text1"/>
          <w:szCs w:val="22"/>
        </w:rPr>
        <w:t>.</w:t>
      </w:r>
      <w:r w:rsidRPr="00565D07">
        <w:rPr>
          <w:rFonts w:cs="Arial"/>
          <w:color w:val="000000" w:themeColor="text1"/>
          <w:szCs w:val="22"/>
        </w:rPr>
        <w:t xml:space="preserve"> </w:t>
      </w:r>
    </w:p>
    <w:p w:rsidR="00035752" w:rsidRDefault="00035752" w:rsidP="00035752">
      <w:pPr>
        <w:spacing w:before="0" w:after="0"/>
        <w:rPr>
          <w:rFonts w:cs="Arial"/>
          <w:color w:val="000000" w:themeColor="text1"/>
          <w:szCs w:val="22"/>
        </w:rPr>
      </w:pPr>
    </w:p>
    <w:p w:rsidR="00035752" w:rsidRPr="00FB2CD4" w:rsidRDefault="00035752" w:rsidP="00035752">
      <w:pPr>
        <w:spacing w:before="0" w:after="0"/>
        <w:rPr>
          <w:rFonts w:cs="Arial"/>
          <w:color w:val="000000" w:themeColor="text1"/>
          <w:szCs w:val="22"/>
        </w:rPr>
      </w:pPr>
      <w:r w:rsidRPr="00FB2CD4">
        <w:rPr>
          <w:rFonts w:cs="Arial"/>
          <w:color w:val="000000" w:themeColor="text1"/>
          <w:szCs w:val="22"/>
        </w:rPr>
        <w:t xml:space="preserve">The termination of a complaint at this initial phase, before an inquiry has commenced, is also subject to subsection </w:t>
      </w:r>
      <w:proofErr w:type="gramStart"/>
      <w:r w:rsidRPr="00FB2CD4">
        <w:rPr>
          <w:rFonts w:cs="Arial"/>
          <w:color w:val="000000" w:themeColor="text1"/>
          <w:szCs w:val="22"/>
        </w:rPr>
        <w:t>46PF(</w:t>
      </w:r>
      <w:proofErr w:type="gramEnd"/>
      <w:r w:rsidRPr="00FB2CD4">
        <w:rPr>
          <w:rFonts w:cs="Arial"/>
          <w:color w:val="000000" w:themeColor="text1"/>
          <w:szCs w:val="22"/>
        </w:rPr>
        <w:t>5) of the AHRCA</w:t>
      </w:r>
      <w:r>
        <w:rPr>
          <w:rFonts w:cs="Arial"/>
          <w:color w:val="000000" w:themeColor="text1"/>
          <w:szCs w:val="22"/>
        </w:rPr>
        <w:t xml:space="preserve">. This </w:t>
      </w:r>
      <w:r w:rsidR="00D60432">
        <w:rPr>
          <w:rFonts w:cs="Arial"/>
          <w:color w:val="000000" w:themeColor="text1"/>
          <w:szCs w:val="22"/>
        </w:rPr>
        <w:t>sub</w:t>
      </w:r>
      <w:r>
        <w:rPr>
          <w:rFonts w:cs="Arial"/>
          <w:color w:val="000000" w:themeColor="text1"/>
          <w:szCs w:val="22"/>
        </w:rPr>
        <w:t>section provides</w:t>
      </w:r>
      <w:r w:rsidRPr="00FB2CD4">
        <w:rPr>
          <w:rFonts w:cs="Arial"/>
          <w:color w:val="000000" w:themeColor="text1"/>
          <w:szCs w:val="22"/>
        </w:rPr>
        <w:t xml:space="preserve"> that the President may decide not to inquire into a complaint if satisfied that the person aggrieved does not want the President to inquire, or the President is satisfied that the complaint has been resolved.</w:t>
      </w:r>
    </w:p>
    <w:p w:rsidR="00035752" w:rsidRDefault="00035752" w:rsidP="00035752">
      <w:pPr>
        <w:spacing w:before="0" w:after="0"/>
        <w:rPr>
          <w:rFonts w:cs="Arial"/>
          <w:b/>
          <w:color w:val="000000" w:themeColor="text1"/>
          <w:szCs w:val="22"/>
        </w:rPr>
      </w:pPr>
    </w:p>
    <w:p w:rsidR="00035752" w:rsidRPr="00FB2CD4" w:rsidRDefault="00035752" w:rsidP="00035752">
      <w:pPr>
        <w:spacing w:before="0" w:after="0"/>
        <w:rPr>
          <w:rFonts w:cs="Arial"/>
          <w:b/>
          <w:color w:val="000000" w:themeColor="text1"/>
          <w:szCs w:val="22"/>
        </w:rPr>
      </w:pPr>
      <w:r w:rsidRPr="00FB2CD4">
        <w:rPr>
          <w:rFonts w:cs="Arial"/>
          <w:b/>
          <w:color w:val="000000" w:themeColor="text1"/>
          <w:szCs w:val="22"/>
        </w:rPr>
        <w:t>Time limitations</w:t>
      </w:r>
    </w:p>
    <w:p w:rsidR="00035752" w:rsidRDefault="00035752" w:rsidP="00035752">
      <w:pPr>
        <w:spacing w:before="0" w:after="0"/>
        <w:rPr>
          <w:rFonts w:cs="Arial"/>
          <w:color w:val="000000" w:themeColor="text1"/>
          <w:szCs w:val="22"/>
        </w:rPr>
      </w:pPr>
    </w:p>
    <w:p w:rsidR="00035752" w:rsidRDefault="00035752" w:rsidP="00035752">
      <w:pPr>
        <w:spacing w:before="0" w:after="0"/>
        <w:rPr>
          <w:rFonts w:cs="Arial"/>
          <w:color w:val="000000" w:themeColor="text1"/>
          <w:szCs w:val="22"/>
        </w:rPr>
      </w:pPr>
      <w:r>
        <w:rPr>
          <w:rFonts w:cs="Arial"/>
          <w:color w:val="000000" w:themeColor="text1"/>
          <w:szCs w:val="22"/>
        </w:rPr>
        <w:t xml:space="preserve">There is no specific </w:t>
      </w:r>
      <w:proofErr w:type="gramStart"/>
      <w:r>
        <w:rPr>
          <w:rFonts w:cs="Arial"/>
          <w:color w:val="000000" w:themeColor="text1"/>
          <w:szCs w:val="22"/>
        </w:rPr>
        <w:t>time frame</w:t>
      </w:r>
      <w:proofErr w:type="gramEnd"/>
      <w:r>
        <w:rPr>
          <w:rFonts w:cs="Arial"/>
          <w:color w:val="000000" w:themeColor="text1"/>
          <w:szCs w:val="22"/>
        </w:rPr>
        <w:t xml:space="preserve"> in which a complaint must be lodged with the Commission. However, the President can now terminate a complaint if the complaint </w:t>
      </w:r>
      <w:proofErr w:type="gramStart"/>
      <w:r>
        <w:rPr>
          <w:rFonts w:cs="Arial"/>
          <w:color w:val="000000" w:themeColor="text1"/>
          <w:szCs w:val="22"/>
        </w:rPr>
        <w:t>was lodged</w:t>
      </w:r>
      <w:proofErr w:type="gramEnd"/>
      <w:r>
        <w:rPr>
          <w:rFonts w:cs="Arial"/>
          <w:color w:val="000000" w:themeColor="text1"/>
          <w:szCs w:val="22"/>
        </w:rPr>
        <w:t xml:space="preserve"> more than 6 </w:t>
      </w:r>
      <w:r w:rsidRPr="00E95897">
        <w:rPr>
          <w:rFonts w:cs="Arial"/>
          <w:color w:val="000000" w:themeColor="text1"/>
          <w:szCs w:val="22"/>
        </w:rPr>
        <w:t xml:space="preserve">months after the alleged </w:t>
      </w:r>
      <w:r w:rsidR="00D60432">
        <w:rPr>
          <w:rFonts w:cs="Arial"/>
          <w:color w:val="000000" w:themeColor="text1"/>
          <w:szCs w:val="22"/>
        </w:rPr>
        <w:t>act or practice</w:t>
      </w:r>
      <w:r>
        <w:rPr>
          <w:rFonts w:cs="Arial"/>
          <w:color w:val="000000" w:themeColor="text1"/>
          <w:szCs w:val="22"/>
        </w:rPr>
        <w:t xml:space="preserve"> took place</w:t>
      </w:r>
      <w:r w:rsidRPr="00E95897">
        <w:rPr>
          <w:rFonts w:cs="Arial"/>
          <w:color w:val="000000" w:themeColor="text1"/>
          <w:szCs w:val="22"/>
        </w:rPr>
        <w:t xml:space="preserve">. This change only applies to </w:t>
      </w:r>
      <w:r w:rsidR="00D60432">
        <w:rPr>
          <w:rFonts w:cs="Arial"/>
          <w:color w:val="000000" w:themeColor="text1"/>
          <w:szCs w:val="22"/>
        </w:rPr>
        <w:t>acts or practices that take</w:t>
      </w:r>
      <w:r w:rsidR="00E34EC6">
        <w:rPr>
          <w:rFonts w:cs="Arial"/>
          <w:color w:val="000000" w:themeColor="text1"/>
          <w:szCs w:val="22"/>
        </w:rPr>
        <w:t xml:space="preserve"> </w:t>
      </w:r>
      <w:r w:rsidR="00D60432">
        <w:rPr>
          <w:rFonts w:cs="Arial"/>
          <w:color w:val="000000" w:themeColor="text1"/>
          <w:szCs w:val="22"/>
        </w:rPr>
        <w:t>place</w:t>
      </w:r>
      <w:r w:rsidRPr="00E95897">
        <w:rPr>
          <w:rFonts w:cs="Arial"/>
          <w:color w:val="000000" w:themeColor="text1"/>
          <w:szCs w:val="22"/>
        </w:rPr>
        <w:t xml:space="preserve"> after 13 April 2017 (the date of the amendment). </w:t>
      </w:r>
      <w:r>
        <w:rPr>
          <w:rFonts w:cs="Arial"/>
          <w:color w:val="000000" w:themeColor="text1"/>
          <w:szCs w:val="22"/>
        </w:rPr>
        <w:t xml:space="preserve"> Prior to this amendment, the President had the power to terminate a complaint lodged more than 12 months after the alleged events.</w:t>
      </w:r>
    </w:p>
    <w:p w:rsidR="00035752" w:rsidRDefault="00035752" w:rsidP="00035752">
      <w:pPr>
        <w:spacing w:before="0" w:after="0"/>
        <w:rPr>
          <w:rFonts w:cs="Arial"/>
          <w:b/>
          <w:color w:val="000000" w:themeColor="text1"/>
          <w:szCs w:val="22"/>
        </w:rPr>
      </w:pPr>
    </w:p>
    <w:p w:rsidR="00E34EC6" w:rsidRDefault="00E34EC6">
      <w:pPr>
        <w:spacing w:before="0" w:after="0"/>
        <w:rPr>
          <w:rFonts w:cs="Arial"/>
          <w:b/>
          <w:color w:val="000000" w:themeColor="text1"/>
          <w:szCs w:val="22"/>
        </w:rPr>
      </w:pPr>
      <w:r>
        <w:rPr>
          <w:rFonts w:cs="Arial"/>
          <w:b/>
          <w:color w:val="000000" w:themeColor="text1"/>
          <w:szCs w:val="22"/>
        </w:rPr>
        <w:br w:type="page"/>
      </w:r>
    </w:p>
    <w:p w:rsidR="00035752" w:rsidRDefault="00035752" w:rsidP="00035752">
      <w:pPr>
        <w:spacing w:before="0" w:after="0"/>
        <w:rPr>
          <w:rFonts w:cs="Arial"/>
          <w:b/>
          <w:color w:val="000000" w:themeColor="text1"/>
          <w:szCs w:val="22"/>
        </w:rPr>
      </w:pPr>
      <w:r>
        <w:rPr>
          <w:rFonts w:cs="Arial"/>
          <w:b/>
          <w:color w:val="000000" w:themeColor="text1"/>
          <w:szCs w:val="22"/>
        </w:rPr>
        <w:lastRenderedPageBreak/>
        <w:t>Commencing an inquiry and notification obligations</w:t>
      </w:r>
    </w:p>
    <w:p w:rsidR="00035752" w:rsidRDefault="00035752" w:rsidP="00035752">
      <w:pPr>
        <w:spacing w:before="0" w:after="0"/>
        <w:rPr>
          <w:rFonts w:cs="Arial"/>
          <w:b/>
          <w:color w:val="000000" w:themeColor="text1"/>
          <w:szCs w:val="22"/>
        </w:rPr>
      </w:pPr>
    </w:p>
    <w:p w:rsidR="00035752" w:rsidRPr="007D2753" w:rsidRDefault="00035752" w:rsidP="00035752">
      <w:pPr>
        <w:spacing w:before="0" w:after="0"/>
        <w:contextualSpacing/>
        <w:rPr>
          <w:szCs w:val="22"/>
        </w:rPr>
      </w:pPr>
      <w:r>
        <w:rPr>
          <w:szCs w:val="22"/>
        </w:rPr>
        <w:t>If</w:t>
      </w:r>
      <w:r w:rsidRPr="007D2753">
        <w:rPr>
          <w:szCs w:val="22"/>
        </w:rPr>
        <w:t xml:space="preserve"> the President has not terminated a complaint </w:t>
      </w:r>
      <w:r>
        <w:rPr>
          <w:szCs w:val="22"/>
        </w:rPr>
        <w:t>at the initial assessment stage,</w:t>
      </w:r>
      <w:r w:rsidRPr="007D2753">
        <w:rPr>
          <w:szCs w:val="22"/>
        </w:rPr>
        <w:t xml:space="preserve"> the President is</w:t>
      </w:r>
      <w:r>
        <w:rPr>
          <w:szCs w:val="22"/>
        </w:rPr>
        <w:t xml:space="preserve"> required</w:t>
      </w:r>
      <w:r w:rsidRPr="007D2753">
        <w:rPr>
          <w:szCs w:val="22"/>
        </w:rPr>
        <w:t xml:space="preserve"> to inquire into and attempt to conciliate </w:t>
      </w:r>
      <w:r>
        <w:rPr>
          <w:szCs w:val="22"/>
        </w:rPr>
        <w:t xml:space="preserve">the </w:t>
      </w:r>
      <w:r w:rsidRPr="007D2753">
        <w:rPr>
          <w:szCs w:val="22"/>
        </w:rPr>
        <w:t>complaint.</w:t>
      </w:r>
    </w:p>
    <w:p w:rsidR="00035752" w:rsidRDefault="00035752" w:rsidP="00035752">
      <w:pPr>
        <w:spacing w:before="0" w:after="0"/>
        <w:contextualSpacing/>
        <w:rPr>
          <w:szCs w:val="22"/>
        </w:rPr>
      </w:pPr>
    </w:p>
    <w:p w:rsidR="00035752" w:rsidRPr="007D2753" w:rsidRDefault="00035752" w:rsidP="00035752">
      <w:pPr>
        <w:spacing w:before="0" w:after="0"/>
        <w:contextualSpacing/>
        <w:rPr>
          <w:szCs w:val="22"/>
        </w:rPr>
      </w:pPr>
      <w:r w:rsidRPr="007D2753">
        <w:rPr>
          <w:szCs w:val="22"/>
        </w:rPr>
        <w:t xml:space="preserve">If the President has decided to </w:t>
      </w:r>
      <w:r>
        <w:rPr>
          <w:szCs w:val="22"/>
        </w:rPr>
        <w:t>inquire</w:t>
      </w:r>
      <w:r w:rsidRPr="007D2753">
        <w:rPr>
          <w:szCs w:val="22"/>
        </w:rPr>
        <w:t xml:space="preserve"> into a complaint, the President must notify:</w:t>
      </w:r>
    </w:p>
    <w:p w:rsidR="00E34EC6" w:rsidRDefault="00E34EC6" w:rsidP="00E34EC6">
      <w:pPr>
        <w:spacing w:before="0" w:after="0"/>
        <w:contextualSpacing/>
        <w:rPr>
          <w:szCs w:val="22"/>
        </w:rPr>
      </w:pPr>
    </w:p>
    <w:p w:rsidR="00035752" w:rsidRPr="00E34EC6" w:rsidRDefault="00035752" w:rsidP="00F953E8">
      <w:pPr>
        <w:pStyle w:val="ListParagraph"/>
        <w:numPr>
          <w:ilvl w:val="0"/>
          <w:numId w:val="19"/>
        </w:numPr>
        <w:spacing w:before="0" w:after="0"/>
        <w:rPr>
          <w:szCs w:val="22"/>
        </w:rPr>
      </w:pPr>
      <w:r w:rsidRPr="00E34EC6">
        <w:rPr>
          <w:szCs w:val="22"/>
        </w:rPr>
        <w:t>The respondent(s) to the complaint (unless to do so would prejudice the safety of a person)</w:t>
      </w:r>
      <w:r w:rsidR="00E34EC6" w:rsidRPr="00E34EC6">
        <w:rPr>
          <w:szCs w:val="22"/>
        </w:rPr>
        <w:t>; and</w:t>
      </w:r>
    </w:p>
    <w:p w:rsidR="00035752" w:rsidRPr="00E34EC6" w:rsidRDefault="00035752" w:rsidP="00F953E8">
      <w:pPr>
        <w:pStyle w:val="ListParagraph"/>
        <w:numPr>
          <w:ilvl w:val="0"/>
          <w:numId w:val="19"/>
        </w:numPr>
        <w:spacing w:before="0" w:after="0"/>
        <w:rPr>
          <w:szCs w:val="22"/>
        </w:rPr>
      </w:pPr>
      <w:r w:rsidRPr="00E34EC6">
        <w:rPr>
          <w:szCs w:val="22"/>
        </w:rPr>
        <w:t xml:space="preserve">People who are the subject of an adverse allegation (unless to do so would prejudice the safety of a person or </w:t>
      </w:r>
      <w:r w:rsidR="00E34EC6" w:rsidRPr="00E34EC6">
        <w:rPr>
          <w:szCs w:val="22"/>
        </w:rPr>
        <w:t>it is not practicable to do so).</w:t>
      </w:r>
    </w:p>
    <w:p w:rsidR="00035752" w:rsidRPr="008F770A" w:rsidRDefault="00035752" w:rsidP="00035752">
      <w:pPr>
        <w:rPr>
          <w:rFonts w:cs="Arial"/>
          <w:color w:val="000000" w:themeColor="text1"/>
          <w:szCs w:val="22"/>
        </w:rPr>
      </w:pPr>
      <w:r w:rsidRPr="008F770A">
        <w:rPr>
          <w:rFonts w:cs="Arial"/>
          <w:color w:val="000000" w:themeColor="text1"/>
          <w:szCs w:val="22"/>
        </w:rPr>
        <w:t xml:space="preserve">An </w:t>
      </w:r>
      <w:r>
        <w:rPr>
          <w:rFonts w:cs="Arial"/>
          <w:color w:val="000000" w:themeColor="text1"/>
          <w:szCs w:val="22"/>
        </w:rPr>
        <w:t>a</w:t>
      </w:r>
      <w:r w:rsidRPr="008F770A">
        <w:rPr>
          <w:rFonts w:cs="Arial"/>
          <w:color w:val="000000" w:themeColor="text1"/>
          <w:szCs w:val="22"/>
        </w:rPr>
        <w:t xml:space="preserve">dverse </w:t>
      </w:r>
      <w:r>
        <w:rPr>
          <w:rFonts w:cs="Arial"/>
          <w:color w:val="000000" w:themeColor="text1"/>
          <w:szCs w:val="22"/>
        </w:rPr>
        <w:t>a</w:t>
      </w:r>
      <w:r w:rsidRPr="008F770A">
        <w:rPr>
          <w:rFonts w:cs="Arial"/>
          <w:color w:val="000000" w:themeColor="text1"/>
          <w:szCs w:val="22"/>
        </w:rPr>
        <w:t xml:space="preserve">llegation </w:t>
      </w:r>
      <w:proofErr w:type="gramStart"/>
      <w:r w:rsidRPr="008F770A">
        <w:rPr>
          <w:rFonts w:cs="Arial"/>
          <w:color w:val="000000" w:themeColor="text1"/>
          <w:szCs w:val="22"/>
        </w:rPr>
        <w:t>is defined</w:t>
      </w:r>
      <w:proofErr w:type="gramEnd"/>
      <w:r w:rsidRPr="008F770A">
        <w:rPr>
          <w:rFonts w:cs="Arial"/>
          <w:color w:val="000000" w:themeColor="text1"/>
          <w:szCs w:val="22"/>
        </w:rPr>
        <w:t xml:space="preserve"> in the AHRCA to mean an allegation that acts, omissions or practices have occurred and those acts, omissions or practices are unlawful discrimination.</w:t>
      </w:r>
    </w:p>
    <w:p w:rsidR="00035752" w:rsidRDefault="00035752" w:rsidP="00035752">
      <w:pPr>
        <w:spacing w:before="0" w:after="0"/>
        <w:rPr>
          <w:rFonts w:cs="Arial"/>
          <w:b/>
          <w:color w:val="000000" w:themeColor="text1"/>
          <w:szCs w:val="22"/>
        </w:rPr>
      </w:pPr>
      <w:r>
        <w:rPr>
          <w:rFonts w:cs="Arial"/>
          <w:b/>
          <w:color w:val="000000" w:themeColor="text1"/>
          <w:szCs w:val="22"/>
        </w:rPr>
        <w:t>Conciliation</w:t>
      </w:r>
    </w:p>
    <w:p w:rsidR="00035752" w:rsidRDefault="00035752" w:rsidP="00035752">
      <w:pPr>
        <w:spacing w:before="0" w:after="0"/>
        <w:rPr>
          <w:rFonts w:cs="Arial"/>
          <w:b/>
          <w:color w:val="000000" w:themeColor="text1"/>
          <w:szCs w:val="22"/>
        </w:rPr>
      </w:pPr>
    </w:p>
    <w:p w:rsidR="00035752" w:rsidRDefault="00035752" w:rsidP="00035752">
      <w:pPr>
        <w:spacing w:before="0" w:after="0"/>
        <w:rPr>
          <w:rFonts w:cs="Arial"/>
          <w:color w:val="000000" w:themeColor="text1"/>
          <w:szCs w:val="22"/>
        </w:rPr>
      </w:pPr>
      <w:r>
        <w:rPr>
          <w:rFonts w:cs="Arial"/>
          <w:color w:val="000000" w:themeColor="text1"/>
          <w:szCs w:val="22"/>
        </w:rPr>
        <w:t>If a complaint proceeds to a conciliation conference, sections 46PK and 46PKA of the AHRCA provide that:</w:t>
      </w:r>
    </w:p>
    <w:p w:rsidR="00E34EC6" w:rsidRDefault="00E34EC6" w:rsidP="00035752">
      <w:pPr>
        <w:spacing w:before="0" w:after="0"/>
        <w:rPr>
          <w:rFonts w:cs="Arial"/>
          <w:color w:val="000000" w:themeColor="text1"/>
          <w:szCs w:val="22"/>
        </w:rPr>
      </w:pPr>
    </w:p>
    <w:p w:rsidR="00035752" w:rsidRPr="008F770A" w:rsidRDefault="00035752" w:rsidP="00F953E8">
      <w:pPr>
        <w:pStyle w:val="ListParagraph"/>
        <w:numPr>
          <w:ilvl w:val="0"/>
          <w:numId w:val="18"/>
        </w:numPr>
        <w:spacing w:before="0" w:after="0"/>
        <w:rPr>
          <w:rFonts w:cs="Arial"/>
          <w:color w:val="000000" w:themeColor="text1"/>
          <w:szCs w:val="22"/>
        </w:rPr>
      </w:pPr>
      <w:r w:rsidRPr="008F770A">
        <w:rPr>
          <w:rFonts w:cs="Arial"/>
          <w:color w:val="000000" w:themeColor="text1"/>
          <w:szCs w:val="22"/>
        </w:rPr>
        <w:t>the conciliation conference is to be conducted in private</w:t>
      </w:r>
      <w:r>
        <w:rPr>
          <w:rFonts w:cs="Arial"/>
          <w:color w:val="000000" w:themeColor="text1"/>
          <w:szCs w:val="22"/>
        </w:rPr>
        <w:t xml:space="preserve">; and </w:t>
      </w:r>
    </w:p>
    <w:p w:rsidR="00035752" w:rsidRPr="008F770A" w:rsidRDefault="00035752" w:rsidP="00F953E8">
      <w:pPr>
        <w:pStyle w:val="ListParagraph"/>
        <w:numPr>
          <w:ilvl w:val="0"/>
          <w:numId w:val="18"/>
        </w:numPr>
        <w:spacing w:before="0" w:after="0"/>
        <w:rPr>
          <w:rFonts w:cs="Arial"/>
          <w:color w:val="000000" w:themeColor="text1"/>
          <w:szCs w:val="22"/>
        </w:rPr>
      </w:pPr>
      <w:proofErr w:type="gramStart"/>
      <w:r w:rsidRPr="008F770A">
        <w:rPr>
          <w:rFonts w:cs="Arial"/>
          <w:color w:val="000000" w:themeColor="text1"/>
          <w:szCs w:val="22"/>
        </w:rPr>
        <w:t>evidence</w:t>
      </w:r>
      <w:proofErr w:type="gramEnd"/>
      <w:r w:rsidRPr="008F770A">
        <w:rPr>
          <w:rFonts w:cs="Arial"/>
          <w:color w:val="000000" w:themeColor="text1"/>
          <w:szCs w:val="22"/>
        </w:rPr>
        <w:t xml:space="preserve"> of anything said or done by a person in the course of a conciliation is not admissible in any proceedings relating to the alleged acts or practices.</w:t>
      </w:r>
    </w:p>
    <w:p w:rsidR="00035752" w:rsidRDefault="00035752" w:rsidP="00035752">
      <w:pPr>
        <w:spacing w:before="0" w:after="0"/>
        <w:rPr>
          <w:rFonts w:cs="Arial"/>
          <w:color w:val="000000" w:themeColor="text1"/>
          <w:szCs w:val="22"/>
        </w:rPr>
      </w:pPr>
    </w:p>
    <w:p w:rsidR="00035752" w:rsidRDefault="00035752" w:rsidP="00035752">
      <w:pPr>
        <w:spacing w:before="0" w:after="0"/>
        <w:rPr>
          <w:rFonts w:cs="Arial"/>
          <w:color w:val="000000" w:themeColor="text1"/>
          <w:szCs w:val="22"/>
        </w:rPr>
      </w:pPr>
      <w:r w:rsidRPr="00BE658B">
        <w:rPr>
          <w:rFonts w:cs="Arial"/>
          <w:color w:val="000000" w:themeColor="text1"/>
          <w:szCs w:val="22"/>
        </w:rPr>
        <w:t xml:space="preserve">An exception to </w:t>
      </w:r>
      <w:r>
        <w:rPr>
          <w:rFonts w:cs="Arial"/>
          <w:color w:val="000000" w:themeColor="text1"/>
          <w:szCs w:val="22"/>
        </w:rPr>
        <w:t xml:space="preserve">the </w:t>
      </w:r>
      <w:r w:rsidRPr="00BE658B">
        <w:rPr>
          <w:rFonts w:cs="Arial"/>
          <w:color w:val="000000" w:themeColor="text1"/>
          <w:szCs w:val="22"/>
        </w:rPr>
        <w:t xml:space="preserve">confidentiality </w:t>
      </w:r>
      <w:r>
        <w:rPr>
          <w:rFonts w:cs="Arial"/>
          <w:color w:val="000000" w:themeColor="text1"/>
          <w:szCs w:val="22"/>
        </w:rPr>
        <w:t xml:space="preserve">of conciliation </w:t>
      </w:r>
      <w:r w:rsidRPr="00BE658B">
        <w:rPr>
          <w:rFonts w:cs="Arial"/>
          <w:color w:val="000000" w:themeColor="text1"/>
          <w:szCs w:val="22"/>
        </w:rPr>
        <w:t xml:space="preserve">is </w:t>
      </w:r>
      <w:r>
        <w:rPr>
          <w:rFonts w:cs="Arial"/>
          <w:color w:val="000000" w:themeColor="text1"/>
          <w:szCs w:val="22"/>
        </w:rPr>
        <w:t>contained in s</w:t>
      </w:r>
      <w:r w:rsidR="00E34EC6">
        <w:rPr>
          <w:rFonts w:cs="Arial"/>
          <w:color w:val="000000" w:themeColor="text1"/>
          <w:szCs w:val="22"/>
        </w:rPr>
        <w:t>ection</w:t>
      </w:r>
      <w:r>
        <w:rPr>
          <w:rFonts w:cs="Arial"/>
          <w:color w:val="000000" w:themeColor="text1"/>
          <w:szCs w:val="22"/>
        </w:rPr>
        <w:t xml:space="preserve"> 46PSA of the AHRCA.  This section states that where court proceedings have been instituted against a respondent, in deciding whether to award costs in the proceedings, a court may have regard to any offers made by</w:t>
      </w:r>
      <w:r w:rsidR="009D223B">
        <w:rPr>
          <w:rFonts w:cs="Arial"/>
          <w:color w:val="000000" w:themeColor="text1"/>
          <w:szCs w:val="22"/>
        </w:rPr>
        <w:t xml:space="preserve"> the </w:t>
      </w:r>
      <w:r>
        <w:rPr>
          <w:rFonts w:cs="Arial"/>
          <w:color w:val="000000" w:themeColor="text1"/>
          <w:szCs w:val="22"/>
        </w:rPr>
        <w:t>complainant or respondent to settle the matter that have been rejected.</w:t>
      </w:r>
    </w:p>
    <w:p w:rsidR="00035752" w:rsidRDefault="00035752" w:rsidP="00035752">
      <w:pPr>
        <w:spacing w:before="0" w:after="0"/>
        <w:rPr>
          <w:rFonts w:cs="Arial"/>
          <w:color w:val="000000" w:themeColor="text1"/>
          <w:szCs w:val="22"/>
        </w:rPr>
      </w:pPr>
    </w:p>
    <w:p w:rsidR="00035752" w:rsidRPr="00FB2CD4" w:rsidRDefault="00035752" w:rsidP="00035752">
      <w:pPr>
        <w:spacing w:before="0" w:after="0"/>
        <w:rPr>
          <w:rFonts w:cs="Arial"/>
          <w:color w:val="000000" w:themeColor="text1"/>
          <w:szCs w:val="22"/>
        </w:rPr>
      </w:pPr>
      <w:r w:rsidRPr="00FB2CD4">
        <w:rPr>
          <w:rFonts w:cs="Arial"/>
          <w:color w:val="000000" w:themeColor="text1"/>
          <w:szCs w:val="22"/>
        </w:rPr>
        <w:t xml:space="preserve">The Explanatory Memorandum says that this section </w:t>
      </w:r>
      <w:proofErr w:type="gramStart"/>
      <w:r w:rsidRPr="00FB2CD4">
        <w:rPr>
          <w:rFonts w:cs="Arial"/>
          <w:color w:val="000000" w:themeColor="text1"/>
          <w:szCs w:val="22"/>
        </w:rPr>
        <w:t>is intended</w:t>
      </w:r>
      <w:proofErr w:type="gramEnd"/>
      <w:r w:rsidRPr="00FB2CD4">
        <w:rPr>
          <w:rFonts w:cs="Arial"/>
          <w:color w:val="000000" w:themeColor="text1"/>
          <w:szCs w:val="22"/>
        </w:rPr>
        <w:t xml:space="preserve"> to discourage clearly unmeritorious complaints from progressing to court and is intended to deter recourse to courts where earlier settlement offers have been made that may be regarded as equivalent to court ordered remedies.</w:t>
      </w:r>
    </w:p>
    <w:p w:rsidR="00035752" w:rsidRDefault="00035752" w:rsidP="00035752">
      <w:pPr>
        <w:spacing w:before="0" w:after="0"/>
        <w:rPr>
          <w:rFonts w:cs="Arial"/>
          <w:b/>
          <w:color w:val="000000" w:themeColor="text1"/>
          <w:szCs w:val="22"/>
        </w:rPr>
      </w:pPr>
    </w:p>
    <w:p w:rsidR="00035752" w:rsidRDefault="00035752" w:rsidP="00035752">
      <w:pPr>
        <w:spacing w:before="0" w:after="0"/>
        <w:rPr>
          <w:rFonts w:cs="Arial"/>
          <w:b/>
          <w:color w:val="000000" w:themeColor="text1"/>
          <w:szCs w:val="22"/>
        </w:rPr>
      </w:pPr>
      <w:r>
        <w:rPr>
          <w:rFonts w:cs="Arial"/>
          <w:b/>
          <w:color w:val="000000" w:themeColor="text1"/>
          <w:szCs w:val="22"/>
        </w:rPr>
        <w:t>Termination of a complaint</w:t>
      </w:r>
    </w:p>
    <w:p w:rsidR="00035752" w:rsidRPr="00565D07" w:rsidRDefault="00035752" w:rsidP="00035752">
      <w:pPr>
        <w:spacing w:before="0" w:after="0"/>
        <w:rPr>
          <w:rFonts w:cs="Arial"/>
          <w:color w:val="000000" w:themeColor="text1"/>
          <w:szCs w:val="22"/>
        </w:rPr>
      </w:pPr>
    </w:p>
    <w:p w:rsidR="00035752" w:rsidRDefault="00035752" w:rsidP="00035752">
      <w:pPr>
        <w:spacing w:before="0" w:after="0"/>
        <w:rPr>
          <w:rFonts w:cs="Arial"/>
          <w:color w:val="000000" w:themeColor="text1"/>
          <w:szCs w:val="22"/>
        </w:rPr>
      </w:pPr>
      <w:r>
        <w:rPr>
          <w:rFonts w:cs="Arial"/>
          <w:color w:val="000000" w:themeColor="text1"/>
          <w:szCs w:val="22"/>
        </w:rPr>
        <w:t>Prior to these amendments, where the President terminated a complaint, the co</w:t>
      </w:r>
      <w:r w:rsidR="00F73E54">
        <w:rPr>
          <w:rFonts w:cs="Arial"/>
          <w:color w:val="000000" w:themeColor="text1"/>
          <w:szCs w:val="22"/>
        </w:rPr>
        <w:t>mplainant had an automatic right</w:t>
      </w:r>
      <w:r>
        <w:rPr>
          <w:rFonts w:cs="Arial"/>
          <w:color w:val="000000" w:themeColor="text1"/>
          <w:szCs w:val="22"/>
        </w:rPr>
        <w:t xml:space="preserve"> upon </w:t>
      </w:r>
      <w:proofErr w:type="gramStart"/>
      <w:r>
        <w:rPr>
          <w:rFonts w:cs="Arial"/>
          <w:color w:val="000000" w:themeColor="text1"/>
          <w:szCs w:val="22"/>
        </w:rPr>
        <w:t>being issued</w:t>
      </w:r>
      <w:proofErr w:type="gramEnd"/>
      <w:r>
        <w:rPr>
          <w:rFonts w:cs="Arial"/>
          <w:color w:val="000000" w:themeColor="text1"/>
          <w:szCs w:val="22"/>
        </w:rPr>
        <w:t xml:space="preserve"> with a termination notice, to make an application to the Federal Court of Australia (FCA) or the Federal Circuit Court of Australia (FCCA) for the court to hear and determine the matter. </w:t>
      </w:r>
    </w:p>
    <w:p w:rsidR="00035752" w:rsidRDefault="00035752" w:rsidP="00035752">
      <w:pPr>
        <w:spacing w:before="0" w:after="0"/>
        <w:rPr>
          <w:rFonts w:cs="Arial"/>
          <w:color w:val="000000" w:themeColor="text1"/>
          <w:szCs w:val="22"/>
        </w:rPr>
      </w:pPr>
    </w:p>
    <w:p w:rsidR="00D60432" w:rsidRDefault="00035752" w:rsidP="00035752">
      <w:pPr>
        <w:spacing w:before="0" w:after="0"/>
        <w:rPr>
          <w:rFonts w:cs="Arial"/>
          <w:color w:val="000000" w:themeColor="text1"/>
          <w:szCs w:val="22"/>
        </w:rPr>
      </w:pPr>
      <w:r>
        <w:rPr>
          <w:rFonts w:cs="Arial"/>
          <w:color w:val="000000" w:themeColor="text1"/>
          <w:szCs w:val="22"/>
        </w:rPr>
        <w:t>The amendments to the AHRCA mean that w</w:t>
      </w:r>
      <w:r w:rsidRPr="00E95897">
        <w:rPr>
          <w:rFonts w:cs="Arial"/>
          <w:color w:val="000000" w:themeColor="text1"/>
          <w:szCs w:val="22"/>
        </w:rPr>
        <w:t>h</w:t>
      </w:r>
      <w:r>
        <w:rPr>
          <w:rFonts w:cs="Arial"/>
          <w:color w:val="000000" w:themeColor="text1"/>
          <w:szCs w:val="22"/>
        </w:rPr>
        <w:t>en</w:t>
      </w:r>
      <w:r w:rsidRPr="00E95897">
        <w:rPr>
          <w:rFonts w:cs="Arial"/>
          <w:color w:val="000000" w:themeColor="text1"/>
          <w:szCs w:val="22"/>
        </w:rPr>
        <w:t xml:space="preserve"> a matter </w:t>
      </w:r>
      <w:proofErr w:type="gramStart"/>
      <w:r w:rsidRPr="00E95897">
        <w:rPr>
          <w:rFonts w:cs="Arial"/>
          <w:color w:val="000000" w:themeColor="text1"/>
          <w:szCs w:val="22"/>
        </w:rPr>
        <w:t>is terminated</w:t>
      </w:r>
      <w:proofErr w:type="gramEnd"/>
      <w:r w:rsidRPr="00E95897">
        <w:rPr>
          <w:rFonts w:cs="Arial"/>
          <w:color w:val="000000" w:themeColor="text1"/>
          <w:szCs w:val="22"/>
        </w:rPr>
        <w:t xml:space="preserve">, an application can only be made to the FCA or FCCA if </w:t>
      </w:r>
      <w:r>
        <w:rPr>
          <w:rFonts w:cs="Arial"/>
          <w:color w:val="000000" w:themeColor="text1"/>
          <w:szCs w:val="22"/>
        </w:rPr>
        <w:t xml:space="preserve">the court concerned </w:t>
      </w:r>
      <w:r w:rsidRPr="00290FEE">
        <w:rPr>
          <w:rFonts w:cs="Arial"/>
          <w:color w:val="000000" w:themeColor="text1"/>
          <w:szCs w:val="22"/>
        </w:rPr>
        <w:t>grants leave for the complainant to do so</w:t>
      </w:r>
      <w:r>
        <w:rPr>
          <w:rFonts w:cs="Arial"/>
          <w:color w:val="000000" w:themeColor="text1"/>
          <w:szCs w:val="22"/>
        </w:rPr>
        <w:t xml:space="preserve">, unless </w:t>
      </w:r>
      <w:r w:rsidRPr="00290FEE">
        <w:rPr>
          <w:rFonts w:cs="Arial"/>
          <w:color w:val="000000" w:themeColor="text1"/>
          <w:szCs w:val="22"/>
        </w:rPr>
        <w:t xml:space="preserve">the complaint </w:t>
      </w:r>
      <w:r>
        <w:rPr>
          <w:rFonts w:cs="Arial"/>
          <w:color w:val="000000" w:themeColor="text1"/>
          <w:szCs w:val="22"/>
        </w:rPr>
        <w:t>is</w:t>
      </w:r>
      <w:r w:rsidRPr="00290FEE">
        <w:rPr>
          <w:rFonts w:cs="Arial"/>
          <w:color w:val="000000" w:themeColor="text1"/>
          <w:szCs w:val="22"/>
        </w:rPr>
        <w:t xml:space="preserve"> terminated on </w:t>
      </w:r>
      <w:r>
        <w:rPr>
          <w:rFonts w:cs="Arial"/>
          <w:color w:val="000000" w:themeColor="text1"/>
          <w:szCs w:val="22"/>
        </w:rPr>
        <w:t xml:space="preserve">one of </w:t>
      </w:r>
      <w:r w:rsidRPr="00290FEE">
        <w:rPr>
          <w:rFonts w:cs="Arial"/>
          <w:color w:val="000000" w:themeColor="text1"/>
          <w:szCs w:val="22"/>
        </w:rPr>
        <w:t>the</w:t>
      </w:r>
      <w:r>
        <w:rPr>
          <w:rFonts w:cs="Arial"/>
          <w:color w:val="000000" w:themeColor="text1"/>
          <w:szCs w:val="22"/>
        </w:rPr>
        <w:t xml:space="preserve"> following</w:t>
      </w:r>
      <w:r w:rsidRPr="00290FEE">
        <w:rPr>
          <w:rFonts w:cs="Arial"/>
          <w:color w:val="000000" w:themeColor="text1"/>
          <w:szCs w:val="22"/>
        </w:rPr>
        <w:t xml:space="preserve"> </w:t>
      </w:r>
      <w:r>
        <w:rPr>
          <w:rFonts w:cs="Arial"/>
          <w:color w:val="000000" w:themeColor="text1"/>
          <w:szCs w:val="22"/>
        </w:rPr>
        <w:t>grounds</w:t>
      </w:r>
      <w:r w:rsidRPr="00290FEE">
        <w:rPr>
          <w:rFonts w:cs="Arial"/>
          <w:color w:val="000000" w:themeColor="text1"/>
          <w:szCs w:val="22"/>
        </w:rPr>
        <w:t>:</w:t>
      </w:r>
    </w:p>
    <w:p w:rsidR="00D60432" w:rsidRDefault="00035752" w:rsidP="00D60432">
      <w:pPr>
        <w:spacing w:before="0" w:after="0"/>
        <w:rPr>
          <w:rFonts w:cs="Arial"/>
          <w:color w:val="000000" w:themeColor="text1"/>
          <w:szCs w:val="22"/>
        </w:rPr>
      </w:pPr>
      <w:r w:rsidRPr="00290FEE">
        <w:rPr>
          <w:rFonts w:cs="Arial"/>
          <w:color w:val="000000" w:themeColor="text1"/>
          <w:szCs w:val="22"/>
        </w:rPr>
        <w:t xml:space="preserve"> </w:t>
      </w:r>
    </w:p>
    <w:p w:rsidR="00035752" w:rsidRPr="00D60432" w:rsidRDefault="00035752" w:rsidP="00F953E8">
      <w:pPr>
        <w:pStyle w:val="ListParagraph"/>
        <w:numPr>
          <w:ilvl w:val="0"/>
          <w:numId w:val="20"/>
        </w:numPr>
        <w:spacing w:before="0" w:after="0"/>
        <w:rPr>
          <w:rFonts w:cs="Arial"/>
          <w:color w:val="000000" w:themeColor="text1"/>
          <w:szCs w:val="22"/>
        </w:rPr>
      </w:pPr>
      <w:r w:rsidRPr="00D60432">
        <w:rPr>
          <w:rFonts w:cs="Arial"/>
          <w:color w:val="000000" w:themeColor="text1"/>
          <w:szCs w:val="22"/>
        </w:rPr>
        <w:t>The subject matter of the complaint involves an issue of public importance that shou</w:t>
      </w:r>
      <w:r w:rsidR="009D223B">
        <w:rPr>
          <w:rFonts w:cs="Arial"/>
          <w:color w:val="000000" w:themeColor="text1"/>
          <w:szCs w:val="22"/>
        </w:rPr>
        <w:t>ld be considered by the courts; or</w:t>
      </w:r>
    </w:p>
    <w:p w:rsidR="00035752" w:rsidRPr="00D60432" w:rsidRDefault="00035752" w:rsidP="00F953E8">
      <w:pPr>
        <w:pStyle w:val="ListParagraph"/>
        <w:numPr>
          <w:ilvl w:val="0"/>
          <w:numId w:val="20"/>
        </w:numPr>
        <w:spacing w:before="0" w:after="0"/>
        <w:rPr>
          <w:rFonts w:cs="Arial"/>
          <w:color w:val="000000" w:themeColor="text1"/>
          <w:szCs w:val="22"/>
        </w:rPr>
      </w:pPr>
      <w:r w:rsidRPr="00D60432">
        <w:rPr>
          <w:rFonts w:cs="Arial"/>
          <w:color w:val="000000" w:themeColor="text1"/>
          <w:szCs w:val="22"/>
        </w:rPr>
        <w:t xml:space="preserve">There is no reasonable prospect of the matter </w:t>
      </w:r>
      <w:proofErr w:type="gramStart"/>
      <w:r w:rsidRPr="00D60432">
        <w:rPr>
          <w:rFonts w:cs="Arial"/>
          <w:color w:val="000000" w:themeColor="text1"/>
          <w:szCs w:val="22"/>
        </w:rPr>
        <w:t>being settled</w:t>
      </w:r>
      <w:proofErr w:type="gramEnd"/>
      <w:r w:rsidRPr="00D60432">
        <w:rPr>
          <w:rFonts w:cs="Arial"/>
          <w:color w:val="000000" w:themeColor="text1"/>
          <w:szCs w:val="22"/>
        </w:rPr>
        <w:t xml:space="preserve"> by conciliation</w:t>
      </w:r>
      <w:r w:rsidR="009D223B">
        <w:rPr>
          <w:rFonts w:cs="Arial"/>
          <w:color w:val="000000" w:themeColor="text1"/>
          <w:szCs w:val="22"/>
        </w:rPr>
        <w:t>.</w:t>
      </w:r>
      <w:r w:rsidRPr="00D60432">
        <w:rPr>
          <w:rFonts w:cs="Arial"/>
          <w:color w:val="000000" w:themeColor="text1"/>
          <w:szCs w:val="22"/>
        </w:rPr>
        <w:t xml:space="preserve"> </w:t>
      </w:r>
    </w:p>
    <w:p w:rsidR="00035752" w:rsidRDefault="00035752" w:rsidP="00035752">
      <w:pPr>
        <w:spacing w:before="0" w:after="0"/>
        <w:rPr>
          <w:rFonts w:cs="Arial"/>
          <w:color w:val="000000" w:themeColor="text1"/>
          <w:szCs w:val="22"/>
        </w:rPr>
      </w:pPr>
    </w:p>
    <w:p w:rsidR="00F73E54" w:rsidRDefault="00F73E54">
      <w:pPr>
        <w:spacing w:before="0" w:after="0"/>
        <w:rPr>
          <w:rFonts w:cs="Arial"/>
          <w:color w:val="000000" w:themeColor="text1"/>
          <w:szCs w:val="22"/>
        </w:rPr>
      </w:pPr>
      <w:r>
        <w:rPr>
          <w:rFonts w:cs="Arial"/>
          <w:color w:val="000000" w:themeColor="text1"/>
          <w:szCs w:val="22"/>
        </w:rPr>
        <w:br w:type="page"/>
      </w:r>
    </w:p>
    <w:p w:rsidR="00035752" w:rsidRDefault="00035752" w:rsidP="00035752">
      <w:pPr>
        <w:spacing w:before="0" w:after="0"/>
        <w:rPr>
          <w:rFonts w:cs="Arial"/>
          <w:color w:val="000000" w:themeColor="text1"/>
          <w:szCs w:val="22"/>
        </w:rPr>
      </w:pPr>
      <w:r>
        <w:rPr>
          <w:rFonts w:cs="Arial"/>
          <w:color w:val="000000" w:themeColor="text1"/>
          <w:szCs w:val="22"/>
        </w:rPr>
        <w:lastRenderedPageBreak/>
        <w:t xml:space="preserve">If a complaint </w:t>
      </w:r>
      <w:proofErr w:type="gramStart"/>
      <w:r>
        <w:rPr>
          <w:rFonts w:cs="Arial"/>
          <w:color w:val="000000" w:themeColor="text1"/>
          <w:szCs w:val="22"/>
        </w:rPr>
        <w:t>is terminated</w:t>
      </w:r>
      <w:proofErr w:type="gramEnd"/>
      <w:r>
        <w:rPr>
          <w:rFonts w:cs="Arial"/>
          <w:color w:val="000000" w:themeColor="text1"/>
          <w:szCs w:val="22"/>
        </w:rPr>
        <w:t xml:space="preserve"> on either of these grounds, there is no requirement to seek leave of the court concerned. For all other termination grounds, leave of the court is required before any application </w:t>
      </w:r>
      <w:proofErr w:type="gramStart"/>
      <w:r>
        <w:rPr>
          <w:rFonts w:cs="Arial"/>
          <w:color w:val="000000" w:themeColor="text1"/>
          <w:szCs w:val="22"/>
        </w:rPr>
        <w:t>can be made</w:t>
      </w:r>
      <w:proofErr w:type="gramEnd"/>
      <w:r>
        <w:rPr>
          <w:rFonts w:cs="Arial"/>
          <w:color w:val="000000" w:themeColor="text1"/>
          <w:szCs w:val="22"/>
        </w:rPr>
        <w:t xml:space="preserve">. </w:t>
      </w:r>
    </w:p>
    <w:p w:rsidR="00F73E54" w:rsidRDefault="00F73E54" w:rsidP="00035752">
      <w:pPr>
        <w:spacing w:before="0" w:after="0"/>
        <w:rPr>
          <w:rFonts w:cs="Arial"/>
          <w:color w:val="000000" w:themeColor="text1"/>
          <w:szCs w:val="22"/>
        </w:rPr>
      </w:pPr>
    </w:p>
    <w:sectPr w:rsidR="00F73E54" w:rsidSect="004369E5">
      <w:headerReference w:type="default" r:id="rId7"/>
      <w:footerReference w:type="default" r:id="rId8"/>
      <w:headerReference w:type="first" r:id="rId9"/>
      <w:footerReference w:type="first" r:id="rId10"/>
      <w:endnotePr>
        <w:numFmt w:val="decimal"/>
      </w:endnotePr>
      <w:pgSz w:w="11906" w:h="16838" w:code="9"/>
      <w:pgMar w:top="1134" w:right="1418" w:bottom="1134" w:left="1418" w:header="709" w:footer="6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90" w:rsidRDefault="001E1190" w:rsidP="00F14C6D">
      <w:r>
        <w:separator/>
      </w:r>
    </w:p>
  </w:endnote>
  <w:endnote w:type="continuationSeparator" w:id="0">
    <w:p w:rsidR="001E1190" w:rsidRDefault="001E1190" w:rsidP="00F14C6D">
      <w:r>
        <w:continuationSeparator/>
      </w:r>
    </w:p>
  </w:endnote>
  <w:endnote w:id="1">
    <w:p w:rsidR="00035752" w:rsidRDefault="00035752" w:rsidP="00035752">
      <w:pPr>
        <w:pStyle w:val="EndnoteText"/>
      </w:pPr>
      <w:r>
        <w:rPr>
          <w:rStyle w:val="EndnoteReference"/>
        </w:rPr>
        <w:endnoteRef/>
      </w:r>
      <w:r>
        <w:t xml:space="preserve"> The President may delegate her powers to Commission staff.</w:t>
      </w:r>
    </w:p>
    <w:p w:rsidR="00E34EC6" w:rsidRDefault="00E34EC6" w:rsidP="00035752">
      <w:pPr>
        <w:pStyle w:val="EndnoteText"/>
      </w:pPr>
    </w:p>
    <w:p w:rsidR="00E34EC6" w:rsidRDefault="00E34EC6" w:rsidP="000357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54" w:rsidRPr="00F73E54" w:rsidRDefault="00F73E54" w:rsidP="00F73E54">
    <w:pPr>
      <w:pStyle w:val="Footer"/>
      <w:rPr>
        <w:i/>
        <w:sz w:val="20"/>
        <w:szCs w:val="20"/>
      </w:rPr>
    </w:pPr>
    <w:r w:rsidRPr="00F73E54">
      <w:rPr>
        <w:i/>
        <w:sz w:val="20"/>
        <w:szCs w:val="20"/>
      </w:rPr>
      <w:t>Disclaimer: The information on this fact sheet is only intended as a guide. It is not a substitute for legal advice.</w:t>
    </w:r>
  </w:p>
  <w:p w:rsidR="00CF10B6" w:rsidRPr="00F73E54" w:rsidRDefault="00D33574" w:rsidP="00162A8D">
    <w:pPr>
      <w:pStyle w:val="Footer"/>
      <w:jc w:val="right"/>
      <w:rPr>
        <w:sz w:val="20"/>
        <w:szCs w:val="20"/>
      </w:rPr>
    </w:pPr>
    <w:r w:rsidRPr="00F73E54">
      <w:rPr>
        <w:rStyle w:val="PageNumber"/>
        <w:sz w:val="20"/>
        <w:szCs w:val="20"/>
      </w:rPr>
      <w:fldChar w:fldCharType="begin"/>
    </w:r>
    <w:r w:rsidR="00CF10B6" w:rsidRPr="00F73E54">
      <w:rPr>
        <w:rStyle w:val="PageNumber"/>
        <w:sz w:val="20"/>
        <w:szCs w:val="20"/>
      </w:rPr>
      <w:instrText xml:space="preserve"> PAGE </w:instrText>
    </w:r>
    <w:r w:rsidRPr="00F73E54">
      <w:rPr>
        <w:rStyle w:val="PageNumber"/>
        <w:sz w:val="20"/>
        <w:szCs w:val="20"/>
      </w:rPr>
      <w:fldChar w:fldCharType="separate"/>
    </w:r>
    <w:r w:rsidR="000A29FF">
      <w:rPr>
        <w:rStyle w:val="PageNumber"/>
        <w:noProof/>
        <w:sz w:val="20"/>
        <w:szCs w:val="20"/>
      </w:rPr>
      <w:t>2</w:t>
    </w:r>
    <w:r w:rsidRPr="00F73E5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54" w:rsidRPr="00F73E54" w:rsidRDefault="00F73E54" w:rsidP="004369E5">
    <w:pPr>
      <w:pStyle w:val="Footer"/>
      <w:spacing w:before="120"/>
      <w:rPr>
        <w:i/>
        <w:sz w:val="20"/>
        <w:szCs w:val="20"/>
      </w:rPr>
    </w:pPr>
    <w:r w:rsidRPr="00F73E54">
      <w:rPr>
        <w:i/>
        <w:sz w:val="20"/>
        <w:szCs w:val="20"/>
      </w:rPr>
      <w:t>Disclaimer: The information on this fact sheet is only intended as a guide. It is not a substitute for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90" w:rsidRDefault="001E1190" w:rsidP="00F14C6D">
      <w:r>
        <w:separator/>
      </w:r>
    </w:p>
  </w:footnote>
  <w:footnote w:type="continuationSeparator" w:id="0">
    <w:p w:rsidR="001E1190" w:rsidRDefault="001E119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Pr="00E34EC6" w:rsidRDefault="00CF10B6" w:rsidP="00EB6B66">
    <w:pPr>
      <w:spacing w:before="0" w:after="0"/>
      <w:jc w:val="right"/>
      <w:rPr>
        <w:sz w:val="20"/>
        <w:szCs w:val="20"/>
      </w:rPr>
    </w:pPr>
    <w:r w:rsidRPr="00E34EC6">
      <w:rPr>
        <w:sz w:val="20"/>
        <w:szCs w:val="20"/>
      </w:rPr>
      <w:t>Australian Human Rights Commission</w:t>
    </w:r>
  </w:p>
  <w:p w:rsidR="00CF10B6" w:rsidRPr="00E34EC6" w:rsidRDefault="00656DED" w:rsidP="00EB6B66">
    <w:pPr>
      <w:pStyle w:val="Footer"/>
      <w:spacing w:before="0" w:after="360"/>
      <w:jc w:val="right"/>
      <w:rPr>
        <w:i/>
        <w:sz w:val="20"/>
        <w:szCs w:val="20"/>
      </w:rPr>
    </w:pPr>
    <w:r w:rsidRPr="00E34EC6">
      <w:rPr>
        <w:i/>
        <w:sz w:val="20"/>
        <w:szCs w:val="20"/>
      </w:rPr>
      <w:t>Fact</w:t>
    </w:r>
    <w:r w:rsidR="00CF10B6" w:rsidRPr="00E34EC6">
      <w:rPr>
        <w:i/>
        <w:sz w:val="20"/>
        <w:szCs w:val="20"/>
      </w:rPr>
      <w:t xml:space="preserve"> </w:t>
    </w:r>
    <w:r w:rsidR="005262E5" w:rsidRPr="00E34EC6">
      <w:rPr>
        <w:i/>
        <w:sz w:val="20"/>
        <w:szCs w:val="20"/>
      </w:rPr>
      <w:t>s</w:t>
    </w:r>
    <w:r w:rsidR="00CF10B6" w:rsidRPr="00E34EC6">
      <w:rPr>
        <w:i/>
        <w:sz w:val="20"/>
        <w:szCs w:val="20"/>
      </w:rPr>
      <w:t>heet</w:t>
    </w:r>
    <w:r w:rsidR="00035752" w:rsidRPr="00E34EC6">
      <w:rPr>
        <w:b/>
        <w:i/>
        <w:sz w:val="20"/>
        <w:szCs w:val="20"/>
      </w:rPr>
      <w:t xml:space="preserve"> – Changes made to the AHRCA (April 2017)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Default="0065422A" w:rsidP="004E20C1">
    <w:r>
      <w:rPr>
        <w:noProof/>
      </w:rPr>
      <w:drawing>
        <wp:inline distT="0" distB="0" distL="0" distR="0">
          <wp:extent cx="2466975" cy="904875"/>
          <wp:effectExtent l="19050" t="0" r="9525" b="0"/>
          <wp:docPr id="9" name="Picture 9"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24001F7"/>
    <w:multiLevelType w:val="hybridMultilevel"/>
    <w:tmpl w:val="2064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53C2F"/>
    <w:multiLevelType w:val="hybridMultilevel"/>
    <w:tmpl w:val="1C2E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A11A6A"/>
    <w:multiLevelType w:val="hybridMultilevel"/>
    <w:tmpl w:val="27E27F2E"/>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16"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5073E0F"/>
    <w:multiLevelType w:val="hybridMultilevel"/>
    <w:tmpl w:val="F4CA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C0626"/>
    <w:multiLevelType w:val="hybridMultilevel"/>
    <w:tmpl w:val="3794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E7412"/>
    <w:multiLevelType w:val="hybridMultilevel"/>
    <w:tmpl w:val="63121D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4"/>
  </w:num>
  <w:num w:numId="14">
    <w:abstractNumId w:val="11"/>
  </w:num>
  <w:num w:numId="15">
    <w:abstractNumId w:val="10"/>
  </w:num>
  <w:num w:numId="16">
    <w:abstractNumId w:val="15"/>
  </w:num>
  <w:num w:numId="17">
    <w:abstractNumId w:val="18"/>
  </w:num>
  <w:num w:numId="18">
    <w:abstractNumId w:val="20"/>
  </w:num>
  <w:num w:numId="19">
    <w:abstractNumId w:val="19"/>
  </w:num>
  <w:num w:numId="20">
    <w:abstractNumId w:val="13"/>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5752"/>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29FF"/>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0F26"/>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9E5"/>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16A8"/>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53C"/>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49"/>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23B"/>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874"/>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432"/>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6"/>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37C"/>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0BE"/>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3E54"/>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3E8"/>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EA53FBB3-1AC8-4E26-B892-E445FF6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eastAsia="en-AU"/>
    </w:rPr>
  </w:style>
  <w:style w:type="character" w:customStyle="1" w:styleId="Heading4Char">
    <w:name w:val="Heading 4 Char"/>
    <w:link w:val="Heading4"/>
    <w:rsid w:val="008007A8"/>
    <w:rPr>
      <w:rFonts w:ascii="Arial" w:hAnsi="Arial"/>
      <w:iCs/>
      <w:sz w:val="24"/>
      <w:szCs w:val="26"/>
      <w:lang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eastAsia="en-AU"/>
    </w:rPr>
  </w:style>
  <w:style w:type="character" w:customStyle="1" w:styleId="Heading6Char">
    <w:name w:val="Heading 6 Char"/>
    <w:link w:val="Heading6"/>
    <w:rsid w:val="008007A8"/>
    <w:rPr>
      <w:rFonts w:ascii="Cambria" w:hAnsi="Cambria"/>
      <w:i/>
      <w:iCs/>
      <w:color w:val="243F60"/>
      <w:sz w:val="24"/>
      <w:szCs w:val="24"/>
      <w:lang w:eastAsia="en-AU"/>
    </w:rPr>
  </w:style>
  <w:style w:type="character" w:customStyle="1" w:styleId="Heading7Char">
    <w:name w:val="Heading 7 Char"/>
    <w:link w:val="Heading7"/>
    <w:rsid w:val="008007A8"/>
    <w:rPr>
      <w:rFonts w:ascii="Cambria" w:hAnsi="Cambria"/>
      <w:i/>
      <w:iCs/>
      <w:color w:val="404040"/>
      <w:sz w:val="24"/>
      <w:szCs w:val="24"/>
      <w:lang w:eastAsia="en-AU"/>
    </w:rPr>
  </w:style>
  <w:style w:type="character" w:customStyle="1" w:styleId="Heading8Char">
    <w:name w:val="Heading 8 Char"/>
    <w:link w:val="Heading8"/>
    <w:rsid w:val="008007A8"/>
    <w:rPr>
      <w:rFonts w:ascii="Cambria" w:hAnsi="Cambria"/>
      <w:color w:val="404040"/>
      <w:lang w:eastAsia="en-AU"/>
    </w:rPr>
  </w:style>
  <w:style w:type="character" w:customStyle="1" w:styleId="Heading9Char">
    <w:name w:val="Heading 9 Char"/>
    <w:link w:val="Heading9"/>
    <w:rsid w:val="008007A8"/>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E4915"/>
    <w:pPr>
      <w:ind w:left="720"/>
      <w:contextualSpacing/>
    </w:p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1972663757">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2145">
      <w:bodyDiv w:val="1"/>
      <w:marLeft w:val="0"/>
      <w:marRight w:val="0"/>
      <w:marTop w:val="0"/>
      <w:marBottom w:val="0"/>
      <w:divBdr>
        <w:top w:val="none" w:sz="0" w:space="0" w:color="auto"/>
        <w:left w:val="none" w:sz="0" w:space="0" w:color="auto"/>
        <w:bottom w:val="none" w:sz="0" w:space="0" w:color="auto"/>
        <w:right w:val="none" w:sz="0" w:space="0" w:color="auto"/>
      </w:divBdr>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3</TotalTime>
  <Pages>4</Pages>
  <Words>1139</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7191</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Lisa Thompson</dc:creator>
  <cp:keywords/>
  <cp:lastModifiedBy>Rebecca Gieng</cp:lastModifiedBy>
  <cp:revision>4</cp:revision>
  <cp:lastPrinted>2017-06-29T23:46:00Z</cp:lastPrinted>
  <dcterms:created xsi:type="dcterms:W3CDTF">2017-06-29T23:46:00Z</dcterms:created>
  <dcterms:modified xsi:type="dcterms:W3CDTF">2017-06-29T23:50:00Z</dcterms:modified>
</cp:coreProperties>
</file>