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C7" w:rsidRPr="007941C7" w:rsidRDefault="007941C7" w:rsidP="007941C7">
      <w:pPr>
        <w:pStyle w:val="TitlewithLine"/>
        <w:spacing w:before="480" w:after="120"/>
      </w:pPr>
      <w:r>
        <w:t>The complaint process</w:t>
      </w:r>
    </w:p>
    <w:p w:rsidR="007941C7" w:rsidRPr="007941C7" w:rsidRDefault="007941C7" w:rsidP="004B38DD">
      <w:pPr>
        <w:pStyle w:val="TitlewithLine"/>
        <w:rPr>
          <w:b w:val="0"/>
          <w:bCs w:val="0"/>
          <w:sz w:val="36"/>
          <w:szCs w:val="36"/>
        </w:rPr>
      </w:pPr>
      <w:proofErr w:type="gramStart"/>
      <w:r w:rsidRPr="007941C7">
        <w:rPr>
          <w:b w:val="0"/>
          <w:bCs w:val="0"/>
          <w:sz w:val="36"/>
          <w:szCs w:val="36"/>
        </w:rPr>
        <w:t>for</w:t>
      </w:r>
      <w:proofErr w:type="gramEnd"/>
      <w:r w:rsidRPr="007941C7">
        <w:rPr>
          <w:b w:val="0"/>
          <w:bCs w:val="0"/>
          <w:sz w:val="36"/>
          <w:szCs w:val="36"/>
        </w:rPr>
        <w:t xml:space="preserve"> complaints </w:t>
      </w:r>
      <w:r w:rsidR="0055065C">
        <w:rPr>
          <w:b w:val="0"/>
          <w:bCs w:val="0"/>
          <w:sz w:val="36"/>
          <w:szCs w:val="36"/>
        </w:rPr>
        <w:t xml:space="preserve">about </w:t>
      </w:r>
      <w:r w:rsidR="004B38DD">
        <w:rPr>
          <w:b w:val="0"/>
          <w:bCs w:val="0"/>
          <w:sz w:val="36"/>
          <w:szCs w:val="36"/>
        </w:rPr>
        <w:t>breaches of human rights</w:t>
      </w:r>
      <w:r w:rsidR="004B38DD">
        <w:rPr>
          <w:b w:val="0"/>
          <w:bCs w:val="0"/>
          <w:sz w:val="36"/>
          <w:szCs w:val="36"/>
        </w:rPr>
        <w:br/>
        <w:t>by the Commonwealth</w:t>
      </w:r>
    </w:p>
    <w:p w:rsidR="0055065C" w:rsidRDefault="0055065C" w:rsidP="0055065C">
      <w:pPr>
        <w:spacing w:before="360"/>
      </w:pPr>
      <w:r w:rsidRPr="006507F7">
        <w:t xml:space="preserve">The </w:t>
      </w:r>
      <w:r>
        <w:t xml:space="preserve">Australian Human Rights Commission </w:t>
      </w:r>
      <w:r w:rsidRPr="006507F7">
        <w:t xml:space="preserve">is an independent </w:t>
      </w:r>
      <w:r>
        <w:t>body which investigates and resolves complaints about discrimination and breaches of human rights.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4B38DD" w:rsidTr="00CF4F87">
        <w:tc>
          <w:tcPr>
            <w:tcW w:w="9071" w:type="dxa"/>
          </w:tcPr>
          <w:p w:rsidR="004B38DD" w:rsidRPr="006507F7" w:rsidRDefault="004B38DD" w:rsidP="005364F7">
            <w:r>
              <w:t xml:space="preserve">The Commission can only deal with complaints about breaches of human rights where they are against the </w:t>
            </w:r>
            <w:r w:rsidRPr="006507F7">
              <w:t xml:space="preserve">Commonwealth (or one of its agencies) </w:t>
            </w:r>
            <w:r>
              <w:t xml:space="preserve">and they allege a breach of specific international </w:t>
            </w:r>
            <w:r w:rsidRPr="005C3FC7">
              <w:t>human rights instruments</w:t>
            </w:r>
            <w:r>
              <w:t xml:space="preserve"> including</w:t>
            </w:r>
            <w:r w:rsidRPr="005C3FC7">
              <w:t>:</w:t>
            </w:r>
          </w:p>
          <w:p w:rsidR="004B38DD" w:rsidRPr="003D4750" w:rsidRDefault="004B38DD" w:rsidP="00D872B1">
            <w:pPr>
              <w:pStyle w:val="ListBullet"/>
              <w:spacing w:before="120" w:after="120"/>
              <w:rPr>
                <w:b/>
                <w:sz w:val="24"/>
              </w:rPr>
            </w:pPr>
            <w:r>
              <w:t xml:space="preserve">the International </w:t>
            </w:r>
            <w:r w:rsidRPr="005C3FC7">
              <w:t>Covenan</w:t>
            </w:r>
            <w:r>
              <w:t>t on Civil and Political Rights</w:t>
            </w:r>
          </w:p>
          <w:p w:rsidR="004B38DD" w:rsidRPr="003D4750" w:rsidRDefault="004B38DD" w:rsidP="00D872B1">
            <w:pPr>
              <w:pStyle w:val="ListBullet"/>
              <w:spacing w:before="120" w:after="120"/>
              <w:rPr>
                <w:b/>
                <w:sz w:val="24"/>
              </w:rPr>
            </w:pPr>
            <w:r w:rsidRPr="00E36B5C">
              <w:t>the Conven</w:t>
            </w:r>
            <w:r>
              <w:t>tion on the Rights of the Child</w:t>
            </w:r>
          </w:p>
          <w:p w:rsidR="004B38DD" w:rsidRPr="003D4750" w:rsidRDefault="004B38DD" w:rsidP="00D872B1">
            <w:pPr>
              <w:pStyle w:val="ListBullet"/>
              <w:spacing w:before="120" w:after="120"/>
              <w:rPr>
                <w:b/>
                <w:sz w:val="24"/>
              </w:rPr>
            </w:pPr>
            <w:r w:rsidRPr="00E36B5C">
              <w:t>the Convention o</w:t>
            </w:r>
            <w:r>
              <w:t>n</w:t>
            </w:r>
            <w:r w:rsidRPr="00E36B5C">
              <w:t xml:space="preserve"> </w:t>
            </w:r>
            <w:r>
              <w:t xml:space="preserve">the </w:t>
            </w:r>
            <w:r w:rsidRPr="00E36B5C">
              <w:t>Rig</w:t>
            </w:r>
            <w:r>
              <w:t>hts of Persons with Disabilities</w:t>
            </w:r>
          </w:p>
          <w:p w:rsidR="004B38DD" w:rsidRDefault="004B38DD" w:rsidP="00D872B1">
            <w:pPr>
              <w:pStyle w:val="ListBullet"/>
              <w:spacing w:before="120"/>
            </w:pPr>
            <w:proofErr w:type="gramStart"/>
            <w:r>
              <w:t>the</w:t>
            </w:r>
            <w:proofErr w:type="gramEnd"/>
            <w:r>
              <w:t xml:space="preserve"> </w:t>
            </w:r>
            <w:r w:rsidRPr="005C3FC7">
              <w:t xml:space="preserve">Declaration on the Elimination of </w:t>
            </w:r>
            <w:r>
              <w:t>A</w:t>
            </w:r>
            <w:r w:rsidRPr="005C3FC7">
              <w:t xml:space="preserve">ll Forms of Intolerance and Discrimination </w:t>
            </w:r>
            <w:r>
              <w:t>B</w:t>
            </w:r>
            <w:r w:rsidRPr="005C3FC7">
              <w:t>ased on Religion or Belief</w:t>
            </w:r>
            <w:r>
              <w:t>.</w:t>
            </w:r>
          </w:p>
        </w:tc>
      </w:tr>
    </w:tbl>
    <w:p w:rsidR="004B38DD" w:rsidRPr="00E712E9" w:rsidRDefault="004B38DD" w:rsidP="004B38DD">
      <w:r w:rsidRPr="001A2302">
        <w:t xml:space="preserve">You can make a complaint no matter where you live in Australia and it doesn’t cost anything to make a complaint. </w:t>
      </w:r>
      <w:r>
        <w:t>The steps in the complaint process are outlined below</w:t>
      </w:r>
      <w:r w:rsidRPr="00E712E9">
        <w:t xml:space="preserve">. </w:t>
      </w:r>
    </w:p>
    <w:p w:rsidR="004B38DD" w:rsidRPr="00E712E9" w:rsidRDefault="004B38DD" w:rsidP="004B38DD">
      <w:pPr>
        <w:pStyle w:val="Heading1"/>
      </w:pPr>
      <w:r>
        <w:t>Make an enquiry</w:t>
      </w:r>
    </w:p>
    <w:p w:rsidR="004B38DD" w:rsidRDefault="004B38DD" w:rsidP="004B38DD">
      <w:pPr>
        <w:pStyle w:val="ListBullet"/>
      </w:pPr>
      <w:r>
        <w:t xml:space="preserve">If you are unsure if you can make a complaint about something, you can contact the Commission’s </w:t>
      </w:r>
      <w:r w:rsidRPr="00FE622F">
        <w:t>Complaint Information Service</w:t>
      </w:r>
      <w:r>
        <w:t xml:space="preserve"> by phone on </w:t>
      </w:r>
      <w:r w:rsidRPr="00FE622F">
        <w:rPr>
          <w:b/>
        </w:rPr>
        <w:t>1300 656 419</w:t>
      </w:r>
      <w:r>
        <w:t xml:space="preserve"> or by email to </w:t>
      </w:r>
      <w:hyperlink r:id="rId7" w:history="1">
        <w:r w:rsidR="002D3EE0" w:rsidRPr="0074139A">
          <w:rPr>
            <w:rStyle w:val="Hyperlink"/>
            <w:rFonts w:cs="Arial"/>
            <w:b/>
          </w:rPr>
          <w:t>infoservice@humanrights.gov.au</w:t>
        </w:r>
      </w:hyperlink>
      <w:r>
        <w:t xml:space="preserve"> </w:t>
      </w:r>
    </w:p>
    <w:p w:rsidR="004B38DD" w:rsidRDefault="004B38DD" w:rsidP="004B38DD">
      <w:pPr>
        <w:pStyle w:val="ListBullet"/>
      </w:pPr>
      <w:r>
        <w:t xml:space="preserve">We can send you a complaint form to start the process. </w:t>
      </w:r>
    </w:p>
    <w:p w:rsidR="004B38DD" w:rsidRDefault="004B38DD" w:rsidP="004B38DD">
      <w:pPr>
        <w:pStyle w:val="ListBullet"/>
      </w:pPr>
      <w:r>
        <w:t xml:space="preserve">If we can’t help you, we will try to refer you to someone who can. </w:t>
      </w:r>
    </w:p>
    <w:p w:rsidR="004B38DD" w:rsidRPr="00E712E9" w:rsidRDefault="004B38DD" w:rsidP="004B38DD">
      <w:pPr>
        <w:pStyle w:val="Heading1"/>
      </w:pPr>
      <w:r>
        <w:t>Make a complaint</w:t>
      </w:r>
    </w:p>
    <w:p w:rsidR="004B38DD" w:rsidRDefault="0047697D" w:rsidP="004B38DD">
      <w:pPr>
        <w:pStyle w:val="ListBullet"/>
      </w:pPr>
      <w:r>
        <w:t xml:space="preserve">A complaint must be in writing. You can lodge a complaint online at </w:t>
      </w:r>
      <w:hyperlink r:id="rId8" w:history="1">
        <w:r w:rsidRPr="00B80330">
          <w:rPr>
            <w:rStyle w:val="Hyperlink"/>
          </w:rPr>
          <w:t>www.humanrights.gov.au/complaints/lodge-complaint</w:t>
        </w:r>
      </w:hyperlink>
      <w:r>
        <w:t>. You can also fill in a complaint form and post or fax it to us.</w:t>
      </w:r>
    </w:p>
    <w:p w:rsidR="004B38DD" w:rsidRPr="00515E5B" w:rsidRDefault="004B38DD" w:rsidP="004B38DD">
      <w:pPr>
        <w:pStyle w:val="ListBullet"/>
      </w:pPr>
      <w:r>
        <w:lastRenderedPageBreak/>
        <w:t xml:space="preserve">You can make a complaint in your preferred language and we can help you write down your complaint if necessary. </w:t>
      </w:r>
    </w:p>
    <w:p w:rsidR="004B38DD" w:rsidRPr="001F78E6" w:rsidRDefault="004B38DD" w:rsidP="004B38DD">
      <w:pPr>
        <w:pStyle w:val="ListBullet"/>
        <w:rPr>
          <w:b/>
          <w:szCs w:val="22"/>
        </w:rPr>
      </w:pPr>
      <w:r>
        <w:rPr>
          <w:szCs w:val="22"/>
        </w:rPr>
        <w:t>You do not need a lawyer to make a complaint.</w:t>
      </w:r>
    </w:p>
    <w:p w:rsidR="004B38DD" w:rsidRPr="00667CB9" w:rsidRDefault="004B38DD" w:rsidP="004B38DD">
      <w:pPr>
        <w:pStyle w:val="ListBullet"/>
        <w:rPr>
          <w:b/>
          <w:szCs w:val="22"/>
        </w:rPr>
      </w:pPr>
      <w:r>
        <w:rPr>
          <w:szCs w:val="22"/>
        </w:rPr>
        <w:t xml:space="preserve">If we cannot deal with your complaint, we will explain why. </w:t>
      </w:r>
    </w:p>
    <w:p w:rsidR="004B38DD" w:rsidRPr="00D73738" w:rsidRDefault="004B38DD" w:rsidP="004B38DD">
      <w:pPr>
        <w:pStyle w:val="Heading1"/>
      </w:pPr>
      <w:r>
        <w:t>Investigation</w:t>
      </w:r>
    </w:p>
    <w:p w:rsidR="004B38DD" w:rsidRDefault="004B38DD" w:rsidP="004B38DD">
      <w:pPr>
        <w:pStyle w:val="ListBullet"/>
      </w:pPr>
      <w:r>
        <w:t xml:space="preserve">We will contact you to talk about your complaint and we may ask you to provide more information. </w:t>
      </w:r>
    </w:p>
    <w:p w:rsidR="004B38DD" w:rsidRDefault="004B38DD" w:rsidP="004B38DD">
      <w:pPr>
        <w:pStyle w:val="ListBullet"/>
      </w:pPr>
      <w:r>
        <w:t xml:space="preserve">Generally, the Commission will contact the person or </w:t>
      </w:r>
      <w:proofErr w:type="spellStart"/>
      <w:r>
        <w:t>organisation</w:t>
      </w:r>
      <w:proofErr w:type="spellEnd"/>
      <w:r>
        <w:t xml:space="preserve"> you are complaining about, provide them with a copy of your complaint and ask for their comments and other relevant information. We will let you know what they have said in response </w:t>
      </w:r>
      <w:r w:rsidRPr="003952E2">
        <w:t>to your complaint</w:t>
      </w:r>
      <w:r>
        <w:t>.</w:t>
      </w:r>
    </w:p>
    <w:p w:rsidR="004B38DD" w:rsidRPr="003952E2" w:rsidRDefault="004B38DD" w:rsidP="004B38DD">
      <w:pPr>
        <w:pStyle w:val="ListBullet"/>
      </w:pPr>
      <w:r>
        <w:t xml:space="preserve">In some cases we may decide not to continue to deal with your complaint. </w:t>
      </w:r>
      <w:r>
        <w:rPr>
          <w:szCs w:val="22"/>
        </w:rPr>
        <w:t xml:space="preserve">If this happens, we will explain why. </w:t>
      </w:r>
    </w:p>
    <w:p w:rsidR="004B38DD" w:rsidRDefault="004B38DD" w:rsidP="004B38DD">
      <w:pPr>
        <w:pStyle w:val="ListBullet"/>
      </w:pPr>
      <w:r>
        <w:t>We may talk to you about trying to resolve the complaint by conciliation.</w:t>
      </w:r>
    </w:p>
    <w:p w:rsidR="004B38DD" w:rsidRPr="00A1733D" w:rsidRDefault="004B38DD" w:rsidP="004B38DD">
      <w:pPr>
        <w:pStyle w:val="Heading1"/>
      </w:pPr>
      <w:r w:rsidRPr="00A1733D">
        <w:t>Conciliation</w:t>
      </w:r>
    </w:p>
    <w:p w:rsidR="004B38DD" w:rsidRDefault="004B38DD" w:rsidP="004B38DD">
      <w:pPr>
        <w:pStyle w:val="ListBullet"/>
      </w:pPr>
      <w:r>
        <w:t xml:space="preserve">Conciliation means that we try to help you and the person or </w:t>
      </w:r>
      <w:proofErr w:type="spellStart"/>
      <w:r>
        <w:t>organisation</w:t>
      </w:r>
      <w:proofErr w:type="spellEnd"/>
      <w:r>
        <w:t xml:space="preserve"> you are complaining about</w:t>
      </w:r>
      <w:r w:rsidRPr="00E96D13">
        <w:t xml:space="preserve"> try to find</w:t>
      </w:r>
      <w:r>
        <w:t xml:space="preserve"> a way to resolve the matter.</w:t>
      </w:r>
    </w:p>
    <w:p w:rsidR="004B38DD" w:rsidRDefault="004B38DD" w:rsidP="004B38DD">
      <w:pPr>
        <w:pStyle w:val="ListBullet"/>
      </w:pPr>
      <w:r w:rsidRPr="003952E2">
        <w:t>Conciliation can take place in a face-to-face meeting called a ‘conciliation conference’ or through a telephone conference. In some cases complaints can be resolved through an exchange of letters or by passing mes</w:t>
      </w:r>
      <w:r>
        <w:t>sages through the conciliator.</w:t>
      </w:r>
    </w:p>
    <w:p w:rsidR="004B38DD" w:rsidRDefault="004B38DD" w:rsidP="004B38DD">
      <w:pPr>
        <w:pStyle w:val="ListBullet"/>
      </w:pPr>
      <w:r w:rsidRPr="001B3713">
        <w:t>Complaints can be resolved in many different ways</w:t>
      </w:r>
      <w:r>
        <w:t xml:space="preserve">. For example by an apology, a change of policy or </w:t>
      </w:r>
      <w:r w:rsidRPr="001B3713">
        <w:t>compensation</w:t>
      </w:r>
      <w:r>
        <w:t>.</w:t>
      </w:r>
    </w:p>
    <w:p w:rsidR="004B38DD" w:rsidRPr="00A1733D" w:rsidRDefault="004B38DD" w:rsidP="004B38DD">
      <w:pPr>
        <w:pStyle w:val="Heading1"/>
      </w:pPr>
      <w:r w:rsidRPr="00A1733D">
        <w:t>Decision</w:t>
      </w:r>
    </w:p>
    <w:p w:rsidR="004B38DD" w:rsidRDefault="004B38DD" w:rsidP="004B38DD">
      <w:pPr>
        <w:pStyle w:val="ListBullet"/>
      </w:pPr>
      <w:r w:rsidRPr="00FD1A3E">
        <w:t xml:space="preserve">If the complaint is not resolved </w:t>
      </w:r>
      <w:r>
        <w:t xml:space="preserve">or </w:t>
      </w:r>
      <w:r w:rsidRPr="00FD1A3E">
        <w:t xml:space="preserve">discontinued for some other reason, the </w:t>
      </w:r>
      <w:r>
        <w:t xml:space="preserve">President of </w:t>
      </w:r>
      <w:r w:rsidR="00E44331">
        <w:t>the Commission may</w:t>
      </w:r>
      <w:r>
        <w:t xml:space="preserve"> decide if there has been a breach of human rights.</w:t>
      </w:r>
      <w:r w:rsidRPr="00FD1A3E">
        <w:t xml:space="preserve"> This might in</w:t>
      </w:r>
      <w:r>
        <w:t xml:space="preserve">volve the President holding a </w:t>
      </w:r>
      <w:r w:rsidRPr="00FD1A3E">
        <w:t>public hearing</w:t>
      </w:r>
      <w:r>
        <w:t xml:space="preserve"> where each side presents their version of events and answers questions.</w:t>
      </w:r>
    </w:p>
    <w:p w:rsidR="004B38DD" w:rsidRPr="00FD1A3E" w:rsidRDefault="004B38DD" w:rsidP="004B38DD">
      <w:pPr>
        <w:pStyle w:val="ListBullet"/>
      </w:pPr>
      <w:r w:rsidRPr="00FD1A3E">
        <w:t>If the President is satisfied that a breach of human rights has occurred</w:t>
      </w:r>
      <w:r>
        <w:t>,</w:t>
      </w:r>
      <w:r w:rsidRPr="00FD1A3E">
        <w:t xml:space="preserve"> the President will report the matter to the federal Attorney-General. </w:t>
      </w:r>
      <w:r>
        <w:t>In the report, the</w:t>
      </w:r>
      <w:r w:rsidRPr="00FD1A3E">
        <w:t xml:space="preserve"> President can </w:t>
      </w:r>
      <w:r>
        <w:t xml:space="preserve">recommend </w:t>
      </w:r>
      <w:r w:rsidRPr="00FD1A3E">
        <w:t>compensat</w:t>
      </w:r>
      <w:r>
        <w:t xml:space="preserve">ion </w:t>
      </w:r>
      <w:r w:rsidRPr="00FD1A3E">
        <w:t xml:space="preserve">for any loss or injury </w:t>
      </w:r>
      <w:r>
        <w:t xml:space="preserve">a person has </w:t>
      </w:r>
      <w:r w:rsidR="00E44331">
        <w:t xml:space="preserve">experienced. The report </w:t>
      </w:r>
      <w:proofErr w:type="gramStart"/>
      <w:r w:rsidR="00E44331">
        <w:t>may</w:t>
      </w:r>
      <w:r w:rsidRPr="00FD1A3E">
        <w:t xml:space="preserve"> be tabled</w:t>
      </w:r>
      <w:proofErr w:type="gramEnd"/>
      <w:r w:rsidRPr="00FD1A3E">
        <w:t xml:space="preserve"> in Parliament. </w:t>
      </w:r>
    </w:p>
    <w:p w:rsidR="00A1733D" w:rsidRPr="0047697D" w:rsidRDefault="004B38DD" w:rsidP="004B38DD">
      <w:pPr>
        <w:pStyle w:val="ListBullet"/>
        <w:rPr>
          <w:w w:val="90"/>
        </w:rPr>
      </w:pPr>
      <w:r w:rsidRPr="0047697D">
        <w:rPr>
          <w:lang w:val="en-GB" w:bidi="ar-SA"/>
        </w:rPr>
        <w:t xml:space="preserve">Examples of the President’s decisions about breaches of human rights are available on the Commission’s website at </w:t>
      </w:r>
      <w:hyperlink r:id="rId9" w:history="1">
        <w:r w:rsidRPr="0047697D">
          <w:rPr>
            <w:rStyle w:val="Hyperlink"/>
            <w:rFonts w:cs="Arial"/>
            <w:lang w:val="en-GB" w:bidi="ar-SA"/>
          </w:rPr>
          <w:t>www.humanrights.gov.au/legal/humanrightsreports/index.html</w:t>
        </w:r>
      </w:hyperlink>
    </w:p>
    <w:p w:rsidR="00501323" w:rsidRDefault="00501323" w:rsidP="006B7C57">
      <w:pPr>
        <w:pStyle w:val="Heading1"/>
      </w:pPr>
      <w:bookmarkStart w:id="0" w:name="_GoBack"/>
      <w:bookmarkEnd w:id="0"/>
    </w:p>
    <w:sectPr w:rsidR="00501323" w:rsidSect="00D72CEF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A1" w:rsidRDefault="001125A1" w:rsidP="00635702">
      <w:pPr>
        <w:spacing w:after="0"/>
      </w:pPr>
      <w:r>
        <w:separator/>
      </w:r>
    </w:p>
  </w:endnote>
  <w:endnote w:type="continuationSeparator" w:id="0">
    <w:p w:rsidR="001125A1" w:rsidRDefault="001125A1" w:rsidP="00635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Bold"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04" w:rsidRPr="0090165F" w:rsidRDefault="00835C16" w:rsidP="006A7F04">
    <w:pPr>
      <w:pStyle w:val="Footer"/>
      <w:spacing w:after="0"/>
      <w:jc w:val="right"/>
    </w:pPr>
    <w:r>
      <w:rPr>
        <w:rStyle w:val="PageNumber"/>
      </w:rPr>
      <w:fldChar w:fldCharType="begin"/>
    </w:r>
    <w:r w:rsidR="006A7F0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7C5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E3" w:rsidRPr="00B26370" w:rsidRDefault="00E43CE3" w:rsidP="00A11031">
    <w:pPr>
      <w:pBdr>
        <w:top w:val="single" w:sz="4" w:space="1" w:color="auto"/>
      </w:pBdr>
      <w:spacing w:after="0"/>
      <w:ind w:left="-142" w:right="-142"/>
      <w:jc w:val="center"/>
      <w:rPr>
        <w:rFonts w:cs="Arial"/>
        <w:b/>
        <w:sz w:val="18"/>
        <w:szCs w:val="18"/>
      </w:rPr>
    </w:pPr>
    <w:r>
      <w:rPr>
        <w:sz w:val="20"/>
        <w:szCs w:val="20"/>
      </w:rPr>
      <w:br/>
    </w:r>
    <w:r w:rsidRPr="00B26370">
      <w:rPr>
        <w:rFonts w:cs="Arial"/>
        <w:b/>
        <w:sz w:val="18"/>
        <w:szCs w:val="18"/>
      </w:rPr>
      <w:t xml:space="preserve">COMPLAINT INFORMATION SERVICE </w:t>
    </w:r>
  </w:p>
  <w:p w:rsidR="00E43CE3" w:rsidRPr="00E43CE3" w:rsidRDefault="00E43CE3" w:rsidP="00E43CE3">
    <w:pPr>
      <w:spacing w:before="0" w:after="0"/>
      <w:ind w:left="-142" w:right="-142"/>
      <w:jc w:val="center"/>
      <w:rPr>
        <w:rFonts w:cs="Arial"/>
        <w:sz w:val="18"/>
        <w:szCs w:val="18"/>
        <w:lang w:val="en-GB" w:bidi="ar-SA"/>
      </w:rPr>
    </w:pPr>
    <w:proofErr w:type="gramStart"/>
    <w:r w:rsidRPr="002D4AE8">
      <w:rPr>
        <w:rFonts w:cs="Arial"/>
        <w:sz w:val="18"/>
        <w:szCs w:val="18"/>
        <w:lang w:val="en-GB" w:bidi="ar-SA"/>
      </w:rPr>
      <w:t>telephone</w:t>
    </w:r>
    <w:proofErr w:type="gramEnd"/>
    <w:r w:rsidRPr="002D4AE8">
      <w:rPr>
        <w:rFonts w:cs="Arial"/>
        <w:sz w:val="18"/>
        <w:szCs w:val="18"/>
        <w:lang w:val="en-GB" w:bidi="ar-SA"/>
      </w:rPr>
      <w:t xml:space="preserve"> 1300 656 419 or (02) 9284 9888 </w:t>
    </w:r>
    <w:r>
      <w:rPr>
        <w:rFonts w:ascii="Wingdings" w:hAnsi="Wingdings" w:cs="Arial"/>
        <w:sz w:val="18"/>
        <w:szCs w:val="18"/>
        <w:lang w:val="en-GB" w:bidi="ar-SA"/>
      </w:rPr>
      <w:sym w:font="Symbol" w:char="F0B7"/>
    </w:r>
    <w:r w:rsidRPr="002D4AE8">
      <w:rPr>
        <w:rFonts w:cs="Arial"/>
        <w:sz w:val="18"/>
        <w:szCs w:val="18"/>
        <w:lang w:val="en-GB" w:bidi="ar-SA"/>
      </w:rPr>
      <w:t xml:space="preserve"> www.humanrights.gov.au </w:t>
    </w:r>
    <w:r>
      <w:rPr>
        <w:rFonts w:cs="Arial"/>
        <w:sz w:val="18"/>
        <w:szCs w:val="18"/>
        <w:lang w:val="en-GB" w:bidi="ar-SA"/>
      </w:rPr>
      <w:sym w:font="Symbol" w:char="F0B7"/>
    </w:r>
    <w:r w:rsidRPr="002D4AE8">
      <w:rPr>
        <w:rFonts w:cs="Arial"/>
        <w:sz w:val="18"/>
        <w:szCs w:val="18"/>
        <w:lang w:val="en-GB" w:bidi="ar-SA"/>
      </w:rPr>
      <w:t xml:space="preserve"> complaintsinfo@humanrights.gov.au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A1" w:rsidRDefault="001125A1" w:rsidP="00635702">
      <w:pPr>
        <w:spacing w:after="0"/>
      </w:pPr>
      <w:r>
        <w:separator/>
      </w:r>
    </w:p>
  </w:footnote>
  <w:footnote w:type="continuationSeparator" w:id="0">
    <w:p w:rsidR="001125A1" w:rsidRDefault="001125A1" w:rsidP="00635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04" w:rsidRPr="00D27262" w:rsidRDefault="006A7F04" w:rsidP="006A7F04">
    <w:pPr>
      <w:spacing w:before="0" w:after="0"/>
      <w:jc w:val="right"/>
      <w:rPr>
        <w:szCs w:val="22"/>
      </w:rPr>
    </w:pPr>
    <w:r w:rsidRPr="00D27262">
      <w:rPr>
        <w:szCs w:val="22"/>
      </w:rPr>
      <w:t>Au</w:t>
    </w:r>
    <w:r>
      <w:rPr>
        <w:szCs w:val="22"/>
      </w:rPr>
      <w:t>stralian Human Rights Commission</w:t>
    </w:r>
  </w:p>
  <w:p w:rsidR="006A7F04" w:rsidRPr="00EB6B66" w:rsidRDefault="006A7F04" w:rsidP="004B38DD">
    <w:pPr>
      <w:pStyle w:val="Footer"/>
      <w:spacing w:before="0" w:after="360"/>
      <w:jc w:val="right"/>
      <w:rPr>
        <w:i/>
        <w:szCs w:val="22"/>
      </w:rPr>
    </w:pPr>
    <w:r>
      <w:rPr>
        <w:b/>
        <w:i/>
        <w:szCs w:val="22"/>
      </w:rPr>
      <w:t xml:space="preserve">The complaint process </w:t>
    </w:r>
    <w:r>
      <w:rPr>
        <w:i/>
        <w:szCs w:val="22"/>
      </w:rPr>
      <w:t xml:space="preserve">for complaints </w:t>
    </w:r>
    <w:r w:rsidR="0055065C">
      <w:rPr>
        <w:i/>
        <w:szCs w:val="22"/>
      </w:rPr>
      <w:t xml:space="preserve">about </w:t>
    </w:r>
    <w:r w:rsidR="004B38DD">
      <w:rPr>
        <w:i/>
        <w:szCs w:val="22"/>
      </w:rPr>
      <w:t>breaches of human rights</w:t>
    </w:r>
    <w:r w:rsidR="004B38DD">
      <w:rPr>
        <w:i/>
        <w:szCs w:val="22"/>
      </w:rPr>
      <w:br/>
      <w:t>by the Commonwealth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E8" w:rsidRDefault="00D72CEF" w:rsidP="007941C7">
    <w:pPr>
      <w:rPr>
        <w:rFonts w:cs="Arial"/>
      </w:rPr>
    </w:pPr>
    <w:r>
      <w:rPr>
        <w:noProof/>
        <w:lang w:val="en-AU" w:eastAsia="en-AU" w:bidi="ar-SA"/>
      </w:rPr>
      <w:drawing>
        <wp:inline distT="0" distB="0" distL="0" distR="0">
          <wp:extent cx="2466975" cy="904875"/>
          <wp:effectExtent l="19050" t="0" r="9525" b="0"/>
          <wp:docPr id="1" name="Picture 1" descr="AHRC_Primary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_Primary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60" t="14285" r="6958" b="15178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769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10F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0A7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66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0EF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E6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7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06E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847D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F4A"/>
    <w:multiLevelType w:val="hybridMultilevel"/>
    <w:tmpl w:val="F552D05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B0142"/>
    <w:multiLevelType w:val="hybridMultilevel"/>
    <w:tmpl w:val="C640FC9C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04957D08"/>
    <w:multiLevelType w:val="hybridMultilevel"/>
    <w:tmpl w:val="3B848632"/>
    <w:lvl w:ilvl="0" w:tplc="A1527378">
      <w:numFmt w:val="bullet"/>
      <w:lvlText w:val=""/>
      <w:lvlJc w:val="left"/>
      <w:pPr>
        <w:ind w:left="644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65C05"/>
    <w:multiLevelType w:val="hybridMultilevel"/>
    <w:tmpl w:val="37842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242262"/>
    <w:multiLevelType w:val="hybridMultilevel"/>
    <w:tmpl w:val="A2F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25ECE"/>
    <w:multiLevelType w:val="hybridMultilevel"/>
    <w:tmpl w:val="B186E496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54427"/>
    <w:multiLevelType w:val="hybridMultilevel"/>
    <w:tmpl w:val="A2E0D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3635D7"/>
    <w:multiLevelType w:val="hybridMultilevel"/>
    <w:tmpl w:val="7608B0F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A4F25"/>
    <w:multiLevelType w:val="hybridMultilevel"/>
    <w:tmpl w:val="F85EE102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96A45"/>
    <w:multiLevelType w:val="hybridMultilevel"/>
    <w:tmpl w:val="DAAC93C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70D35"/>
    <w:multiLevelType w:val="hybridMultilevel"/>
    <w:tmpl w:val="B59E27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E6732B"/>
    <w:multiLevelType w:val="hybridMultilevel"/>
    <w:tmpl w:val="EEF279CE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406DF"/>
    <w:multiLevelType w:val="hybridMultilevel"/>
    <w:tmpl w:val="797CEBF8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311A6"/>
    <w:multiLevelType w:val="hybridMultilevel"/>
    <w:tmpl w:val="8DC684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034AE"/>
    <w:multiLevelType w:val="hybridMultilevel"/>
    <w:tmpl w:val="4F9ED38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4711"/>
    <w:multiLevelType w:val="hybridMultilevel"/>
    <w:tmpl w:val="6288766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F4B7F"/>
    <w:multiLevelType w:val="hybridMultilevel"/>
    <w:tmpl w:val="139A75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0C3B10"/>
    <w:multiLevelType w:val="hybridMultilevel"/>
    <w:tmpl w:val="351CEA4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15233"/>
    <w:multiLevelType w:val="hybridMultilevel"/>
    <w:tmpl w:val="4F6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07798"/>
    <w:multiLevelType w:val="hybridMultilevel"/>
    <w:tmpl w:val="31669C26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3F74"/>
    <w:multiLevelType w:val="hybridMultilevel"/>
    <w:tmpl w:val="06F0A81C"/>
    <w:lvl w:ilvl="0" w:tplc="EA5EA3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7CED"/>
    <w:multiLevelType w:val="hybridMultilevel"/>
    <w:tmpl w:val="9BDA66A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41253"/>
    <w:multiLevelType w:val="hybridMultilevel"/>
    <w:tmpl w:val="5A4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36AC8"/>
    <w:multiLevelType w:val="hybridMultilevel"/>
    <w:tmpl w:val="82E8947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A1EF9"/>
    <w:multiLevelType w:val="hybridMultilevel"/>
    <w:tmpl w:val="CDC46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2630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E3B2701"/>
    <w:multiLevelType w:val="hybridMultilevel"/>
    <w:tmpl w:val="FF224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D6EE2"/>
    <w:multiLevelType w:val="hybridMultilevel"/>
    <w:tmpl w:val="4916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056B7"/>
    <w:multiLevelType w:val="hybridMultilevel"/>
    <w:tmpl w:val="C08685E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31EF4"/>
    <w:multiLevelType w:val="hybridMultilevel"/>
    <w:tmpl w:val="10A0503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B6C57"/>
    <w:multiLevelType w:val="hybridMultilevel"/>
    <w:tmpl w:val="1348EE10"/>
    <w:lvl w:ilvl="0" w:tplc="35102AC6">
      <w:numFmt w:val="bullet"/>
      <w:lvlText w:val=""/>
      <w:lvlJc w:val="left"/>
      <w:pPr>
        <w:ind w:left="1003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40"/>
  </w:num>
  <w:num w:numId="4">
    <w:abstractNumId w:val="22"/>
  </w:num>
  <w:num w:numId="5">
    <w:abstractNumId w:val="12"/>
  </w:num>
  <w:num w:numId="6">
    <w:abstractNumId w:val="13"/>
  </w:num>
  <w:num w:numId="7">
    <w:abstractNumId w:val="11"/>
  </w:num>
  <w:num w:numId="8">
    <w:abstractNumId w:val="23"/>
  </w:num>
  <w:num w:numId="9">
    <w:abstractNumId w:val="26"/>
  </w:num>
  <w:num w:numId="10">
    <w:abstractNumId w:val="28"/>
  </w:num>
  <w:num w:numId="11">
    <w:abstractNumId w:val="20"/>
  </w:num>
  <w:num w:numId="12">
    <w:abstractNumId w:val="16"/>
  </w:num>
  <w:num w:numId="13">
    <w:abstractNumId w:val="14"/>
  </w:num>
  <w:num w:numId="14">
    <w:abstractNumId w:val="36"/>
  </w:num>
  <w:num w:numId="15">
    <w:abstractNumId w:val="34"/>
  </w:num>
  <w:num w:numId="16">
    <w:abstractNumId w:val="30"/>
  </w:num>
  <w:num w:numId="17">
    <w:abstractNumId w:val="25"/>
  </w:num>
  <w:num w:numId="18">
    <w:abstractNumId w:val="21"/>
  </w:num>
  <w:num w:numId="19">
    <w:abstractNumId w:val="19"/>
  </w:num>
  <w:num w:numId="20">
    <w:abstractNumId w:val="33"/>
  </w:num>
  <w:num w:numId="21">
    <w:abstractNumId w:val="35"/>
  </w:num>
  <w:num w:numId="22">
    <w:abstractNumId w:val="24"/>
  </w:num>
  <w:num w:numId="23">
    <w:abstractNumId w:val="18"/>
  </w:num>
  <w:num w:numId="24">
    <w:abstractNumId w:val="15"/>
  </w:num>
  <w:num w:numId="25">
    <w:abstractNumId w:val="39"/>
  </w:num>
  <w:num w:numId="26">
    <w:abstractNumId w:val="31"/>
  </w:num>
  <w:num w:numId="27">
    <w:abstractNumId w:val="27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8"/>
  </w:num>
  <w:num w:numId="40">
    <w:abstractNumId w:val="1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55"/>
    <w:rsid w:val="0001026F"/>
    <w:rsid w:val="00072FD6"/>
    <w:rsid w:val="00076FD2"/>
    <w:rsid w:val="000A36FD"/>
    <w:rsid w:val="000F1047"/>
    <w:rsid w:val="000F7375"/>
    <w:rsid w:val="001125A1"/>
    <w:rsid w:val="00175723"/>
    <w:rsid w:val="0019792E"/>
    <w:rsid w:val="001A2302"/>
    <w:rsid w:val="001B3713"/>
    <w:rsid w:val="001C62E4"/>
    <w:rsid w:val="001F78E6"/>
    <w:rsid w:val="00273ADC"/>
    <w:rsid w:val="00296CC6"/>
    <w:rsid w:val="002A5421"/>
    <w:rsid w:val="002B7E8E"/>
    <w:rsid w:val="002D3EE0"/>
    <w:rsid w:val="002D4AE8"/>
    <w:rsid w:val="00391F3C"/>
    <w:rsid w:val="00392854"/>
    <w:rsid w:val="003952E2"/>
    <w:rsid w:val="003A604B"/>
    <w:rsid w:val="003D24C8"/>
    <w:rsid w:val="00455245"/>
    <w:rsid w:val="004612BD"/>
    <w:rsid w:val="0047697D"/>
    <w:rsid w:val="004A441E"/>
    <w:rsid w:val="004A5B02"/>
    <w:rsid w:val="004B1552"/>
    <w:rsid w:val="004B38DD"/>
    <w:rsid w:val="00501323"/>
    <w:rsid w:val="00515E5B"/>
    <w:rsid w:val="00535870"/>
    <w:rsid w:val="005364F7"/>
    <w:rsid w:val="0055065C"/>
    <w:rsid w:val="00564593"/>
    <w:rsid w:val="00574669"/>
    <w:rsid w:val="00586966"/>
    <w:rsid w:val="005A7132"/>
    <w:rsid w:val="005B1728"/>
    <w:rsid w:val="005C3FC7"/>
    <w:rsid w:val="005F52DE"/>
    <w:rsid w:val="005F6398"/>
    <w:rsid w:val="00635702"/>
    <w:rsid w:val="006401FD"/>
    <w:rsid w:val="00641BD7"/>
    <w:rsid w:val="006507F7"/>
    <w:rsid w:val="00667CB9"/>
    <w:rsid w:val="006A2E07"/>
    <w:rsid w:val="006A7F04"/>
    <w:rsid w:val="006B2A21"/>
    <w:rsid w:val="006B7C57"/>
    <w:rsid w:val="00706382"/>
    <w:rsid w:val="0073740F"/>
    <w:rsid w:val="00737A45"/>
    <w:rsid w:val="00755792"/>
    <w:rsid w:val="00765893"/>
    <w:rsid w:val="007941C7"/>
    <w:rsid w:val="007A4F64"/>
    <w:rsid w:val="007D5281"/>
    <w:rsid w:val="007E7FA0"/>
    <w:rsid w:val="008010EB"/>
    <w:rsid w:val="00807F55"/>
    <w:rsid w:val="00825824"/>
    <w:rsid w:val="0083298C"/>
    <w:rsid w:val="00835C16"/>
    <w:rsid w:val="0083738B"/>
    <w:rsid w:val="0087325F"/>
    <w:rsid w:val="008C713A"/>
    <w:rsid w:val="00900F11"/>
    <w:rsid w:val="00906919"/>
    <w:rsid w:val="00925E09"/>
    <w:rsid w:val="009548E5"/>
    <w:rsid w:val="00971D90"/>
    <w:rsid w:val="009A7A1C"/>
    <w:rsid w:val="009B7165"/>
    <w:rsid w:val="009D2738"/>
    <w:rsid w:val="00A07DE8"/>
    <w:rsid w:val="00A11031"/>
    <w:rsid w:val="00A1733D"/>
    <w:rsid w:val="00A30433"/>
    <w:rsid w:val="00AA60FC"/>
    <w:rsid w:val="00AB5FC4"/>
    <w:rsid w:val="00AE743E"/>
    <w:rsid w:val="00AF2B05"/>
    <w:rsid w:val="00B20BF1"/>
    <w:rsid w:val="00B26370"/>
    <w:rsid w:val="00B66543"/>
    <w:rsid w:val="00BA3B8B"/>
    <w:rsid w:val="00BA643B"/>
    <w:rsid w:val="00BB3100"/>
    <w:rsid w:val="00BD0AFA"/>
    <w:rsid w:val="00BD5FFE"/>
    <w:rsid w:val="00BE71EE"/>
    <w:rsid w:val="00C27185"/>
    <w:rsid w:val="00C87077"/>
    <w:rsid w:val="00C937B1"/>
    <w:rsid w:val="00CC299C"/>
    <w:rsid w:val="00CD066C"/>
    <w:rsid w:val="00CF18FD"/>
    <w:rsid w:val="00CF4F87"/>
    <w:rsid w:val="00D16B0C"/>
    <w:rsid w:val="00D20DA3"/>
    <w:rsid w:val="00D545C0"/>
    <w:rsid w:val="00D65552"/>
    <w:rsid w:val="00D72CEF"/>
    <w:rsid w:val="00D73738"/>
    <w:rsid w:val="00D8154C"/>
    <w:rsid w:val="00D9374F"/>
    <w:rsid w:val="00DD670B"/>
    <w:rsid w:val="00DF6FA5"/>
    <w:rsid w:val="00E025FB"/>
    <w:rsid w:val="00E06933"/>
    <w:rsid w:val="00E16209"/>
    <w:rsid w:val="00E36B5C"/>
    <w:rsid w:val="00E41D84"/>
    <w:rsid w:val="00E43CE3"/>
    <w:rsid w:val="00E44331"/>
    <w:rsid w:val="00E712E9"/>
    <w:rsid w:val="00E84F66"/>
    <w:rsid w:val="00E94A9D"/>
    <w:rsid w:val="00E96D13"/>
    <w:rsid w:val="00ED66A6"/>
    <w:rsid w:val="00EE7C29"/>
    <w:rsid w:val="00EF4C58"/>
    <w:rsid w:val="00F30910"/>
    <w:rsid w:val="00F641FA"/>
    <w:rsid w:val="00F8225E"/>
    <w:rsid w:val="00FA3E52"/>
    <w:rsid w:val="00FB7C03"/>
    <w:rsid w:val="00FC7770"/>
    <w:rsid w:val="00FD1A3E"/>
    <w:rsid w:val="00FD349C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558B858D"/>
  <w15:docId w15:val="{39604557-3B48-4E13-82BB-8235BFE6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0B"/>
    <w:pPr>
      <w:spacing w:before="240" w:after="240"/>
    </w:pPr>
    <w:rPr>
      <w:rFonts w:ascii="Arial" w:hAnsi="Arial"/>
      <w:sz w:val="22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AE8"/>
    <w:pPr>
      <w:keepNext/>
      <w:spacing w:before="3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225E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225E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225E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225E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225E"/>
    <w:p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225E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8225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8225E"/>
    <w:pPr>
      <w:spacing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AE8"/>
    <w:rPr>
      <w:rFonts w:ascii="Arial" w:hAnsi="Arial" w:cs="Arial"/>
      <w:b/>
      <w:bCs/>
      <w:kern w:val="32"/>
      <w:sz w:val="28"/>
      <w:szCs w:val="32"/>
      <w:lang w:bidi="en-US"/>
    </w:rPr>
  </w:style>
  <w:style w:type="character" w:customStyle="1" w:styleId="Heading2Char">
    <w:name w:val="Heading 2 Char"/>
    <w:link w:val="Heading2"/>
    <w:uiPriority w:val="9"/>
    <w:semiHidden/>
    <w:rsid w:val="00F82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225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8225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8225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8225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8225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8225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8225E"/>
    <w:rPr>
      <w:rFonts w:ascii="Cambria" w:eastAsia="Times New Roman" w:hAnsi="Cambria"/>
    </w:rPr>
  </w:style>
  <w:style w:type="paragraph" w:customStyle="1" w:styleId="Noparagraphstyle">
    <w:name w:val="[No paragraph style]"/>
    <w:rsid w:val="00635702"/>
    <w:pPr>
      <w:autoSpaceDE w:val="0"/>
      <w:autoSpaceDN w:val="0"/>
      <w:adjustRightInd w:val="0"/>
      <w:spacing w:after="200" w:line="288" w:lineRule="auto"/>
      <w:textAlignment w:val="center"/>
    </w:pPr>
    <w:rPr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63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702"/>
  </w:style>
  <w:style w:type="paragraph" w:styleId="Footer">
    <w:name w:val="footer"/>
    <w:basedOn w:val="Normal"/>
    <w:link w:val="FooterChar"/>
    <w:uiPriority w:val="99"/>
    <w:unhideWhenUsed/>
    <w:rsid w:val="0063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02"/>
  </w:style>
  <w:style w:type="paragraph" w:styleId="Title">
    <w:name w:val="Title"/>
    <w:basedOn w:val="Normal"/>
    <w:next w:val="Normal"/>
    <w:link w:val="TitleChar"/>
    <w:uiPriority w:val="10"/>
    <w:qFormat/>
    <w:rsid w:val="002D4AE8"/>
    <w:pPr>
      <w:spacing w:after="480"/>
      <w:jc w:val="right"/>
      <w:outlineLvl w:val="0"/>
    </w:pPr>
    <w:rPr>
      <w:rFonts w:cs="Arial"/>
      <w:b/>
      <w:bCs/>
      <w:i/>
      <w:kern w:val="28"/>
      <w:sz w:val="28"/>
      <w:szCs w:val="32"/>
      <w:lang w:val="en-GB" w:bidi="ar-SA"/>
    </w:rPr>
  </w:style>
  <w:style w:type="character" w:customStyle="1" w:styleId="TitleChar">
    <w:name w:val="Title Char"/>
    <w:link w:val="Title"/>
    <w:uiPriority w:val="10"/>
    <w:rsid w:val="002D4AE8"/>
    <w:rPr>
      <w:rFonts w:ascii="Arial" w:hAnsi="Arial" w:cs="Arial"/>
      <w:b/>
      <w:bCs/>
      <w:i/>
      <w:kern w:val="28"/>
      <w:sz w:val="28"/>
      <w:szCs w:val="32"/>
      <w:lang w:val="en-GB"/>
    </w:rPr>
  </w:style>
  <w:style w:type="paragraph" w:customStyle="1" w:styleId="HeadingTwo">
    <w:name w:val="Heading Two"/>
    <w:basedOn w:val="Heading1"/>
    <w:qFormat/>
    <w:rsid w:val="00A1733D"/>
    <w:pPr>
      <w:spacing w:after="120"/>
    </w:pPr>
    <w:rPr>
      <w:rFonts w:ascii="Book Antiqua" w:hAnsi="Book Antiqua" w:cs="Times New Roman"/>
      <w:sz w:val="24"/>
    </w:rPr>
  </w:style>
  <w:style w:type="paragraph" w:customStyle="1" w:styleId="Bullet">
    <w:name w:val="Bullet"/>
    <w:basedOn w:val="Normal"/>
    <w:uiPriority w:val="99"/>
    <w:qFormat/>
    <w:rsid w:val="00A1733D"/>
    <w:pPr>
      <w:spacing w:before="0" w:after="120"/>
      <w:ind w:left="644" w:hanging="360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17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C299C"/>
    <w:rPr>
      <w:b/>
      <w:bCs/>
    </w:rPr>
  </w:style>
  <w:style w:type="paragraph" w:customStyle="1" w:styleId="Subheading">
    <w:name w:val="Subheading"/>
    <w:basedOn w:val="Noparagraphstyle"/>
    <w:uiPriority w:val="99"/>
    <w:rsid w:val="005A7132"/>
    <w:pPr>
      <w:suppressAutoHyphens/>
      <w:spacing w:after="0"/>
      <w:jc w:val="right"/>
    </w:pPr>
    <w:rPr>
      <w:rFonts w:ascii="DIN-Bold" w:hAnsi="DIN-Bold" w:cs="DIN-Bold"/>
      <w:color w:val="292058"/>
      <w:sz w:val="28"/>
      <w:szCs w:val="28"/>
    </w:rPr>
  </w:style>
  <w:style w:type="character" w:styleId="Hyperlink">
    <w:name w:val="Hyperlink"/>
    <w:rsid w:val="00ED66A6"/>
    <w:rPr>
      <w:color w:val="0000FF"/>
      <w:u w:val="single"/>
    </w:rPr>
  </w:style>
  <w:style w:type="paragraph" w:customStyle="1" w:styleId="LogoType">
    <w:name w:val="Logo Type"/>
    <w:basedOn w:val="Header"/>
    <w:semiHidden/>
    <w:rsid w:val="002D4AE8"/>
    <w:pPr>
      <w:pBdr>
        <w:bottom w:val="single" w:sz="4" w:space="4" w:color="auto"/>
      </w:pBdr>
      <w:tabs>
        <w:tab w:val="clear" w:pos="4680"/>
        <w:tab w:val="clear" w:pos="9360"/>
        <w:tab w:val="left" w:pos="4686"/>
        <w:tab w:val="left" w:pos="7088"/>
        <w:tab w:val="left" w:pos="7242"/>
      </w:tabs>
      <w:spacing w:after="0" w:line="320" w:lineRule="exact"/>
    </w:pPr>
    <w:rPr>
      <w:rFonts w:cs="ArialMT"/>
      <w:b/>
      <w:color w:val="808080"/>
      <w:spacing w:val="-20"/>
      <w:sz w:val="32"/>
      <w:lang w:val="en-AU" w:bidi="ar-SA"/>
    </w:rPr>
  </w:style>
  <w:style w:type="paragraph" w:customStyle="1" w:styleId="HeaderFooter">
    <w:name w:val="Header &amp; Footer"/>
    <w:basedOn w:val="Normal"/>
    <w:semiHidden/>
    <w:rsid w:val="002D4AE8"/>
    <w:pPr>
      <w:spacing w:after="0" w:line="200" w:lineRule="exact"/>
      <w:jc w:val="both"/>
    </w:pPr>
    <w:rPr>
      <w:rFonts w:cs="ArialMT"/>
      <w:color w:val="000000"/>
      <w:sz w:val="16"/>
      <w:lang w:val="en-AU" w:bidi="ar-SA"/>
    </w:rPr>
  </w:style>
  <w:style w:type="paragraph" w:customStyle="1" w:styleId="MainTitle">
    <w:name w:val="Main Title"/>
    <w:qFormat/>
    <w:rsid w:val="00E43CE3"/>
    <w:pPr>
      <w:spacing w:after="240"/>
      <w:jc w:val="right"/>
    </w:pPr>
    <w:rPr>
      <w:rFonts w:ascii="Arial" w:hAnsi="Arial" w:cs="Arial"/>
      <w:b/>
      <w:bCs/>
      <w:kern w:val="32"/>
      <w:sz w:val="56"/>
      <w:szCs w:val="32"/>
      <w:lang w:val="en-US" w:eastAsia="en-US" w:bidi="en-US"/>
    </w:rPr>
  </w:style>
  <w:style w:type="paragraph" w:styleId="ListBullet">
    <w:name w:val="List Bullet"/>
    <w:basedOn w:val="Normal"/>
    <w:uiPriority w:val="99"/>
    <w:unhideWhenUsed/>
    <w:rsid w:val="00E43CE3"/>
    <w:pPr>
      <w:numPr>
        <w:numId w:val="29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F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A5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TitlewithLine">
    <w:name w:val="Title with Line"/>
    <w:basedOn w:val="MainTitle"/>
    <w:qFormat/>
    <w:rsid w:val="007941C7"/>
    <w:pPr>
      <w:pBdr>
        <w:top w:val="single" w:sz="12" w:space="10" w:color="0070C0"/>
        <w:bottom w:val="single" w:sz="12" w:space="10" w:color="0070C0"/>
      </w:pBdr>
      <w:jc w:val="left"/>
    </w:pPr>
    <w:rPr>
      <w:sz w:val="48"/>
      <w:szCs w:val="48"/>
      <w:lang w:val="en-AU" w:eastAsia="en-AU" w:bidi="ar-SA"/>
    </w:rPr>
  </w:style>
  <w:style w:type="character" w:styleId="PageNumber">
    <w:name w:val="page number"/>
    <w:basedOn w:val="DefaultParagraphFont"/>
    <w:semiHidden/>
    <w:rsid w:val="006A7F04"/>
  </w:style>
  <w:style w:type="character" w:styleId="FollowedHyperlink">
    <w:name w:val="FollowedHyperlink"/>
    <w:basedOn w:val="DefaultParagraphFont"/>
    <w:uiPriority w:val="99"/>
    <w:semiHidden/>
    <w:unhideWhenUsed/>
    <w:rsid w:val="002D3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gov.au/complaints/lodge-compla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service@humanrights.gov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.gov.au/legal/humanrightsreports/index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 Designs</Company>
  <LinksUpToDate>false</LinksUpToDate>
  <CharactersWithSpaces>3709</CharactersWithSpaces>
  <SharedDoc>false</SharedDoc>
  <HLinks>
    <vt:vector size="24" baseType="variant"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http://www.humanrights.gov.au/</vt:lpwstr>
      </vt:variant>
      <vt:variant>
        <vt:lpwstr/>
      </vt:variant>
      <vt:variant>
        <vt:i4>3997761</vt:i4>
      </vt:variant>
      <vt:variant>
        <vt:i4>6</vt:i4>
      </vt:variant>
      <vt:variant>
        <vt:i4>0</vt:i4>
      </vt:variant>
      <vt:variant>
        <vt:i4>5</vt:i4>
      </vt:variant>
      <vt:variant>
        <vt:lpwstr>mailto:complaintsinfo@humanrights.gov.au</vt:lpwstr>
      </vt:variant>
      <vt:variant>
        <vt:lpwstr/>
      </vt:variant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http://www.hreoc.gov.au/complaints_information/RDA_complaints.html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http://www.hreoc.gov.au/complaints_information/DDA_complaints.html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Thompson</dc:creator>
  <cp:lastModifiedBy>Sue Broderick</cp:lastModifiedBy>
  <cp:revision>3</cp:revision>
  <cp:lastPrinted>2010-07-22T11:32:00Z</cp:lastPrinted>
  <dcterms:created xsi:type="dcterms:W3CDTF">2017-04-13T04:39:00Z</dcterms:created>
  <dcterms:modified xsi:type="dcterms:W3CDTF">2017-04-13T04:40:00Z</dcterms:modified>
</cp:coreProperties>
</file>