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900C1" w14:textId="77777777" w:rsidR="006878CC" w:rsidRDefault="0008392E" w:rsidP="007C12F3">
      <w:pPr>
        <w:spacing w:before="0" w:after="0"/>
        <w:jc w:val="center"/>
        <w:rPr>
          <w:b/>
          <w:sz w:val="32"/>
          <w:szCs w:val="32"/>
        </w:rPr>
      </w:pPr>
      <w:r w:rsidRPr="007C12F3">
        <w:rPr>
          <w:b/>
          <w:sz w:val="32"/>
          <w:szCs w:val="32"/>
        </w:rPr>
        <w:t xml:space="preserve">Indigenous Property Rights </w:t>
      </w:r>
      <w:r w:rsidR="006878CC">
        <w:rPr>
          <w:b/>
          <w:sz w:val="32"/>
          <w:szCs w:val="32"/>
        </w:rPr>
        <w:t>Network</w:t>
      </w:r>
    </w:p>
    <w:p w14:paraId="2F8ECC2C" w14:textId="77777777" w:rsidR="00A9430D" w:rsidRDefault="00A9430D" w:rsidP="00495DEE">
      <w:pPr>
        <w:spacing w:before="0" w:after="0"/>
        <w:ind w:left="360"/>
        <w:rPr>
          <w:b/>
          <w:sz w:val="32"/>
          <w:szCs w:val="32"/>
        </w:rPr>
      </w:pPr>
    </w:p>
    <w:p w14:paraId="143B8895" w14:textId="77777777" w:rsidR="008A2AF7" w:rsidRPr="007C12F3" w:rsidRDefault="006878CC" w:rsidP="007C12F3">
      <w:pPr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Guiding </w:t>
      </w:r>
      <w:r w:rsidR="00A9430D">
        <w:rPr>
          <w:b/>
          <w:sz w:val="32"/>
          <w:szCs w:val="32"/>
        </w:rPr>
        <w:t xml:space="preserve">Rights and </w:t>
      </w:r>
      <w:r w:rsidR="0008392E" w:rsidRPr="007C12F3">
        <w:rPr>
          <w:b/>
          <w:sz w:val="32"/>
          <w:szCs w:val="32"/>
        </w:rPr>
        <w:t>Principles</w:t>
      </w:r>
      <w:r w:rsidR="0098586C">
        <w:rPr>
          <w:b/>
          <w:sz w:val="32"/>
          <w:szCs w:val="32"/>
        </w:rPr>
        <w:t xml:space="preserve"> for Process and Outcomes</w:t>
      </w:r>
    </w:p>
    <w:p w14:paraId="4AF37260" w14:textId="77777777" w:rsidR="0008392E" w:rsidRDefault="0008392E" w:rsidP="00061380">
      <w:pPr>
        <w:spacing w:before="0" w:after="0"/>
      </w:pPr>
    </w:p>
    <w:p w14:paraId="7877BA31" w14:textId="77777777" w:rsidR="00F65E25" w:rsidRDefault="00F65E25" w:rsidP="00143B1E">
      <w:pPr>
        <w:spacing w:before="0" w:after="0"/>
        <w:rPr>
          <w:rFonts w:cs="Arial"/>
        </w:rPr>
      </w:pPr>
      <w:r w:rsidRPr="001F4F4E">
        <w:rPr>
          <w:rFonts w:cs="Arial"/>
        </w:rPr>
        <w:t>The</w:t>
      </w:r>
      <w:r w:rsidR="00544678">
        <w:rPr>
          <w:rFonts w:cs="Arial"/>
        </w:rPr>
        <w:t xml:space="preserve"> following P</w:t>
      </w:r>
      <w:r w:rsidRPr="001F4F4E">
        <w:rPr>
          <w:rFonts w:cs="Arial"/>
        </w:rPr>
        <w:t>rinciples</w:t>
      </w:r>
      <w:r w:rsidR="00544678">
        <w:rPr>
          <w:rFonts w:cs="Arial"/>
        </w:rPr>
        <w:t xml:space="preserve"> </w:t>
      </w:r>
      <w:r w:rsidR="008C192B">
        <w:rPr>
          <w:rFonts w:cs="Arial"/>
        </w:rPr>
        <w:t xml:space="preserve">were approved by the Indigenous Property Rights Network </w:t>
      </w:r>
      <w:r w:rsidR="001E1867">
        <w:rPr>
          <w:rFonts w:cs="Arial"/>
        </w:rPr>
        <w:t>(Network).</w:t>
      </w:r>
    </w:p>
    <w:p w14:paraId="242EEA88" w14:textId="77777777" w:rsidR="00A22FF1" w:rsidRPr="001F4F4E" w:rsidRDefault="00A22FF1" w:rsidP="00143B1E">
      <w:pPr>
        <w:spacing w:before="0" w:after="0"/>
        <w:rPr>
          <w:rFonts w:cs="Arial"/>
        </w:rPr>
      </w:pPr>
    </w:p>
    <w:p w14:paraId="36E81948" w14:textId="77777777" w:rsidR="00600E1B" w:rsidRDefault="00600E1B" w:rsidP="00600E1B">
      <w:pPr>
        <w:pStyle w:val="ListParagraph"/>
        <w:numPr>
          <w:ilvl w:val="0"/>
          <w:numId w:val="42"/>
        </w:numPr>
        <w:spacing w:before="0" w:after="0"/>
        <w:contextualSpacing w:val="0"/>
        <w:rPr>
          <w:rFonts w:cs="Arial"/>
        </w:rPr>
      </w:pPr>
      <w:r>
        <w:rPr>
          <w:rFonts w:cs="Arial"/>
        </w:rPr>
        <w:t xml:space="preserve">Application of </w:t>
      </w:r>
      <w:r w:rsidR="00E77A7E">
        <w:rPr>
          <w:rFonts w:cs="Arial"/>
        </w:rPr>
        <w:t xml:space="preserve">international </w:t>
      </w:r>
      <w:r w:rsidR="00BE46F9">
        <w:rPr>
          <w:rFonts w:cs="Arial"/>
        </w:rPr>
        <w:t xml:space="preserve">human </w:t>
      </w:r>
      <w:r w:rsidR="00E77A7E">
        <w:rPr>
          <w:rFonts w:cs="Arial"/>
        </w:rPr>
        <w:t>rights and p</w:t>
      </w:r>
      <w:r w:rsidRPr="001F4F4E">
        <w:rPr>
          <w:rFonts w:cs="Arial"/>
        </w:rPr>
        <w:t>rinciples</w:t>
      </w:r>
    </w:p>
    <w:p w14:paraId="011EA9A4" w14:textId="77777777" w:rsidR="008C6C15" w:rsidRDefault="008C6C15" w:rsidP="00143B1E">
      <w:pPr>
        <w:pStyle w:val="ListParagraph"/>
        <w:numPr>
          <w:ilvl w:val="0"/>
          <w:numId w:val="42"/>
        </w:numPr>
        <w:spacing w:before="0" w:after="0"/>
        <w:contextualSpacing w:val="0"/>
        <w:rPr>
          <w:rFonts w:cs="Arial"/>
        </w:rPr>
      </w:pPr>
      <w:r>
        <w:rPr>
          <w:rFonts w:cs="Arial"/>
        </w:rPr>
        <w:t>Indigenous led</w:t>
      </w:r>
    </w:p>
    <w:p w14:paraId="105E9AD3" w14:textId="77777777" w:rsidR="00600E1B" w:rsidRDefault="00600E1B" w:rsidP="00600E1B">
      <w:pPr>
        <w:pStyle w:val="ListParagraph"/>
        <w:numPr>
          <w:ilvl w:val="0"/>
          <w:numId w:val="42"/>
        </w:numPr>
        <w:spacing w:before="0" w:after="0"/>
        <w:contextualSpacing w:val="0"/>
        <w:rPr>
          <w:rFonts w:cs="Arial"/>
        </w:rPr>
      </w:pPr>
      <w:r>
        <w:rPr>
          <w:rFonts w:cs="Arial"/>
        </w:rPr>
        <w:t>Inclusive process</w:t>
      </w:r>
    </w:p>
    <w:p w14:paraId="18664482" w14:textId="77777777" w:rsidR="00600E1B" w:rsidRDefault="00004F87" w:rsidP="00143B1E">
      <w:pPr>
        <w:pStyle w:val="ListParagraph"/>
        <w:numPr>
          <w:ilvl w:val="0"/>
          <w:numId w:val="42"/>
        </w:numPr>
        <w:spacing w:before="0" w:after="0"/>
        <w:contextualSpacing w:val="0"/>
        <w:rPr>
          <w:rFonts w:cs="Arial"/>
        </w:rPr>
      </w:pPr>
      <w:r>
        <w:rPr>
          <w:rFonts w:cs="Arial"/>
        </w:rPr>
        <w:t>Experience, a</w:t>
      </w:r>
      <w:r w:rsidR="00600E1B">
        <w:rPr>
          <w:rFonts w:cs="Arial"/>
        </w:rPr>
        <w:t xml:space="preserve">dvice, research and evidence </w:t>
      </w:r>
      <w:r w:rsidR="00A51491">
        <w:rPr>
          <w:rFonts w:cs="Arial"/>
        </w:rPr>
        <w:t>based</w:t>
      </w:r>
    </w:p>
    <w:p w14:paraId="265EE284" w14:textId="77777777" w:rsidR="001F4F4E" w:rsidRPr="001F4F4E" w:rsidRDefault="00600E1B" w:rsidP="00143B1E">
      <w:pPr>
        <w:pStyle w:val="ListParagraph"/>
        <w:numPr>
          <w:ilvl w:val="0"/>
          <w:numId w:val="42"/>
        </w:numPr>
        <w:spacing w:before="0" w:after="0"/>
        <w:contextualSpacing w:val="0"/>
        <w:rPr>
          <w:rFonts w:cs="Arial"/>
        </w:rPr>
      </w:pPr>
      <w:r>
        <w:rPr>
          <w:rFonts w:cs="Arial"/>
        </w:rPr>
        <w:t>Self-d</w:t>
      </w:r>
      <w:r w:rsidR="001F4F4E">
        <w:rPr>
          <w:rFonts w:cs="Arial"/>
        </w:rPr>
        <w:t>etermination</w:t>
      </w:r>
    </w:p>
    <w:p w14:paraId="2124B563" w14:textId="77777777" w:rsidR="00E72FCF" w:rsidRDefault="00600E1B" w:rsidP="00143B1E">
      <w:pPr>
        <w:pStyle w:val="ListParagraph"/>
        <w:numPr>
          <w:ilvl w:val="0"/>
          <w:numId w:val="42"/>
        </w:numPr>
        <w:spacing w:before="0" w:after="0"/>
        <w:contextualSpacing w:val="0"/>
        <w:rPr>
          <w:rFonts w:cs="Arial"/>
        </w:rPr>
      </w:pPr>
      <w:r>
        <w:rPr>
          <w:rFonts w:cs="Arial"/>
        </w:rPr>
        <w:t>Secure and p</w:t>
      </w:r>
      <w:r w:rsidR="001F4F4E">
        <w:rPr>
          <w:rFonts w:cs="Arial"/>
        </w:rPr>
        <w:t>rotect the Indigenous Estate</w:t>
      </w:r>
    </w:p>
    <w:p w14:paraId="184F677A" w14:textId="77777777" w:rsidR="00544678" w:rsidRDefault="00544678" w:rsidP="00143B1E">
      <w:pPr>
        <w:pStyle w:val="ListParagraph"/>
        <w:numPr>
          <w:ilvl w:val="0"/>
          <w:numId w:val="42"/>
        </w:numPr>
        <w:spacing w:before="0" w:after="0"/>
        <w:contextualSpacing w:val="0"/>
        <w:rPr>
          <w:rFonts w:cs="Arial"/>
        </w:rPr>
      </w:pPr>
      <w:r>
        <w:rPr>
          <w:rFonts w:cs="Arial"/>
        </w:rPr>
        <w:t>Right to make decisions</w:t>
      </w:r>
    </w:p>
    <w:p w14:paraId="3941809C" w14:textId="77777777" w:rsidR="006E78A9" w:rsidRDefault="006E78A9" w:rsidP="00143B1E">
      <w:pPr>
        <w:pStyle w:val="ListParagraph"/>
        <w:numPr>
          <w:ilvl w:val="0"/>
          <w:numId w:val="42"/>
        </w:numPr>
        <w:spacing w:before="0" w:after="0"/>
        <w:contextualSpacing w:val="0"/>
        <w:rPr>
          <w:rFonts w:cs="Arial"/>
        </w:rPr>
      </w:pPr>
      <w:r>
        <w:rPr>
          <w:rFonts w:cs="Arial"/>
        </w:rPr>
        <w:t>Respect for and protection of culture</w:t>
      </w:r>
    </w:p>
    <w:p w14:paraId="20EFB53B" w14:textId="77777777" w:rsidR="006E78A9" w:rsidRDefault="006E78A9" w:rsidP="00143B1E">
      <w:pPr>
        <w:spacing w:before="0" w:after="0"/>
        <w:rPr>
          <w:rFonts w:cs="Arial"/>
          <w:b/>
          <w:i/>
        </w:rPr>
      </w:pPr>
    </w:p>
    <w:p w14:paraId="27085E6B" w14:textId="77777777" w:rsidR="00420EA9" w:rsidRDefault="00420EA9" w:rsidP="006E78A9">
      <w:pPr>
        <w:spacing w:before="0" w:after="0"/>
        <w:rPr>
          <w:rFonts w:cs="Arial"/>
          <w:b/>
          <w:i/>
        </w:rPr>
      </w:pPr>
    </w:p>
    <w:p w14:paraId="071AFB60" w14:textId="77777777" w:rsidR="006E78A9" w:rsidRDefault="008E6C5F" w:rsidP="006E78A9">
      <w:pPr>
        <w:spacing w:before="0" w:after="0"/>
        <w:rPr>
          <w:rFonts w:cs="Arial"/>
          <w:b/>
          <w:i/>
        </w:rPr>
      </w:pPr>
      <w:r>
        <w:rPr>
          <w:rFonts w:cs="Arial"/>
          <w:b/>
          <w:i/>
        </w:rPr>
        <w:t>Definition</w:t>
      </w:r>
    </w:p>
    <w:p w14:paraId="312A56CF" w14:textId="77777777" w:rsidR="00420EA9" w:rsidRDefault="00420EA9" w:rsidP="00420EA9">
      <w:pPr>
        <w:spacing w:before="0" w:after="0"/>
        <w:rPr>
          <w:rFonts w:cs="Arial"/>
        </w:rPr>
      </w:pPr>
      <w:r w:rsidRPr="001F4F4E">
        <w:rPr>
          <w:rFonts w:cs="Arial"/>
        </w:rPr>
        <w:t>The</w:t>
      </w:r>
      <w:r>
        <w:rPr>
          <w:rFonts w:cs="Arial"/>
        </w:rPr>
        <w:t xml:space="preserve"> following definition of the Indigenous Estate was approved by the Network</w:t>
      </w:r>
      <w:r w:rsidR="005E3DA9">
        <w:rPr>
          <w:rFonts w:cs="Arial"/>
        </w:rPr>
        <w:t>.</w:t>
      </w:r>
    </w:p>
    <w:p w14:paraId="4051213C" w14:textId="77777777" w:rsidR="008E6C5F" w:rsidRDefault="008E6C5F" w:rsidP="006E78A9">
      <w:pPr>
        <w:spacing w:before="0" w:after="0"/>
        <w:rPr>
          <w:rFonts w:cs="Arial"/>
          <w:b/>
          <w:i/>
        </w:rPr>
      </w:pPr>
    </w:p>
    <w:p w14:paraId="0374D311" w14:textId="77777777" w:rsidR="008E6C5F" w:rsidRDefault="008E6C5F" w:rsidP="008E6C5F">
      <w:pPr>
        <w:spacing w:before="0" w:after="0"/>
        <w:rPr>
          <w:rFonts w:cs="Arial"/>
          <w:b/>
          <w:i/>
        </w:rPr>
      </w:pPr>
      <w:r w:rsidRPr="001E1867">
        <w:rPr>
          <w:rFonts w:cs="Arial"/>
        </w:rPr>
        <w:t xml:space="preserve">The Indigenous Estate includes </w:t>
      </w:r>
      <w:r w:rsidR="00A51491">
        <w:rPr>
          <w:rFonts w:cs="Arial"/>
        </w:rPr>
        <w:t xml:space="preserve">the </w:t>
      </w:r>
      <w:r w:rsidRPr="001E1867">
        <w:t>land</w:t>
      </w:r>
      <w:r w:rsidR="003E1B0A">
        <w:t>s</w:t>
      </w:r>
      <w:r w:rsidRPr="001E1867">
        <w:t>, sea</w:t>
      </w:r>
      <w:r w:rsidR="003E1B0A">
        <w:t>s</w:t>
      </w:r>
      <w:r w:rsidRPr="001E1867">
        <w:t>, water</w:t>
      </w:r>
      <w:r w:rsidR="003E1B0A">
        <w:t>s</w:t>
      </w:r>
      <w:r w:rsidRPr="001E1867">
        <w:t xml:space="preserve"> and resources</w:t>
      </w:r>
      <w:r w:rsidR="00A51491">
        <w:t xml:space="preserve"> of Aborigi</w:t>
      </w:r>
      <w:r w:rsidR="00E67F3A">
        <w:t>nal and Torres Strait Islander P</w:t>
      </w:r>
      <w:r w:rsidR="00A51491">
        <w:t>eoples</w:t>
      </w:r>
      <w:r w:rsidRPr="001E1867">
        <w:t>.</w:t>
      </w:r>
    </w:p>
    <w:p w14:paraId="33D1E59B" w14:textId="77777777" w:rsidR="008E6C5F" w:rsidRDefault="008E6C5F" w:rsidP="006E78A9">
      <w:pPr>
        <w:spacing w:before="0" w:after="0"/>
        <w:rPr>
          <w:rFonts w:cs="Arial"/>
          <w:b/>
          <w:i/>
        </w:rPr>
      </w:pPr>
    </w:p>
    <w:p w14:paraId="16622827" w14:textId="77777777" w:rsidR="00147AB0" w:rsidRPr="00791263" w:rsidRDefault="00147AB0" w:rsidP="006E78A9">
      <w:pPr>
        <w:spacing w:before="0" w:after="0"/>
        <w:rPr>
          <w:rFonts w:cs="Arial"/>
          <w:b/>
          <w:i/>
        </w:rPr>
      </w:pPr>
      <w:r w:rsidRPr="00147AB0">
        <w:rPr>
          <w:rFonts w:cs="Arial"/>
          <w:b/>
          <w:i/>
        </w:rPr>
        <w:t>Guiding Principles</w:t>
      </w:r>
      <w:r w:rsidR="0098586C">
        <w:rPr>
          <w:rFonts w:cs="Arial"/>
          <w:b/>
          <w:i/>
        </w:rPr>
        <w:t xml:space="preserve"> – </w:t>
      </w:r>
      <w:r w:rsidR="00E77A7E">
        <w:rPr>
          <w:rFonts w:cs="Arial"/>
          <w:b/>
          <w:i/>
        </w:rPr>
        <w:t>foundational r</w:t>
      </w:r>
      <w:r w:rsidR="00791263" w:rsidRPr="00791263">
        <w:rPr>
          <w:rFonts w:cs="Arial"/>
          <w:b/>
          <w:i/>
        </w:rPr>
        <w:t>ights</w:t>
      </w:r>
      <w:r w:rsidR="00526220" w:rsidRPr="00791263">
        <w:rPr>
          <w:rFonts w:cs="Arial"/>
          <w:b/>
          <w:i/>
        </w:rPr>
        <w:t xml:space="preserve">, </w:t>
      </w:r>
      <w:r w:rsidR="00E77A7E">
        <w:rPr>
          <w:rFonts w:cs="Arial"/>
          <w:b/>
          <w:i/>
        </w:rPr>
        <w:t>process and o</w:t>
      </w:r>
      <w:r w:rsidR="0098586C" w:rsidRPr="00791263">
        <w:rPr>
          <w:rFonts w:cs="Arial"/>
          <w:b/>
          <w:i/>
        </w:rPr>
        <w:t>utcomes</w:t>
      </w:r>
    </w:p>
    <w:p w14:paraId="4EAB2686" w14:textId="77777777" w:rsidR="00E77A7E" w:rsidRPr="006E78A9" w:rsidRDefault="00E77A7E" w:rsidP="006E78A9">
      <w:pPr>
        <w:spacing w:before="0" w:after="0"/>
        <w:rPr>
          <w:rFonts w:cs="Arial"/>
          <w:b/>
          <w:i/>
        </w:rPr>
      </w:pPr>
    </w:p>
    <w:p w14:paraId="16F1D207" w14:textId="77777777" w:rsidR="00827FEB" w:rsidRPr="00827FEB" w:rsidRDefault="00BD5299" w:rsidP="00827FEB">
      <w:pPr>
        <w:spacing w:before="0" w:after="0"/>
        <w:rPr>
          <w:rFonts w:cs="Arial"/>
          <w:b/>
        </w:rPr>
      </w:pPr>
      <w:r>
        <w:rPr>
          <w:rFonts w:cs="Arial"/>
          <w:b/>
        </w:rPr>
        <w:t>Foundational</w:t>
      </w:r>
      <w:r w:rsidR="00526220">
        <w:rPr>
          <w:rFonts w:cs="Arial"/>
          <w:b/>
        </w:rPr>
        <w:t xml:space="preserve"> Rights  </w:t>
      </w:r>
      <w:r w:rsidR="00827FEB" w:rsidRPr="00827FEB">
        <w:rPr>
          <w:rFonts w:cs="Arial"/>
          <w:b/>
        </w:rPr>
        <w:t xml:space="preserve"> </w:t>
      </w:r>
    </w:p>
    <w:p w14:paraId="561306DF" w14:textId="77777777" w:rsidR="00827FEB" w:rsidRPr="00827FEB" w:rsidRDefault="00827FEB" w:rsidP="00827FEB">
      <w:pPr>
        <w:spacing w:before="0" w:after="0"/>
        <w:rPr>
          <w:rFonts w:cs="Arial"/>
          <w:b/>
          <w:u w:val="single"/>
        </w:rPr>
      </w:pPr>
    </w:p>
    <w:p w14:paraId="32FB78EC" w14:textId="77777777" w:rsidR="00827FEB" w:rsidRPr="006E78A9" w:rsidRDefault="00A927FF" w:rsidP="00827FEB">
      <w:pPr>
        <w:pStyle w:val="ListParagraph"/>
        <w:numPr>
          <w:ilvl w:val="0"/>
          <w:numId w:val="33"/>
        </w:numPr>
        <w:spacing w:before="0" w:after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Application of </w:t>
      </w:r>
      <w:r w:rsidR="00E77A7E">
        <w:rPr>
          <w:rFonts w:cs="Arial"/>
          <w:b/>
          <w:u w:val="single"/>
        </w:rPr>
        <w:t xml:space="preserve">international </w:t>
      </w:r>
      <w:r w:rsidR="00021EF5">
        <w:rPr>
          <w:rFonts w:cs="Arial"/>
          <w:b/>
          <w:u w:val="single"/>
        </w:rPr>
        <w:t xml:space="preserve">human </w:t>
      </w:r>
      <w:r w:rsidR="00E77A7E">
        <w:rPr>
          <w:rFonts w:cs="Arial"/>
          <w:b/>
          <w:u w:val="single"/>
        </w:rPr>
        <w:t>r</w:t>
      </w:r>
      <w:r w:rsidR="00827FEB" w:rsidRPr="006E78A9">
        <w:rPr>
          <w:rFonts w:cs="Arial"/>
          <w:b/>
          <w:u w:val="single"/>
        </w:rPr>
        <w:t xml:space="preserve">ights </w:t>
      </w:r>
    </w:p>
    <w:p w14:paraId="745ABC64" w14:textId="77777777" w:rsidR="00827FEB" w:rsidRPr="006E78A9" w:rsidRDefault="00827FEB" w:rsidP="00827FEB">
      <w:pPr>
        <w:pStyle w:val="ListParagraph"/>
        <w:spacing w:before="0" w:after="0"/>
        <w:rPr>
          <w:rFonts w:cs="Arial"/>
          <w:u w:val="single"/>
        </w:rPr>
      </w:pPr>
    </w:p>
    <w:p w14:paraId="57FA2D2E" w14:textId="77777777" w:rsidR="008C192B" w:rsidRDefault="00827FEB" w:rsidP="008C192B">
      <w:pPr>
        <w:spacing w:before="0" w:after="0"/>
        <w:ind w:left="360"/>
        <w:rPr>
          <w:rFonts w:cs="Arial"/>
        </w:rPr>
      </w:pPr>
      <w:r w:rsidRPr="006E78A9">
        <w:rPr>
          <w:rFonts w:cs="Arial"/>
        </w:rPr>
        <w:t>The foun</w:t>
      </w:r>
      <w:r w:rsidR="008C192B">
        <w:rPr>
          <w:rFonts w:cs="Arial"/>
        </w:rPr>
        <w:t xml:space="preserve">dational rights </w:t>
      </w:r>
      <w:r w:rsidR="00DA63A5" w:rsidRPr="008C192B">
        <w:rPr>
          <w:rFonts w:cs="Arial"/>
        </w:rPr>
        <w:t>which are applied by the Network in its deliberations and decision making are</w:t>
      </w:r>
      <w:r w:rsidR="008C192B">
        <w:rPr>
          <w:rFonts w:cs="Arial"/>
        </w:rPr>
        <w:t xml:space="preserve"> outlined in:</w:t>
      </w:r>
    </w:p>
    <w:p w14:paraId="33A42A6F" w14:textId="77777777" w:rsidR="001E1867" w:rsidRDefault="001E1867" w:rsidP="008C192B">
      <w:pPr>
        <w:spacing w:before="0" w:after="0"/>
        <w:ind w:left="360"/>
        <w:rPr>
          <w:rFonts w:cs="Arial"/>
          <w:i/>
        </w:rPr>
      </w:pPr>
    </w:p>
    <w:p w14:paraId="3BFCAD4E" w14:textId="77777777" w:rsidR="006660B2" w:rsidRPr="00E77A7E" w:rsidRDefault="008C192B" w:rsidP="008C192B">
      <w:pPr>
        <w:pStyle w:val="ListParagraph"/>
        <w:numPr>
          <w:ilvl w:val="0"/>
          <w:numId w:val="44"/>
        </w:numPr>
        <w:spacing w:before="0" w:after="0"/>
        <w:rPr>
          <w:rFonts w:cs="Arial"/>
        </w:rPr>
      </w:pPr>
      <w:r w:rsidRPr="00E77A7E">
        <w:rPr>
          <w:rFonts w:cs="Arial"/>
        </w:rPr>
        <w:t>The</w:t>
      </w:r>
      <w:r w:rsidRPr="00E77A7E">
        <w:rPr>
          <w:rFonts w:cs="Arial"/>
          <w:i/>
        </w:rPr>
        <w:t xml:space="preserve"> </w:t>
      </w:r>
      <w:r w:rsidR="00827FEB" w:rsidRPr="00E77A7E">
        <w:rPr>
          <w:rFonts w:cs="Arial"/>
          <w:i/>
        </w:rPr>
        <w:t>United Nations Right to Development</w:t>
      </w:r>
    </w:p>
    <w:p w14:paraId="67916007" w14:textId="77777777" w:rsidR="006660B2" w:rsidRDefault="006660B2" w:rsidP="00495DEE">
      <w:pPr>
        <w:spacing w:before="0" w:after="0"/>
        <w:ind w:left="360"/>
        <w:rPr>
          <w:rFonts w:cs="Arial"/>
        </w:rPr>
      </w:pPr>
    </w:p>
    <w:p w14:paraId="4F1DCC73" w14:textId="77777777" w:rsidR="00827FEB" w:rsidRPr="008C192B" w:rsidRDefault="00E764F6" w:rsidP="008C192B">
      <w:pPr>
        <w:pStyle w:val="ListParagraph"/>
        <w:numPr>
          <w:ilvl w:val="0"/>
          <w:numId w:val="44"/>
        </w:numPr>
        <w:spacing w:before="0" w:after="0"/>
        <w:rPr>
          <w:rFonts w:cs="Arial"/>
        </w:rPr>
      </w:pPr>
      <w:r>
        <w:rPr>
          <w:rFonts w:cs="Arial"/>
        </w:rPr>
        <w:t xml:space="preserve">The </w:t>
      </w:r>
      <w:r w:rsidR="00827FEB" w:rsidRPr="008C192B">
        <w:rPr>
          <w:rFonts w:cs="Arial"/>
          <w:i/>
        </w:rPr>
        <w:t>United Nations Declaration on th</w:t>
      </w:r>
      <w:r w:rsidR="00021EF5">
        <w:rPr>
          <w:rFonts w:cs="Arial"/>
          <w:i/>
        </w:rPr>
        <w:t>e Rights of Indigenous P</w:t>
      </w:r>
      <w:r w:rsidR="008C192B">
        <w:rPr>
          <w:rFonts w:cs="Arial"/>
          <w:i/>
        </w:rPr>
        <w:t xml:space="preserve">eoples, </w:t>
      </w:r>
      <w:r w:rsidR="008C192B">
        <w:rPr>
          <w:rFonts w:cs="Arial"/>
        </w:rPr>
        <w:t>i</w:t>
      </w:r>
      <w:r w:rsidR="00DA63A5">
        <w:rPr>
          <w:rFonts w:cs="Arial"/>
        </w:rPr>
        <w:t>n particular:</w:t>
      </w:r>
    </w:p>
    <w:p w14:paraId="453944CC" w14:textId="77777777" w:rsidR="00827FEB" w:rsidRPr="006E78A9" w:rsidRDefault="00827FEB" w:rsidP="00827FEB">
      <w:pPr>
        <w:pStyle w:val="ListParagraph"/>
        <w:numPr>
          <w:ilvl w:val="0"/>
          <w:numId w:val="34"/>
        </w:numPr>
        <w:spacing w:before="0" w:after="0"/>
        <w:rPr>
          <w:rFonts w:cs="Arial"/>
        </w:rPr>
      </w:pPr>
      <w:r w:rsidRPr="006E78A9">
        <w:rPr>
          <w:rFonts w:cs="Arial"/>
        </w:rPr>
        <w:t>self-determination</w:t>
      </w:r>
      <w:r w:rsidRPr="006E78A9">
        <w:rPr>
          <w:rStyle w:val="EndnoteReference"/>
          <w:rFonts w:cs="Arial"/>
          <w:sz w:val="24"/>
        </w:rPr>
        <w:endnoteReference w:id="1"/>
      </w:r>
      <w:r w:rsidRPr="006E78A9">
        <w:rPr>
          <w:rFonts w:cs="Arial"/>
        </w:rPr>
        <w:t xml:space="preserve"> </w:t>
      </w:r>
    </w:p>
    <w:p w14:paraId="41112AF7" w14:textId="77777777" w:rsidR="00827FEB" w:rsidRPr="00DF3025" w:rsidRDefault="00827FEB" w:rsidP="00827FEB">
      <w:pPr>
        <w:pStyle w:val="ListParagraph"/>
        <w:numPr>
          <w:ilvl w:val="0"/>
          <w:numId w:val="34"/>
        </w:numPr>
        <w:spacing w:before="0" w:after="0"/>
        <w:rPr>
          <w:rFonts w:cs="Arial"/>
        </w:rPr>
      </w:pPr>
      <w:r w:rsidRPr="006E78A9">
        <w:rPr>
          <w:rFonts w:cs="Arial"/>
        </w:rPr>
        <w:t>participation in decision-making, free, prior and informed consent, and good faith</w:t>
      </w:r>
      <w:r w:rsidRPr="006E78A9">
        <w:rPr>
          <w:rStyle w:val="EndnoteReference"/>
          <w:rFonts w:cs="Arial"/>
          <w:sz w:val="24"/>
        </w:rPr>
        <w:endnoteReference w:id="2"/>
      </w:r>
    </w:p>
    <w:p w14:paraId="4AAA0BF0" w14:textId="77777777" w:rsidR="00827FEB" w:rsidRPr="006E78A9" w:rsidRDefault="00827FEB" w:rsidP="00827FEB">
      <w:pPr>
        <w:pStyle w:val="ListParagraph"/>
        <w:numPr>
          <w:ilvl w:val="0"/>
          <w:numId w:val="34"/>
        </w:numPr>
        <w:spacing w:before="0" w:after="0"/>
        <w:rPr>
          <w:rFonts w:cs="Arial"/>
          <w:lang w:eastAsia="en-GB"/>
        </w:rPr>
      </w:pPr>
      <w:r w:rsidRPr="006E78A9">
        <w:rPr>
          <w:rFonts w:cs="Arial"/>
        </w:rPr>
        <w:t>respect for and protection of culture</w:t>
      </w:r>
      <w:r w:rsidRPr="006E78A9">
        <w:rPr>
          <w:rStyle w:val="EndnoteReference"/>
          <w:rFonts w:cs="Arial"/>
          <w:sz w:val="24"/>
        </w:rPr>
        <w:endnoteReference w:id="3"/>
      </w:r>
    </w:p>
    <w:p w14:paraId="7898D797" w14:textId="77777777" w:rsidR="00827FEB" w:rsidRDefault="00827FEB" w:rsidP="00827FEB">
      <w:pPr>
        <w:pStyle w:val="ListParagraph"/>
        <w:numPr>
          <w:ilvl w:val="0"/>
          <w:numId w:val="34"/>
        </w:numPr>
        <w:spacing w:before="0" w:after="0"/>
        <w:rPr>
          <w:rFonts w:cs="Arial"/>
          <w:lang w:eastAsia="en-GB"/>
        </w:rPr>
      </w:pPr>
      <w:r w:rsidRPr="006E78A9">
        <w:rPr>
          <w:rFonts w:cs="Arial"/>
        </w:rPr>
        <w:t>equality and non-discrimination.</w:t>
      </w:r>
      <w:r w:rsidRPr="006E78A9">
        <w:rPr>
          <w:rStyle w:val="EndnoteReference"/>
          <w:rFonts w:cs="Arial"/>
          <w:sz w:val="24"/>
        </w:rPr>
        <w:endnoteReference w:id="4"/>
      </w:r>
    </w:p>
    <w:p w14:paraId="1A93C128" w14:textId="77777777" w:rsidR="00827FEB" w:rsidRDefault="00827FEB" w:rsidP="00827FEB">
      <w:pPr>
        <w:pStyle w:val="ListParagraph"/>
        <w:spacing w:before="0" w:after="0"/>
        <w:rPr>
          <w:rFonts w:cs="Arial"/>
          <w:b/>
          <w:u w:val="single"/>
        </w:rPr>
      </w:pPr>
    </w:p>
    <w:p w14:paraId="3165D467" w14:textId="77777777" w:rsidR="00AE1C0A" w:rsidRDefault="00AE1C0A" w:rsidP="00827FEB">
      <w:pPr>
        <w:pStyle w:val="ListParagraph"/>
        <w:spacing w:before="0" w:after="0"/>
        <w:rPr>
          <w:rFonts w:cs="Arial"/>
          <w:b/>
          <w:u w:val="single"/>
        </w:rPr>
      </w:pPr>
    </w:p>
    <w:p w14:paraId="2A924817" w14:textId="77777777" w:rsidR="00827FEB" w:rsidRPr="00827FEB" w:rsidRDefault="00827FEB" w:rsidP="00827FEB">
      <w:pPr>
        <w:pStyle w:val="ListParagraph"/>
        <w:spacing w:before="0" w:after="0"/>
        <w:ind w:left="0"/>
        <w:rPr>
          <w:rFonts w:cs="Arial"/>
          <w:b/>
        </w:rPr>
      </w:pPr>
      <w:r w:rsidRPr="00827FEB">
        <w:rPr>
          <w:rFonts w:cs="Arial"/>
          <w:b/>
        </w:rPr>
        <w:t>Process</w:t>
      </w:r>
    </w:p>
    <w:p w14:paraId="48E45792" w14:textId="77777777" w:rsidR="00827FEB" w:rsidRDefault="00827FEB" w:rsidP="00827FEB">
      <w:pPr>
        <w:pStyle w:val="ListParagraph"/>
        <w:spacing w:before="0" w:after="0"/>
        <w:rPr>
          <w:rFonts w:cs="Arial"/>
          <w:b/>
          <w:u w:val="single"/>
        </w:rPr>
      </w:pPr>
    </w:p>
    <w:p w14:paraId="7B00653C" w14:textId="77777777" w:rsidR="0098586C" w:rsidRDefault="0098586C" w:rsidP="006E78A9">
      <w:pPr>
        <w:pStyle w:val="ListParagraph"/>
        <w:numPr>
          <w:ilvl w:val="0"/>
          <w:numId w:val="33"/>
        </w:numPr>
        <w:spacing w:before="0" w:after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Indigenous led</w:t>
      </w:r>
    </w:p>
    <w:p w14:paraId="5938AFE6" w14:textId="77777777" w:rsidR="0098586C" w:rsidRDefault="0098586C" w:rsidP="0098586C">
      <w:pPr>
        <w:spacing w:before="0" w:after="0"/>
      </w:pPr>
    </w:p>
    <w:p w14:paraId="6EC0E331" w14:textId="77777777" w:rsidR="00A927FF" w:rsidRDefault="00A927FF" w:rsidP="003138F4">
      <w:pPr>
        <w:spacing w:before="0" w:after="0"/>
        <w:ind w:left="360"/>
      </w:pPr>
      <w:r>
        <w:t>The Indigenous Strategy Group has been established to guide the Network.</w:t>
      </w:r>
    </w:p>
    <w:p w14:paraId="78D8CA6E" w14:textId="77777777" w:rsidR="0098586C" w:rsidRDefault="0098586C" w:rsidP="0098586C">
      <w:pPr>
        <w:spacing w:before="0" w:after="0"/>
        <w:ind w:left="360"/>
      </w:pPr>
    </w:p>
    <w:p w14:paraId="2FDAD313" w14:textId="77777777" w:rsidR="0098586C" w:rsidRDefault="0098586C" w:rsidP="0098586C">
      <w:pPr>
        <w:spacing w:before="0" w:after="0"/>
        <w:ind w:left="360"/>
      </w:pPr>
      <w:r>
        <w:t xml:space="preserve">Decisions </w:t>
      </w:r>
      <w:r w:rsidR="008C6C15">
        <w:t xml:space="preserve">by the </w:t>
      </w:r>
      <w:r w:rsidR="000138DA">
        <w:t xml:space="preserve">Indigenous Strategy Group and the </w:t>
      </w:r>
      <w:r w:rsidR="008C6C15">
        <w:t xml:space="preserve">Network </w:t>
      </w:r>
      <w:r>
        <w:t>are made by consensus</w:t>
      </w:r>
      <w:r w:rsidR="008C6C15">
        <w:t xml:space="preserve">. </w:t>
      </w:r>
      <w:r>
        <w:t xml:space="preserve"> </w:t>
      </w:r>
    </w:p>
    <w:p w14:paraId="5155A5E7" w14:textId="77777777" w:rsidR="00827FEB" w:rsidRPr="00827FEB" w:rsidRDefault="00827FEB" w:rsidP="00495DEE">
      <w:pPr>
        <w:spacing w:before="0" w:after="0"/>
        <w:rPr>
          <w:rFonts w:cs="Arial"/>
          <w:lang w:eastAsia="en-GB"/>
        </w:rPr>
      </w:pPr>
    </w:p>
    <w:p w14:paraId="5DCA6E73" w14:textId="77777777" w:rsidR="00827FEB" w:rsidRPr="006E78A9" w:rsidRDefault="00827FEB" w:rsidP="00827FEB">
      <w:pPr>
        <w:pStyle w:val="ListParagraph"/>
        <w:numPr>
          <w:ilvl w:val="0"/>
          <w:numId w:val="33"/>
        </w:numPr>
        <w:spacing w:before="0" w:after="0"/>
        <w:rPr>
          <w:rFonts w:cs="Arial"/>
          <w:u w:val="single"/>
        </w:rPr>
      </w:pPr>
      <w:r w:rsidRPr="006E78A9">
        <w:rPr>
          <w:rFonts w:cs="Arial"/>
          <w:b/>
          <w:u w:val="single"/>
        </w:rPr>
        <w:t>Inclusive</w:t>
      </w:r>
      <w:r w:rsidR="00504286">
        <w:rPr>
          <w:rFonts w:cs="Arial"/>
          <w:b/>
          <w:u w:val="single"/>
        </w:rPr>
        <w:t xml:space="preserve"> p</w:t>
      </w:r>
      <w:r>
        <w:rPr>
          <w:rFonts w:cs="Arial"/>
          <w:b/>
          <w:u w:val="single"/>
        </w:rPr>
        <w:t>rocess</w:t>
      </w:r>
    </w:p>
    <w:p w14:paraId="39FC2252" w14:textId="77777777" w:rsidR="00827FEB" w:rsidRPr="006E78A9" w:rsidRDefault="00827FEB" w:rsidP="00255E65">
      <w:pPr>
        <w:spacing w:before="0" w:after="0"/>
        <w:rPr>
          <w:rFonts w:cs="Arial"/>
        </w:rPr>
      </w:pPr>
    </w:p>
    <w:p w14:paraId="18BD76E3" w14:textId="77777777" w:rsidR="00A22FF1" w:rsidRDefault="00827FEB" w:rsidP="00495DEE">
      <w:pPr>
        <w:spacing w:before="0" w:after="0"/>
        <w:ind w:left="360"/>
        <w:rPr>
          <w:rFonts w:cs="Arial"/>
        </w:rPr>
      </w:pPr>
      <w:r>
        <w:rPr>
          <w:rFonts w:cs="Arial"/>
        </w:rPr>
        <w:t>The Network</w:t>
      </w:r>
      <w:r w:rsidRPr="006E78A9">
        <w:rPr>
          <w:rFonts w:cs="Arial"/>
        </w:rPr>
        <w:t xml:space="preserve"> </w:t>
      </w:r>
      <w:r w:rsidR="00A22FF1">
        <w:rPr>
          <w:rFonts w:cs="Arial"/>
        </w:rPr>
        <w:t xml:space="preserve">is open to all </w:t>
      </w:r>
      <w:r w:rsidR="00A22FF1" w:rsidRPr="006E78A9">
        <w:rPr>
          <w:rFonts w:cs="Arial"/>
        </w:rPr>
        <w:t>Aboriginal and</w:t>
      </w:r>
      <w:r w:rsidR="005B76A2">
        <w:rPr>
          <w:rFonts w:cs="Arial"/>
        </w:rPr>
        <w:t xml:space="preserve"> Torres Strait Islander P</w:t>
      </w:r>
      <w:r w:rsidR="00A22FF1">
        <w:rPr>
          <w:rFonts w:cs="Arial"/>
        </w:rPr>
        <w:t xml:space="preserve">eoples. </w:t>
      </w:r>
    </w:p>
    <w:p w14:paraId="3786A6CD" w14:textId="77777777" w:rsidR="00255E65" w:rsidRDefault="00255E65" w:rsidP="00495DEE">
      <w:pPr>
        <w:spacing w:before="0" w:after="0"/>
        <w:ind w:left="360"/>
        <w:rPr>
          <w:rFonts w:cs="Arial"/>
        </w:rPr>
      </w:pPr>
    </w:p>
    <w:p w14:paraId="43B9D320" w14:textId="77777777" w:rsidR="00827FEB" w:rsidRDefault="00255E65" w:rsidP="00C72366">
      <w:pPr>
        <w:spacing w:before="0" w:after="0"/>
        <w:ind w:left="360"/>
        <w:rPr>
          <w:rFonts w:cs="Arial"/>
        </w:rPr>
      </w:pPr>
      <w:r w:rsidRPr="00CE6C58">
        <w:rPr>
          <w:rFonts w:cs="Arial"/>
        </w:rPr>
        <w:t xml:space="preserve">The Network will engage and build relationships with government, stakeholders and each other </w:t>
      </w:r>
      <w:r w:rsidR="00827FEB" w:rsidRPr="00CE6C58">
        <w:rPr>
          <w:rFonts w:cs="Arial"/>
        </w:rPr>
        <w:t>in ways that are:</w:t>
      </w:r>
    </w:p>
    <w:p w14:paraId="4AE5457F" w14:textId="77777777" w:rsidR="00A22FF1" w:rsidRPr="006E78A9" w:rsidRDefault="00A22FF1" w:rsidP="00495DEE">
      <w:pPr>
        <w:spacing w:before="0" w:after="0"/>
        <w:ind w:left="360"/>
        <w:rPr>
          <w:rFonts w:cs="Arial"/>
        </w:rPr>
      </w:pPr>
    </w:p>
    <w:p w14:paraId="510EDDFA" w14:textId="77777777" w:rsidR="00A27E3A" w:rsidRDefault="00E764F6" w:rsidP="00D6626D">
      <w:pPr>
        <w:pStyle w:val="ListParagraph"/>
        <w:numPr>
          <w:ilvl w:val="0"/>
          <w:numId w:val="44"/>
        </w:numPr>
        <w:spacing w:before="0" w:after="0"/>
        <w:rPr>
          <w:rFonts w:cs="Arial"/>
        </w:rPr>
      </w:pPr>
      <w:r>
        <w:rPr>
          <w:rFonts w:cs="Arial"/>
        </w:rPr>
        <w:t>b</w:t>
      </w:r>
      <w:r w:rsidR="00CE6C58">
        <w:rPr>
          <w:rFonts w:cs="Arial"/>
        </w:rPr>
        <w:t>ased on good faith, equality and non-discrimination</w:t>
      </w:r>
    </w:p>
    <w:p w14:paraId="755B377A" w14:textId="77777777" w:rsidR="00A27E3A" w:rsidRPr="00A27E3A" w:rsidRDefault="00107675" w:rsidP="00D6626D">
      <w:pPr>
        <w:pStyle w:val="ListParagraph"/>
        <w:numPr>
          <w:ilvl w:val="0"/>
          <w:numId w:val="44"/>
        </w:numPr>
        <w:spacing w:before="0" w:after="0"/>
        <w:rPr>
          <w:rFonts w:cs="Arial"/>
        </w:rPr>
      </w:pPr>
      <w:hyperlink r:id="rId8" w:tooltip="Collaboration" w:history="1">
        <w:r w:rsidR="00E764F6">
          <w:rPr>
            <w:rFonts w:cs="Arial"/>
            <w:bCs/>
          </w:rPr>
          <w:t>c</w:t>
        </w:r>
        <w:r w:rsidR="00827FEB" w:rsidRPr="00E764F6">
          <w:rPr>
            <w:rFonts w:cs="Arial"/>
            <w:bCs/>
          </w:rPr>
          <w:t>ollaborative</w:t>
        </w:r>
      </w:hyperlink>
    </w:p>
    <w:p w14:paraId="57C08F11" w14:textId="476C3D61" w:rsidR="00827FEB" w:rsidRPr="00E764F6" w:rsidRDefault="00107675" w:rsidP="00D6626D">
      <w:pPr>
        <w:pStyle w:val="ListParagraph"/>
        <w:numPr>
          <w:ilvl w:val="0"/>
          <w:numId w:val="44"/>
        </w:numPr>
        <w:spacing w:before="0" w:after="0"/>
        <w:rPr>
          <w:rFonts w:cs="Arial"/>
        </w:rPr>
      </w:pPr>
      <w:hyperlink r:id="rId9" w:tooltip="Cooperation" w:history="1">
        <w:r w:rsidR="00E764F6" w:rsidRPr="00E764F6">
          <w:rPr>
            <w:rFonts w:cs="Arial"/>
            <w:bCs/>
          </w:rPr>
          <w:t>c</w:t>
        </w:r>
        <w:r w:rsidR="00827FEB" w:rsidRPr="00E764F6">
          <w:rPr>
            <w:rFonts w:cs="Arial"/>
            <w:bCs/>
          </w:rPr>
          <w:t>ooperative</w:t>
        </w:r>
      </w:hyperlink>
    </w:p>
    <w:p w14:paraId="1E7B8809" w14:textId="77777777" w:rsidR="00A27E3A" w:rsidRPr="00A27E3A" w:rsidRDefault="00107675" w:rsidP="00D6626D">
      <w:pPr>
        <w:pStyle w:val="ListParagraph"/>
        <w:numPr>
          <w:ilvl w:val="0"/>
          <w:numId w:val="44"/>
        </w:numPr>
        <w:spacing w:before="0" w:after="0"/>
        <w:rPr>
          <w:rFonts w:cs="Arial"/>
        </w:rPr>
      </w:pPr>
      <w:hyperlink r:id="rId10" w:tooltip="Inclusion (value and practice)" w:history="1">
        <w:r w:rsidR="00E764F6" w:rsidRPr="00753820">
          <w:rPr>
            <w:rFonts w:cs="Arial"/>
            <w:bCs/>
          </w:rPr>
          <w:t>i</w:t>
        </w:r>
        <w:r w:rsidR="00827FEB" w:rsidRPr="00753820">
          <w:rPr>
            <w:rFonts w:cs="Arial"/>
            <w:bCs/>
          </w:rPr>
          <w:t>nclusive</w:t>
        </w:r>
      </w:hyperlink>
    </w:p>
    <w:p w14:paraId="21A16181" w14:textId="041E73ED" w:rsidR="00827FEB" w:rsidRPr="00753820" w:rsidRDefault="00753820" w:rsidP="00D6626D">
      <w:pPr>
        <w:pStyle w:val="ListParagraph"/>
        <w:numPr>
          <w:ilvl w:val="0"/>
          <w:numId w:val="44"/>
        </w:numPr>
        <w:spacing w:before="0" w:after="0"/>
        <w:rPr>
          <w:rFonts w:cs="Arial"/>
        </w:rPr>
      </w:pPr>
      <w:hyperlink r:id="rId11" w:tooltip="Participation (decision making)" w:history="1">
        <w:r w:rsidRPr="00753820">
          <w:rPr>
            <w:rFonts w:cs="Arial"/>
            <w:bCs/>
          </w:rPr>
          <w:t>p</w:t>
        </w:r>
      </w:hyperlink>
      <w:r w:rsidRPr="00753820">
        <w:rPr>
          <w:rFonts w:cs="Arial"/>
        </w:rPr>
        <w:t>articipatory</w:t>
      </w:r>
      <w:r>
        <w:rPr>
          <w:rFonts w:cs="Arial"/>
        </w:rPr>
        <w:t>.</w:t>
      </w:r>
    </w:p>
    <w:p w14:paraId="47265A52" w14:textId="77777777" w:rsidR="00827FEB" w:rsidRPr="006E78A9" w:rsidRDefault="00827FEB" w:rsidP="00827FEB">
      <w:pPr>
        <w:spacing w:before="0" w:after="0"/>
        <w:ind w:left="851"/>
        <w:rPr>
          <w:rFonts w:cs="Arial"/>
        </w:rPr>
      </w:pPr>
    </w:p>
    <w:p w14:paraId="2563C811" w14:textId="77777777" w:rsidR="003A633D" w:rsidRPr="007464F7" w:rsidRDefault="008A1820" w:rsidP="003A633D">
      <w:pPr>
        <w:pStyle w:val="ListParagraph"/>
        <w:numPr>
          <w:ilvl w:val="0"/>
          <w:numId w:val="33"/>
        </w:numPr>
        <w:spacing w:before="0" w:after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Experience, </w:t>
      </w:r>
      <w:r w:rsidR="003E2D71">
        <w:rPr>
          <w:rFonts w:cs="Arial"/>
          <w:b/>
          <w:u w:val="single"/>
        </w:rPr>
        <w:t>a</w:t>
      </w:r>
      <w:r w:rsidR="00600E1B">
        <w:rPr>
          <w:rFonts w:cs="Arial"/>
          <w:b/>
          <w:u w:val="single"/>
        </w:rPr>
        <w:t xml:space="preserve">dvice, </w:t>
      </w:r>
      <w:r w:rsidR="003E2D71">
        <w:rPr>
          <w:rFonts w:cs="Arial"/>
          <w:b/>
          <w:u w:val="single"/>
        </w:rPr>
        <w:t>r</w:t>
      </w:r>
      <w:r w:rsidR="003A633D">
        <w:rPr>
          <w:rFonts w:cs="Arial"/>
          <w:b/>
          <w:u w:val="single"/>
        </w:rPr>
        <w:t>esearch</w:t>
      </w:r>
      <w:r w:rsidR="003E2D71">
        <w:rPr>
          <w:rFonts w:cs="Arial"/>
          <w:b/>
          <w:u w:val="single"/>
        </w:rPr>
        <w:t xml:space="preserve"> and e</w:t>
      </w:r>
      <w:r w:rsidR="00600E1B">
        <w:rPr>
          <w:rFonts w:cs="Arial"/>
          <w:b/>
          <w:u w:val="single"/>
        </w:rPr>
        <w:t xml:space="preserve">vidence </w:t>
      </w:r>
    </w:p>
    <w:p w14:paraId="7FFF0A91" w14:textId="77777777" w:rsidR="003A633D" w:rsidRDefault="003A633D" w:rsidP="003A633D">
      <w:pPr>
        <w:spacing w:before="0" w:after="0"/>
        <w:ind w:left="720"/>
        <w:rPr>
          <w:rFonts w:cs="Arial"/>
        </w:rPr>
      </w:pPr>
    </w:p>
    <w:p w14:paraId="76454712" w14:textId="77777777" w:rsidR="003A633D" w:rsidRPr="006E78A9" w:rsidRDefault="003A633D" w:rsidP="00495DEE">
      <w:pPr>
        <w:spacing w:before="0" w:after="0"/>
        <w:ind w:left="360"/>
        <w:rPr>
          <w:rFonts w:cs="Arial"/>
        </w:rPr>
      </w:pPr>
      <w:r w:rsidRPr="006E78A9">
        <w:rPr>
          <w:rFonts w:cs="Arial"/>
        </w:rPr>
        <w:t xml:space="preserve">The </w:t>
      </w:r>
      <w:r>
        <w:rPr>
          <w:rFonts w:cs="Arial"/>
        </w:rPr>
        <w:t>work of the Network will be grounded in the experience and advice of Aborigi</w:t>
      </w:r>
      <w:r w:rsidR="00E67F3A">
        <w:rPr>
          <w:rFonts w:cs="Arial"/>
        </w:rPr>
        <w:t>nal and Torres Strait Islander P</w:t>
      </w:r>
      <w:r>
        <w:rPr>
          <w:rFonts w:cs="Arial"/>
        </w:rPr>
        <w:t xml:space="preserve">eoples as well as current </w:t>
      </w:r>
      <w:r w:rsidRPr="006E78A9">
        <w:rPr>
          <w:rFonts w:cs="Arial"/>
        </w:rPr>
        <w:t>research</w:t>
      </w:r>
      <w:r w:rsidR="004A664A">
        <w:rPr>
          <w:rFonts w:cs="Arial"/>
        </w:rPr>
        <w:t xml:space="preserve"> and </w:t>
      </w:r>
      <w:r w:rsidR="008A1820">
        <w:rPr>
          <w:rFonts w:cs="Arial"/>
        </w:rPr>
        <w:t xml:space="preserve">information </w:t>
      </w:r>
      <w:r w:rsidRPr="006E78A9">
        <w:rPr>
          <w:rFonts w:cs="Arial"/>
        </w:rPr>
        <w:t>to ensure all decisions are made using the best available evidence</w:t>
      </w:r>
      <w:r>
        <w:rPr>
          <w:rFonts w:cs="Arial"/>
        </w:rPr>
        <w:t>.</w:t>
      </w:r>
    </w:p>
    <w:p w14:paraId="5AC47B0B" w14:textId="77777777" w:rsidR="003A633D" w:rsidRDefault="003A633D" w:rsidP="00827FEB">
      <w:pPr>
        <w:spacing w:before="0" w:after="0"/>
        <w:ind w:left="720"/>
        <w:rPr>
          <w:rFonts w:cs="Arial"/>
        </w:rPr>
      </w:pPr>
    </w:p>
    <w:p w14:paraId="50E0E068" w14:textId="77777777" w:rsidR="00EB6B15" w:rsidRPr="006E78A9" w:rsidRDefault="00EB6B15" w:rsidP="00827FEB">
      <w:pPr>
        <w:spacing w:before="0" w:after="0"/>
        <w:ind w:left="720"/>
        <w:rPr>
          <w:rFonts w:cs="Arial"/>
        </w:rPr>
      </w:pPr>
    </w:p>
    <w:p w14:paraId="3EB1386D" w14:textId="77777777" w:rsidR="00827FEB" w:rsidRPr="00827FEB" w:rsidRDefault="00827FEB" w:rsidP="00827FEB">
      <w:pPr>
        <w:pStyle w:val="ListParagraph"/>
        <w:spacing w:before="0" w:after="0"/>
        <w:ind w:left="0"/>
        <w:rPr>
          <w:rFonts w:cs="Arial"/>
          <w:b/>
          <w:lang w:eastAsia="en-GB"/>
        </w:rPr>
      </w:pPr>
      <w:r w:rsidRPr="00827FEB">
        <w:rPr>
          <w:rFonts w:cs="Arial"/>
          <w:b/>
          <w:lang w:eastAsia="en-GB"/>
        </w:rPr>
        <w:t>Outcomes</w:t>
      </w:r>
    </w:p>
    <w:p w14:paraId="2FCE88DD" w14:textId="77777777" w:rsidR="003B2541" w:rsidRPr="006E78A9" w:rsidRDefault="003B2541" w:rsidP="006E78A9">
      <w:pPr>
        <w:pStyle w:val="ListParagraph"/>
        <w:spacing w:before="0" w:after="0"/>
        <w:ind w:left="1440"/>
        <w:rPr>
          <w:rFonts w:cs="Arial"/>
          <w:u w:val="single"/>
          <w:lang w:eastAsia="en-GB"/>
        </w:rPr>
      </w:pPr>
    </w:p>
    <w:p w14:paraId="216542E8" w14:textId="77777777" w:rsidR="00CE70F6" w:rsidRPr="006E78A9" w:rsidRDefault="00CE70F6" w:rsidP="006E78A9">
      <w:pPr>
        <w:pStyle w:val="ListParagraph"/>
        <w:numPr>
          <w:ilvl w:val="0"/>
          <w:numId w:val="33"/>
        </w:numPr>
        <w:spacing w:before="0" w:after="0"/>
        <w:rPr>
          <w:rFonts w:cs="Arial"/>
          <w:b/>
          <w:u w:val="single"/>
        </w:rPr>
      </w:pPr>
      <w:r w:rsidRPr="006E78A9">
        <w:rPr>
          <w:rFonts w:cs="Arial"/>
          <w:b/>
          <w:u w:val="single"/>
        </w:rPr>
        <w:t>Self-Determination</w:t>
      </w:r>
    </w:p>
    <w:p w14:paraId="44C46FBC" w14:textId="77777777" w:rsidR="00CE70F6" w:rsidRPr="006E78A9" w:rsidRDefault="00CE70F6" w:rsidP="006E78A9">
      <w:pPr>
        <w:pStyle w:val="ListParagraph"/>
        <w:spacing w:before="0" w:after="0"/>
        <w:rPr>
          <w:rFonts w:cs="Arial"/>
        </w:rPr>
      </w:pPr>
    </w:p>
    <w:p w14:paraId="3EFF54A4" w14:textId="77777777" w:rsidR="004F107F" w:rsidRPr="006E78A9" w:rsidRDefault="00DC1931" w:rsidP="00495DEE">
      <w:pPr>
        <w:spacing w:before="0" w:after="0"/>
        <w:ind w:left="360"/>
        <w:rPr>
          <w:rFonts w:cs="Arial"/>
        </w:rPr>
      </w:pPr>
      <w:r w:rsidRPr="006E78A9">
        <w:rPr>
          <w:rFonts w:cs="Arial"/>
        </w:rPr>
        <w:t xml:space="preserve">Self-determination is </w:t>
      </w:r>
      <w:r w:rsidR="00CE70F6" w:rsidRPr="006E78A9">
        <w:rPr>
          <w:rFonts w:cs="Arial"/>
        </w:rPr>
        <w:t>the</w:t>
      </w:r>
      <w:r w:rsidRPr="006E78A9">
        <w:rPr>
          <w:rFonts w:cs="Arial"/>
        </w:rPr>
        <w:t xml:space="preserve"> fundamental right of Aboriginal and Torres Strai</w:t>
      </w:r>
      <w:r w:rsidR="00E67F3A">
        <w:rPr>
          <w:rFonts w:cs="Arial"/>
        </w:rPr>
        <w:t>t Islander P</w:t>
      </w:r>
      <w:r w:rsidRPr="006E78A9">
        <w:rPr>
          <w:rFonts w:cs="Arial"/>
        </w:rPr>
        <w:t>eople</w:t>
      </w:r>
      <w:r w:rsidR="00021EF5">
        <w:rPr>
          <w:rFonts w:cs="Arial"/>
        </w:rPr>
        <w:t>s</w:t>
      </w:r>
      <w:r w:rsidRPr="006E78A9">
        <w:rPr>
          <w:rFonts w:cs="Arial"/>
        </w:rPr>
        <w:t xml:space="preserve"> to shape our own lives and be the key decision-makers in our lives. </w:t>
      </w:r>
    </w:p>
    <w:p w14:paraId="645EED25" w14:textId="77777777" w:rsidR="00B61DE5" w:rsidRPr="006E78A9" w:rsidRDefault="00B61DE5" w:rsidP="006E78A9">
      <w:pPr>
        <w:pStyle w:val="ListParagraph"/>
        <w:spacing w:before="0" w:after="0"/>
        <w:rPr>
          <w:rFonts w:cs="Arial"/>
        </w:rPr>
      </w:pPr>
    </w:p>
    <w:p w14:paraId="28BC8EEB" w14:textId="77777777" w:rsidR="00B61DE5" w:rsidRPr="006E78A9" w:rsidRDefault="00B61DE5" w:rsidP="00495DEE">
      <w:pPr>
        <w:spacing w:before="0" w:after="0"/>
        <w:ind w:left="360"/>
        <w:rPr>
          <w:rFonts w:cs="Arial"/>
        </w:rPr>
      </w:pPr>
      <w:r w:rsidRPr="006E78A9">
        <w:rPr>
          <w:rFonts w:cs="Arial"/>
        </w:rPr>
        <w:t>A</w:t>
      </w:r>
      <w:r w:rsidR="00EF7B4A">
        <w:rPr>
          <w:rFonts w:cs="Arial"/>
        </w:rPr>
        <w:t xml:space="preserve">n essential </w:t>
      </w:r>
      <w:r w:rsidRPr="006E78A9">
        <w:rPr>
          <w:rFonts w:cs="Arial"/>
        </w:rPr>
        <w:t xml:space="preserve">expression of self-determination is the application of free, prior and informed consent to </w:t>
      </w:r>
      <w:r w:rsidR="00021EF5">
        <w:rPr>
          <w:rFonts w:cs="Arial"/>
        </w:rPr>
        <w:t xml:space="preserve">questions of </w:t>
      </w:r>
      <w:r w:rsidRPr="006E78A9">
        <w:rPr>
          <w:rFonts w:cs="Arial"/>
        </w:rPr>
        <w:t xml:space="preserve">development on Indigenous lands. </w:t>
      </w:r>
    </w:p>
    <w:p w14:paraId="64C3851E" w14:textId="77777777" w:rsidR="00B61DE5" w:rsidRPr="006E78A9" w:rsidRDefault="00B61DE5" w:rsidP="006E78A9">
      <w:pPr>
        <w:pStyle w:val="ListParagraph"/>
        <w:spacing w:before="0" w:after="0"/>
        <w:rPr>
          <w:rFonts w:cs="Arial"/>
        </w:rPr>
      </w:pPr>
    </w:p>
    <w:p w14:paraId="3BD6AF22" w14:textId="77777777" w:rsidR="00B61DE5" w:rsidRPr="006E78A9" w:rsidRDefault="00EF7B4A" w:rsidP="00495DEE">
      <w:pPr>
        <w:spacing w:before="0" w:after="0"/>
        <w:ind w:left="360"/>
        <w:rPr>
          <w:rFonts w:cs="Arial"/>
        </w:rPr>
      </w:pPr>
      <w:r>
        <w:rPr>
          <w:rFonts w:cs="Arial"/>
        </w:rPr>
        <w:t xml:space="preserve">This </w:t>
      </w:r>
      <w:r w:rsidR="00B61DE5" w:rsidRPr="006E78A9">
        <w:rPr>
          <w:rFonts w:cs="Arial"/>
        </w:rPr>
        <w:t>include</w:t>
      </w:r>
      <w:r>
        <w:rPr>
          <w:rFonts w:cs="Arial"/>
        </w:rPr>
        <w:t>s</w:t>
      </w:r>
      <w:r w:rsidR="00B61DE5" w:rsidRPr="006E78A9">
        <w:rPr>
          <w:rFonts w:cs="Arial"/>
        </w:rPr>
        <w:t xml:space="preserve"> the right to engage in, oppose and negotiate development on Indigenous lands. </w:t>
      </w:r>
    </w:p>
    <w:p w14:paraId="36098005" w14:textId="77777777" w:rsidR="004F107F" w:rsidRPr="006E78A9" w:rsidRDefault="004F107F" w:rsidP="006E78A9">
      <w:pPr>
        <w:pStyle w:val="ListParagraph"/>
        <w:spacing w:before="0" w:after="0"/>
        <w:rPr>
          <w:rFonts w:cs="Arial"/>
        </w:rPr>
      </w:pPr>
    </w:p>
    <w:p w14:paraId="25812366" w14:textId="77777777" w:rsidR="00DC1931" w:rsidRPr="006E78A9" w:rsidRDefault="004F107F" w:rsidP="00495DEE">
      <w:pPr>
        <w:spacing w:before="0" w:after="0"/>
        <w:ind w:left="360"/>
        <w:rPr>
          <w:rFonts w:cs="Arial"/>
        </w:rPr>
      </w:pPr>
      <w:r w:rsidRPr="006E78A9">
        <w:rPr>
          <w:rFonts w:cs="Arial"/>
        </w:rPr>
        <w:t>The Network will have regard to the interests of government an</w:t>
      </w:r>
      <w:r w:rsidR="00530157">
        <w:rPr>
          <w:rFonts w:cs="Arial"/>
        </w:rPr>
        <w:t>d industry stakeholders, but</w:t>
      </w:r>
      <w:r w:rsidRPr="006E78A9">
        <w:rPr>
          <w:rFonts w:cs="Arial"/>
        </w:rPr>
        <w:t xml:space="preserve"> the rights of Aboriginal a</w:t>
      </w:r>
      <w:r w:rsidR="00E67F3A">
        <w:rPr>
          <w:rFonts w:cs="Arial"/>
        </w:rPr>
        <w:t>nd Torres Strait Islander P</w:t>
      </w:r>
      <w:r w:rsidRPr="006E78A9">
        <w:rPr>
          <w:rFonts w:cs="Arial"/>
        </w:rPr>
        <w:t>eoples to be self-determining in regard to their interests in land will be paramount for the Network.</w:t>
      </w:r>
    </w:p>
    <w:p w14:paraId="6637C2E4" w14:textId="77777777" w:rsidR="00CE70F6" w:rsidRPr="006E78A9" w:rsidRDefault="00CE70F6" w:rsidP="006E78A9">
      <w:pPr>
        <w:pStyle w:val="ListParagraph"/>
        <w:spacing w:before="0" w:after="0"/>
        <w:rPr>
          <w:rFonts w:cs="Arial"/>
        </w:rPr>
      </w:pPr>
    </w:p>
    <w:p w14:paraId="043C7F92" w14:textId="77777777" w:rsidR="003B2541" w:rsidRPr="006E78A9" w:rsidRDefault="000A40D8" w:rsidP="006E78A9">
      <w:pPr>
        <w:pStyle w:val="ListParagraph"/>
        <w:numPr>
          <w:ilvl w:val="0"/>
          <w:numId w:val="33"/>
        </w:numPr>
        <w:spacing w:before="0" w:after="0"/>
        <w:rPr>
          <w:rFonts w:cs="Arial"/>
          <w:b/>
          <w:u w:val="single"/>
        </w:rPr>
      </w:pPr>
      <w:r w:rsidRPr="006E78A9">
        <w:rPr>
          <w:rFonts w:cs="Arial"/>
          <w:b/>
          <w:u w:val="single"/>
        </w:rPr>
        <w:t>Secure and Protect the Indigenous Estate</w:t>
      </w:r>
    </w:p>
    <w:p w14:paraId="1FF6B63E" w14:textId="77777777" w:rsidR="000A40D8" w:rsidRPr="006E78A9" w:rsidRDefault="000A40D8" w:rsidP="006E78A9">
      <w:pPr>
        <w:spacing w:before="0" w:after="0"/>
        <w:ind w:left="720"/>
        <w:rPr>
          <w:rFonts w:cs="Arial"/>
        </w:rPr>
      </w:pPr>
    </w:p>
    <w:p w14:paraId="56BA36D3" w14:textId="77777777" w:rsidR="002D2E2E" w:rsidRDefault="00E77580" w:rsidP="00495DEE">
      <w:pPr>
        <w:spacing w:before="0" w:after="0"/>
        <w:ind w:left="360"/>
        <w:rPr>
          <w:rFonts w:cs="Arial"/>
        </w:rPr>
      </w:pPr>
      <w:r w:rsidRPr="006E78A9">
        <w:rPr>
          <w:rFonts w:cs="Arial"/>
        </w:rPr>
        <w:t xml:space="preserve">Fundamental to the work of the </w:t>
      </w:r>
      <w:r w:rsidR="00827FEB">
        <w:rPr>
          <w:rFonts w:cs="Arial"/>
        </w:rPr>
        <w:t>Network</w:t>
      </w:r>
      <w:r w:rsidRPr="006E78A9">
        <w:rPr>
          <w:rFonts w:cs="Arial"/>
        </w:rPr>
        <w:t xml:space="preserve"> is the strengthening of the</w:t>
      </w:r>
      <w:r w:rsidR="002D2E2E" w:rsidRPr="006E78A9">
        <w:rPr>
          <w:rFonts w:cs="Arial"/>
        </w:rPr>
        <w:t xml:space="preserve"> inherent rights of </w:t>
      </w:r>
      <w:r w:rsidR="00CD51E9" w:rsidRPr="006E78A9">
        <w:rPr>
          <w:rFonts w:cs="Arial"/>
        </w:rPr>
        <w:t>Aborigi</w:t>
      </w:r>
      <w:r w:rsidR="008A1820">
        <w:rPr>
          <w:rFonts w:cs="Arial"/>
        </w:rPr>
        <w:t>nal and Torres Strait Islander P</w:t>
      </w:r>
      <w:r w:rsidR="00CD51E9" w:rsidRPr="006E78A9">
        <w:rPr>
          <w:rFonts w:cs="Arial"/>
        </w:rPr>
        <w:t xml:space="preserve">eoples </w:t>
      </w:r>
      <w:r w:rsidR="008A1820">
        <w:rPr>
          <w:rFonts w:cs="Arial"/>
        </w:rPr>
        <w:t>to their land and waters and</w:t>
      </w:r>
      <w:r w:rsidR="002D2E2E" w:rsidRPr="006E78A9">
        <w:rPr>
          <w:rFonts w:cs="Arial"/>
        </w:rPr>
        <w:t xml:space="preserve"> to exercise self-determination.</w:t>
      </w:r>
    </w:p>
    <w:p w14:paraId="40D60F60" w14:textId="77777777" w:rsidR="00471BC2" w:rsidRDefault="00471BC2" w:rsidP="00495DEE">
      <w:pPr>
        <w:spacing w:before="0" w:after="0"/>
        <w:ind w:left="360"/>
        <w:rPr>
          <w:rFonts w:cs="Arial"/>
        </w:rPr>
      </w:pPr>
    </w:p>
    <w:p w14:paraId="6F189DBB" w14:textId="77777777" w:rsidR="00471BC2" w:rsidRDefault="00471BC2" w:rsidP="00D2257A">
      <w:pPr>
        <w:spacing w:before="0" w:after="0"/>
        <w:ind w:left="360"/>
        <w:rPr>
          <w:rFonts w:cs="Arial"/>
        </w:rPr>
      </w:pPr>
      <w:r w:rsidRPr="00DB3CE4">
        <w:rPr>
          <w:rFonts w:cs="Arial"/>
        </w:rPr>
        <w:t xml:space="preserve">The Network recognises </w:t>
      </w:r>
      <w:r w:rsidR="00D2257A" w:rsidRPr="00DB3CE4">
        <w:rPr>
          <w:rFonts w:cs="Arial"/>
        </w:rPr>
        <w:t xml:space="preserve">native title as </w:t>
      </w:r>
      <w:r w:rsidR="00D624C0" w:rsidRPr="00DB3CE4">
        <w:rPr>
          <w:rFonts w:cs="Arial"/>
        </w:rPr>
        <w:t>a property right</w:t>
      </w:r>
      <w:r w:rsidR="00DB3CE4" w:rsidRPr="00DB3CE4">
        <w:rPr>
          <w:rFonts w:cs="Arial"/>
        </w:rPr>
        <w:t>.</w:t>
      </w:r>
    </w:p>
    <w:p w14:paraId="1E67F031" w14:textId="77777777" w:rsidR="002428EF" w:rsidRDefault="002428EF" w:rsidP="00495DEE">
      <w:pPr>
        <w:spacing w:before="0" w:after="0"/>
        <w:ind w:left="360"/>
        <w:rPr>
          <w:rFonts w:cs="Arial"/>
        </w:rPr>
      </w:pPr>
    </w:p>
    <w:p w14:paraId="147658F3" w14:textId="77777777" w:rsidR="006E78A9" w:rsidRPr="006E78A9" w:rsidRDefault="00CD51E9" w:rsidP="00495DEE">
      <w:pPr>
        <w:spacing w:before="0" w:after="0"/>
        <w:ind w:left="360"/>
        <w:rPr>
          <w:rFonts w:cs="Arial"/>
          <w:b/>
        </w:rPr>
      </w:pPr>
      <w:r w:rsidRPr="006E78A9">
        <w:rPr>
          <w:rFonts w:cs="Arial"/>
        </w:rPr>
        <w:t>In the course of its Indigenous Property Rights work, t</w:t>
      </w:r>
      <w:r w:rsidR="00E77580" w:rsidRPr="006E78A9">
        <w:rPr>
          <w:rFonts w:cs="Arial"/>
        </w:rPr>
        <w:t>he Network</w:t>
      </w:r>
      <w:r w:rsidR="000A40D8" w:rsidRPr="006E78A9">
        <w:rPr>
          <w:rFonts w:cs="Arial"/>
        </w:rPr>
        <w:t xml:space="preserve"> will not diminish</w:t>
      </w:r>
      <w:r w:rsidR="00945A1B" w:rsidRPr="006E78A9">
        <w:rPr>
          <w:rFonts w:cs="Arial"/>
        </w:rPr>
        <w:t>, jeopardise</w:t>
      </w:r>
      <w:r w:rsidR="00897462" w:rsidRPr="006E78A9">
        <w:rPr>
          <w:rFonts w:cs="Arial"/>
        </w:rPr>
        <w:t xml:space="preserve"> or limit</w:t>
      </w:r>
      <w:r w:rsidR="000A40D8" w:rsidRPr="006E78A9">
        <w:rPr>
          <w:rFonts w:cs="Arial"/>
        </w:rPr>
        <w:t xml:space="preserve"> in any way </w:t>
      </w:r>
      <w:r w:rsidR="006E78A9" w:rsidRPr="006E78A9">
        <w:rPr>
          <w:rFonts w:cs="Arial"/>
        </w:rPr>
        <w:t>the rights and interests of Aboriginal and Torres Strait I</w:t>
      </w:r>
      <w:r w:rsidR="008A1820">
        <w:rPr>
          <w:rFonts w:cs="Arial"/>
        </w:rPr>
        <w:t>slander landowners, holders of native t</w:t>
      </w:r>
      <w:r w:rsidR="006E78A9" w:rsidRPr="006E78A9">
        <w:rPr>
          <w:rFonts w:cs="Arial"/>
        </w:rPr>
        <w:t>itle and Traditional Owners.</w:t>
      </w:r>
    </w:p>
    <w:p w14:paraId="1B3F3141" w14:textId="77777777" w:rsidR="00285467" w:rsidRPr="006E78A9" w:rsidRDefault="00285467" w:rsidP="006E78A9">
      <w:pPr>
        <w:spacing w:before="0" w:after="0"/>
        <w:ind w:left="720"/>
        <w:rPr>
          <w:rFonts w:cs="Arial"/>
        </w:rPr>
      </w:pPr>
    </w:p>
    <w:p w14:paraId="62514F52" w14:textId="77777777" w:rsidR="003A633D" w:rsidRDefault="003A633D" w:rsidP="003A633D">
      <w:pPr>
        <w:pStyle w:val="ListParagraph"/>
        <w:spacing w:before="0" w:after="0"/>
        <w:ind w:left="360"/>
        <w:rPr>
          <w:rFonts w:cs="Arial"/>
          <w:b/>
          <w:u w:val="single"/>
        </w:rPr>
      </w:pPr>
    </w:p>
    <w:p w14:paraId="645CEC48" w14:textId="77777777" w:rsidR="00B442D7" w:rsidRPr="006E78A9" w:rsidRDefault="004A768C" w:rsidP="006E78A9">
      <w:pPr>
        <w:pStyle w:val="ListParagraph"/>
        <w:numPr>
          <w:ilvl w:val="0"/>
          <w:numId w:val="33"/>
        </w:numPr>
        <w:spacing w:before="0" w:after="0"/>
        <w:rPr>
          <w:rFonts w:cs="Arial"/>
          <w:b/>
          <w:u w:val="single"/>
        </w:rPr>
      </w:pPr>
      <w:r w:rsidRPr="006E78A9">
        <w:rPr>
          <w:rFonts w:cs="Arial"/>
          <w:b/>
          <w:u w:val="single"/>
        </w:rPr>
        <w:t>Right to make decisions</w:t>
      </w:r>
    </w:p>
    <w:p w14:paraId="5BE16AC9" w14:textId="77777777" w:rsidR="00A845F2" w:rsidRPr="006E78A9" w:rsidRDefault="00A845F2" w:rsidP="006E78A9">
      <w:pPr>
        <w:spacing w:before="0" w:after="0"/>
        <w:ind w:left="720"/>
        <w:rPr>
          <w:rFonts w:cs="Arial"/>
        </w:rPr>
      </w:pPr>
    </w:p>
    <w:p w14:paraId="71CA78AF" w14:textId="77777777" w:rsidR="00EF7B4A" w:rsidRDefault="00EF7B4A" w:rsidP="00EF7B4A">
      <w:pPr>
        <w:spacing w:before="0" w:after="0"/>
        <w:ind w:left="360"/>
        <w:rPr>
          <w:rFonts w:cs="Arial"/>
        </w:rPr>
      </w:pPr>
      <w:r w:rsidRPr="006E78A9">
        <w:rPr>
          <w:rFonts w:cs="Arial"/>
        </w:rPr>
        <w:t xml:space="preserve">The Network respects the right for Aboriginal and Torres Strait Islander Peoples to make their own decisions on matters that affect them. As such, </w:t>
      </w:r>
      <w:r w:rsidR="005577E1">
        <w:rPr>
          <w:rFonts w:cs="Arial"/>
        </w:rPr>
        <w:t xml:space="preserve">local decision-making about the Indigenous Estate, including questions of </w:t>
      </w:r>
      <w:r w:rsidR="005577E1" w:rsidRPr="006E78A9">
        <w:rPr>
          <w:rFonts w:cs="Arial"/>
        </w:rPr>
        <w:t>development</w:t>
      </w:r>
      <w:r w:rsidR="005577E1">
        <w:rPr>
          <w:rFonts w:cs="Arial"/>
        </w:rPr>
        <w:t>,</w:t>
      </w:r>
      <w:r w:rsidR="005577E1" w:rsidRPr="006E78A9">
        <w:rPr>
          <w:rFonts w:cs="Arial"/>
        </w:rPr>
        <w:t xml:space="preserve"> </w:t>
      </w:r>
      <w:r w:rsidR="001B19DA">
        <w:rPr>
          <w:rFonts w:cs="Arial"/>
        </w:rPr>
        <w:t>are a matter for each group</w:t>
      </w:r>
      <w:r w:rsidR="005B76A2">
        <w:rPr>
          <w:rFonts w:cs="Arial"/>
        </w:rPr>
        <w:t xml:space="preserve"> with rights and interests in the relevant land or water.</w:t>
      </w:r>
      <w:r w:rsidR="001B19DA">
        <w:rPr>
          <w:rFonts w:cs="Arial"/>
        </w:rPr>
        <w:t xml:space="preserve"> </w:t>
      </w:r>
    </w:p>
    <w:p w14:paraId="7F84BF57" w14:textId="77777777" w:rsidR="001B19DA" w:rsidRDefault="001B19DA" w:rsidP="00EF7B4A">
      <w:pPr>
        <w:spacing w:before="0" w:after="0"/>
        <w:ind w:left="360"/>
        <w:rPr>
          <w:rFonts w:cs="Arial"/>
        </w:rPr>
      </w:pPr>
    </w:p>
    <w:p w14:paraId="22AD70DB" w14:textId="33D892BE" w:rsidR="001B19DA" w:rsidRPr="00EF1D00" w:rsidRDefault="001B19DA" w:rsidP="00EF1D00">
      <w:pPr>
        <w:spacing w:before="0" w:after="0"/>
        <w:ind w:left="360"/>
        <w:rPr>
          <w:rFonts w:cs="Arial"/>
          <w:b/>
        </w:rPr>
      </w:pPr>
      <w:r w:rsidRPr="00CE6C58">
        <w:rPr>
          <w:rFonts w:cs="Arial"/>
        </w:rPr>
        <w:t xml:space="preserve">The </w:t>
      </w:r>
      <w:r w:rsidR="00107675">
        <w:rPr>
          <w:rFonts w:cs="Arial"/>
        </w:rPr>
        <w:t>N</w:t>
      </w:r>
      <w:r w:rsidRPr="00CE6C58">
        <w:rPr>
          <w:rFonts w:cs="Arial"/>
        </w:rPr>
        <w:t xml:space="preserve">etwork values the right of </w:t>
      </w:r>
      <w:r w:rsidR="00EF1D00" w:rsidRPr="00CE6C58">
        <w:rPr>
          <w:rFonts w:cs="Arial"/>
        </w:rPr>
        <w:t xml:space="preserve">Aboriginal and Torres Strait Islander landowners, holders of native title and Traditional Owners </w:t>
      </w:r>
      <w:r w:rsidRPr="00CE6C58">
        <w:rPr>
          <w:rFonts w:cs="Arial"/>
        </w:rPr>
        <w:t>to pursue, reject or negotiate</w:t>
      </w:r>
      <w:r>
        <w:rPr>
          <w:rFonts w:cs="Arial"/>
        </w:rPr>
        <w:t xml:space="preserve"> development. </w:t>
      </w:r>
    </w:p>
    <w:p w14:paraId="72CF4BF6" w14:textId="77777777" w:rsidR="001B19DA" w:rsidRDefault="001B19DA" w:rsidP="00EF7B4A">
      <w:pPr>
        <w:spacing w:before="0" w:after="0"/>
        <w:ind w:left="360"/>
        <w:rPr>
          <w:rFonts w:cs="Arial"/>
        </w:rPr>
      </w:pPr>
    </w:p>
    <w:p w14:paraId="15A2045F" w14:textId="77777777" w:rsidR="00B07A73" w:rsidRPr="006E78A9" w:rsidRDefault="00C458C9" w:rsidP="00495DEE">
      <w:pPr>
        <w:spacing w:before="0" w:after="0"/>
        <w:ind w:left="360"/>
        <w:rPr>
          <w:rFonts w:cs="Arial"/>
        </w:rPr>
      </w:pPr>
      <w:r w:rsidRPr="006E78A9">
        <w:rPr>
          <w:rFonts w:cs="Arial"/>
        </w:rPr>
        <w:t xml:space="preserve">The Network </w:t>
      </w:r>
      <w:r w:rsidR="005B76A2">
        <w:rPr>
          <w:rFonts w:cs="Arial"/>
        </w:rPr>
        <w:t xml:space="preserve">supports and advocates for application of the principle of free, prior and informed consent when decisions are made </w:t>
      </w:r>
      <w:r w:rsidR="00717724">
        <w:rPr>
          <w:rFonts w:cs="Arial"/>
        </w:rPr>
        <w:t xml:space="preserve">with respect to </w:t>
      </w:r>
      <w:r w:rsidR="00B07A73" w:rsidRPr="006E78A9">
        <w:rPr>
          <w:rFonts w:cs="Arial"/>
        </w:rPr>
        <w:t xml:space="preserve">development on the Indigenous Estate. </w:t>
      </w:r>
    </w:p>
    <w:p w14:paraId="038E687D" w14:textId="77777777" w:rsidR="006E78A9" w:rsidRPr="006E78A9" w:rsidRDefault="006E78A9" w:rsidP="006E78A9">
      <w:pPr>
        <w:spacing w:before="0" w:after="0"/>
        <w:ind w:left="720"/>
        <w:rPr>
          <w:rFonts w:cs="Arial"/>
        </w:rPr>
      </w:pPr>
    </w:p>
    <w:p w14:paraId="094B2AD3" w14:textId="77777777" w:rsidR="006E78A9" w:rsidRPr="006E78A9" w:rsidRDefault="006E78A9" w:rsidP="006E78A9">
      <w:pPr>
        <w:pStyle w:val="ListParagraph"/>
        <w:numPr>
          <w:ilvl w:val="0"/>
          <w:numId w:val="33"/>
        </w:numPr>
        <w:spacing w:before="0" w:after="0"/>
        <w:rPr>
          <w:rFonts w:cs="Arial"/>
          <w:b/>
          <w:u w:val="single"/>
        </w:rPr>
      </w:pPr>
      <w:r w:rsidRPr="006E78A9">
        <w:rPr>
          <w:rFonts w:cs="Arial"/>
          <w:b/>
          <w:u w:val="single"/>
        </w:rPr>
        <w:t>Respect for and protection of culture</w:t>
      </w:r>
    </w:p>
    <w:p w14:paraId="23B6A8F6" w14:textId="77777777" w:rsidR="006E78A9" w:rsidRDefault="006E78A9" w:rsidP="006E78A9">
      <w:pPr>
        <w:spacing w:before="0" w:after="0"/>
        <w:ind w:firstLine="720"/>
        <w:rPr>
          <w:rFonts w:cs="Arial"/>
        </w:rPr>
      </w:pPr>
    </w:p>
    <w:p w14:paraId="317CA3B5" w14:textId="77777777" w:rsidR="006E78A9" w:rsidRDefault="006E78A9" w:rsidP="00495DEE">
      <w:pPr>
        <w:spacing w:before="0" w:after="0"/>
        <w:ind w:left="360"/>
        <w:rPr>
          <w:rFonts w:cs="Arial"/>
        </w:rPr>
      </w:pPr>
      <w:r>
        <w:rPr>
          <w:rFonts w:cs="Arial"/>
        </w:rPr>
        <w:t>The Network</w:t>
      </w:r>
      <w:r w:rsidRPr="006E78A9">
        <w:rPr>
          <w:rFonts w:cs="Arial"/>
        </w:rPr>
        <w:t xml:space="preserve"> will</w:t>
      </w:r>
      <w:r w:rsidR="00107675">
        <w:rPr>
          <w:rFonts w:cs="Arial"/>
        </w:rPr>
        <w:t>:</w:t>
      </w:r>
      <w:r w:rsidRPr="006E78A9">
        <w:rPr>
          <w:rFonts w:cs="Arial"/>
        </w:rPr>
        <w:t xml:space="preserve"> </w:t>
      </w:r>
    </w:p>
    <w:p w14:paraId="15A13564" w14:textId="77777777" w:rsidR="00004F87" w:rsidRPr="006E78A9" w:rsidRDefault="00004F87" w:rsidP="00495DEE">
      <w:pPr>
        <w:spacing w:before="0" w:after="0"/>
        <w:ind w:left="360"/>
        <w:rPr>
          <w:rFonts w:cs="Arial"/>
        </w:rPr>
      </w:pPr>
    </w:p>
    <w:p w14:paraId="648A009D" w14:textId="77777777" w:rsidR="008A1820" w:rsidRPr="00004F87" w:rsidRDefault="008A1820" w:rsidP="00D6626D">
      <w:pPr>
        <w:pStyle w:val="ListParagraph"/>
        <w:numPr>
          <w:ilvl w:val="0"/>
          <w:numId w:val="44"/>
        </w:numPr>
        <w:spacing w:before="0" w:after="0"/>
        <w:rPr>
          <w:rFonts w:cs="Arial"/>
          <w:color w:val="000000" w:themeColor="text1"/>
        </w:rPr>
      </w:pPr>
      <w:r w:rsidRPr="00004F87">
        <w:rPr>
          <w:rFonts w:cs="Arial"/>
          <w:color w:val="000000" w:themeColor="text1"/>
        </w:rPr>
        <w:t>seek t</w:t>
      </w:r>
      <w:r w:rsidR="00B72BB4">
        <w:rPr>
          <w:rFonts w:cs="Arial"/>
          <w:color w:val="000000" w:themeColor="text1"/>
        </w:rPr>
        <w:t xml:space="preserve">o strengthen state, territory </w:t>
      </w:r>
      <w:r w:rsidRPr="00004F87">
        <w:rPr>
          <w:rFonts w:cs="Arial"/>
          <w:color w:val="000000" w:themeColor="text1"/>
        </w:rPr>
        <w:t>and Commonwealth legislative and policy p</w:t>
      </w:r>
      <w:r w:rsidR="00EF1D00">
        <w:rPr>
          <w:rFonts w:cs="Arial"/>
          <w:color w:val="000000" w:themeColor="text1"/>
        </w:rPr>
        <w:t xml:space="preserve">rotections for the heritage of </w:t>
      </w:r>
      <w:r w:rsidRPr="00004F87">
        <w:rPr>
          <w:rFonts w:cs="Arial"/>
          <w:color w:val="000000" w:themeColor="text1"/>
        </w:rPr>
        <w:t xml:space="preserve">Aboriginal and Torres Strait Islander Peoples </w:t>
      </w:r>
    </w:p>
    <w:p w14:paraId="1D466539" w14:textId="77777777" w:rsidR="006E78A9" w:rsidRPr="00004F87" w:rsidRDefault="002B36A6" w:rsidP="00D6626D">
      <w:pPr>
        <w:pStyle w:val="ListParagraph"/>
        <w:numPr>
          <w:ilvl w:val="0"/>
          <w:numId w:val="44"/>
        </w:numPr>
        <w:spacing w:before="0" w:after="0"/>
        <w:rPr>
          <w:rFonts w:cs="Arial"/>
          <w:color w:val="000000" w:themeColor="text1"/>
        </w:rPr>
      </w:pPr>
      <w:r w:rsidRPr="00004F87">
        <w:rPr>
          <w:rFonts w:cs="Arial"/>
          <w:color w:val="000000" w:themeColor="text1"/>
        </w:rPr>
        <w:t>respect</w:t>
      </w:r>
      <w:r w:rsidR="006E78A9" w:rsidRPr="00004F87">
        <w:rPr>
          <w:rFonts w:cs="Arial"/>
          <w:color w:val="000000" w:themeColor="text1"/>
        </w:rPr>
        <w:t xml:space="preserve"> the cultural authority</w:t>
      </w:r>
      <w:r w:rsidR="00004F87" w:rsidRPr="00004F87">
        <w:rPr>
          <w:rFonts w:cs="Arial"/>
          <w:color w:val="000000" w:themeColor="text1"/>
        </w:rPr>
        <w:t xml:space="preserve"> of each group of Aboriginal and Torres Strait Islander landowners, holders of native title and Traditional Owners </w:t>
      </w:r>
    </w:p>
    <w:p w14:paraId="30A5FB8C" w14:textId="77777777" w:rsidR="006E78A9" w:rsidRPr="00004F87" w:rsidRDefault="006E78A9" w:rsidP="00D6626D">
      <w:pPr>
        <w:pStyle w:val="ListParagraph"/>
        <w:numPr>
          <w:ilvl w:val="0"/>
          <w:numId w:val="44"/>
        </w:numPr>
        <w:spacing w:before="0" w:after="0"/>
        <w:rPr>
          <w:rFonts w:cs="Arial"/>
          <w:color w:val="000000" w:themeColor="text1"/>
        </w:rPr>
      </w:pPr>
      <w:r w:rsidRPr="00004F87">
        <w:rPr>
          <w:rFonts w:cs="Arial"/>
          <w:color w:val="000000" w:themeColor="text1"/>
        </w:rPr>
        <w:t xml:space="preserve">recognise and respect the right of each </w:t>
      </w:r>
      <w:r w:rsidR="00004F87" w:rsidRPr="00004F87">
        <w:rPr>
          <w:rFonts w:cs="Arial"/>
          <w:color w:val="000000" w:themeColor="text1"/>
        </w:rPr>
        <w:t xml:space="preserve">group of Aboriginal and Torres Strait Islander landowners, holders of native title and Traditional Owners </w:t>
      </w:r>
      <w:r w:rsidR="006C3825">
        <w:rPr>
          <w:rFonts w:cs="Arial"/>
          <w:color w:val="000000" w:themeColor="text1"/>
        </w:rPr>
        <w:t>to be different</w:t>
      </w:r>
    </w:p>
    <w:p w14:paraId="6AAFFA68" w14:textId="1682584B" w:rsidR="006E78A9" w:rsidRPr="00004F87" w:rsidRDefault="006E78A9" w:rsidP="00D6626D">
      <w:pPr>
        <w:pStyle w:val="ListParagraph"/>
        <w:numPr>
          <w:ilvl w:val="0"/>
          <w:numId w:val="44"/>
        </w:numPr>
        <w:spacing w:before="0" w:after="0"/>
        <w:rPr>
          <w:rFonts w:cs="Arial"/>
          <w:color w:val="000000" w:themeColor="text1"/>
        </w:rPr>
      </w:pPr>
      <w:r w:rsidRPr="00004F87">
        <w:rPr>
          <w:rFonts w:cs="Arial"/>
          <w:color w:val="000000" w:themeColor="text1"/>
        </w:rPr>
        <w:t>work in ways that strengthens the inherent right of each</w:t>
      </w:r>
      <w:r w:rsidR="00DF13B5" w:rsidRPr="00004F87">
        <w:rPr>
          <w:rFonts w:cs="Arial"/>
          <w:color w:val="000000" w:themeColor="text1"/>
        </w:rPr>
        <w:t xml:space="preserve"> </w:t>
      </w:r>
      <w:r w:rsidR="006C3825">
        <w:rPr>
          <w:rFonts w:cs="Arial"/>
          <w:color w:val="000000" w:themeColor="text1"/>
        </w:rPr>
        <w:t xml:space="preserve">group of </w:t>
      </w:r>
      <w:r w:rsidR="00004F87" w:rsidRPr="00004F87">
        <w:rPr>
          <w:rFonts w:cs="Arial"/>
          <w:color w:val="000000" w:themeColor="text1"/>
        </w:rPr>
        <w:t>Aboriginal and Torres Strait</w:t>
      </w:r>
      <w:bookmarkStart w:id="0" w:name="_GoBack"/>
      <w:bookmarkEnd w:id="0"/>
      <w:r w:rsidR="00004F87" w:rsidRPr="00004F87">
        <w:rPr>
          <w:rFonts w:cs="Arial"/>
          <w:color w:val="000000" w:themeColor="text1"/>
        </w:rPr>
        <w:t xml:space="preserve"> Islander landowners, holders of native title and Traditional Owners t</w:t>
      </w:r>
      <w:r w:rsidR="00DF13B5" w:rsidRPr="00004F87">
        <w:rPr>
          <w:rFonts w:cs="Arial"/>
          <w:color w:val="000000" w:themeColor="text1"/>
        </w:rPr>
        <w:t>o exercise self-</w:t>
      </w:r>
      <w:r w:rsidRPr="00004F87">
        <w:rPr>
          <w:rFonts w:cs="Arial"/>
          <w:color w:val="000000" w:themeColor="text1"/>
        </w:rPr>
        <w:t>determination</w:t>
      </w:r>
    </w:p>
    <w:p w14:paraId="7C264BBB" w14:textId="218203D9" w:rsidR="006E78A9" w:rsidRPr="00CE6C58" w:rsidRDefault="006E78A9" w:rsidP="00D6626D">
      <w:pPr>
        <w:pStyle w:val="ListParagraph"/>
        <w:numPr>
          <w:ilvl w:val="0"/>
          <w:numId w:val="44"/>
        </w:numPr>
        <w:spacing w:before="0" w:after="0"/>
        <w:rPr>
          <w:rFonts w:cs="Arial"/>
          <w:color w:val="000000" w:themeColor="text1"/>
        </w:rPr>
      </w:pPr>
      <w:r w:rsidRPr="00004F87">
        <w:rPr>
          <w:rFonts w:cs="Arial"/>
          <w:color w:val="000000" w:themeColor="text1"/>
        </w:rPr>
        <w:t xml:space="preserve">engage respectfully with each </w:t>
      </w:r>
      <w:r w:rsidR="00004F87" w:rsidRPr="00004F87">
        <w:rPr>
          <w:rFonts w:cs="Arial"/>
          <w:color w:val="000000" w:themeColor="text1"/>
        </w:rPr>
        <w:t xml:space="preserve">group of Aboriginal and Torres Strait </w:t>
      </w:r>
      <w:r w:rsidR="00004F87" w:rsidRPr="00CE6C58">
        <w:rPr>
          <w:rFonts w:cs="Arial"/>
          <w:color w:val="000000" w:themeColor="text1"/>
        </w:rPr>
        <w:t>Islander landowners, holders of native title, Traditional Owners and their representatives</w:t>
      </w:r>
    </w:p>
    <w:p w14:paraId="643450F9" w14:textId="77777777" w:rsidR="000B3402" w:rsidRPr="00CE6C58" w:rsidRDefault="00DB3CE4" w:rsidP="00D6626D">
      <w:pPr>
        <w:pStyle w:val="ListParagraph"/>
        <w:numPr>
          <w:ilvl w:val="0"/>
          <w:numId w:val="44"/>
        </w:numPr>
        <w:spacing w:before="0" w:after="0"/>
        <w:rPr>
          <w:rFonts w:cs="Arial"/>
          <w:color w:val="000000" w:themeColor="text1"/>
        </w:rPr>
      </w:pPr>
      <w:r w:rsidRPr="00CE6C58">
        <w:rPr>
          <w:rFonts w:cs="Arial"/>
          <w:color w:val="000000" w:themeColor="text1"/>
        </w:rPr>
        <w:t>c</w:t>
      </w:r>
      <w:r w:rsidR="000B3402" w:rsidRPr="00CE6C58">
        <w:rPr>
          <w:rFonts w:cs="Arial"/>
          <w:color w:val="000000" w:themeColor="text1"/>
        </w:rPr>
        <w:t>onsider appropriate ways to provide education and transfer knowledge to future generations.</w:t>
      </w:r>
    </w:p>
    <w:p w14:paraId="0F4311DB" w14:textId="77777777" w:rsidR="00471BC2" w:rsidRPr="006E78A9" w:rsidRDefault="00471BC2" w:rsidP="006E78A9">
      <w:pPr>
        <w:spacing w:before="0" w:after="0"/>
        <w:jc w:val="both"/>
        <w:rPr>
          <w:rFonts w:cs="Arial"/>
        </w:rPr>
      </w:pPr>
    </w:p>
    <w:sectPr w:rsidR="00471BC2" w:rsidRPr="006E78A9" w:rsidSect="00CE71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5F372" w14:textId="77777777" w:rsidR="0008392E" w:rsidRDefault="0008392E" w:rsidP="00F14C6D">
      <w:r>
        <w:separator/>
      </w:r>
    </w:p>
  </w:endnote>
  <w:endnote w:type="continuationSeparator" w:id="0">
    <w:p w14:paraId="52DF7E6B" w14:textId="77777777" w:rsidR="0008392E" w:rsidRDefault="0008392E" w:rsidP="00F14C6D">
      <w:r>
        <w:continuationSeparator/>
      </w:r>
    </w:p>
  </w:endnote>
  <w:endnote w:id="1">
    <w:p w14:paraId="00CF6BF8" w14:textId="77777777" w:rsidR="00827FEB" w:rsidRPr="004C3E5D" w:rsidRDefault="00827FEB" w:rsidP="00827FEB">
      <w:pPr>
        <w:pStyle w:val="EndnoteText"/>
        <w:ind w:left="567"/>
        <w:rPr>
          <w:rFonts w:cs="Arial"/>
        </w:rPr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</w:rPr>
        <w:t>United Nations Declaration on the Rights of Indigenous Peoples</w:t>
      </w:r>
      <w:r>
        <w:t xml:space="preserve">, GA Resolution 61/295, UN Doc A/RES/61/295 (2007), arts </w:t>
      </w:r>
      <w:r>
        <w:rPr>
          <w:rFonts w:cs="Arial"/>
        </w:rPr>
        <w:t>, 4, 5, Preamble 16, 17.</w:t>
      </w:r>
      <w:r>
        <w:rPr>
          <w:i/>
          <w:iCs/>
        </w:rPr>
        <w:t xml:space="preserve"> </w:t>
      </w:r>
      <w:r>
        <w:t xml:space="preserve">At </w:t>
      </w:r>
      <w:hyperlink r:id="rId1" w:history="1">
        <w:r w:rsidRPr="00EE399A">
          <w:rPr>
            <w:rStyle w:val="Hyperlink"/>
          </w:rPr>
          <w:t>http://www.ohchr.org/EN/Issues/IPeoples/Pages/Declaration.aspx</w:t>
        </w:r>
      </w:hyperlink>
      <w:r>
        <w:t xml:space="preserve">  (viewed 3 February 2016). </w:t>
      </w:r>
    </w:p>
  </w:endnote>
  <w:endnote w:id="2">
    <w:p w14:paraId="306DAF75" w14:textId="77777777" w:rsidR="00827FEB" w:rsidRPr="004C3E5D" w:rsidRDefault="00827FEB" w:rsidP="00827FEB">
      <w:pPr>
        <w:pStyle w:val="EndnoteText"/>
        <w:ind w:left="567"/>
        <w:rPr>
          <w:rFonts w:cs="Arial"/>
        </w:rPr>
      </w:pPr>
      <w:r w:rsidRPr="00864AF0">
        <w:rPr>
          <w:rStyle w:val="EndnoteReference"/>
          <w:rFonts w:cs="Arial"/>
        </w:rPr>
        <w:endnoteRef/>
      </w:r>
      <w:r w:rsidRPr="00864AF0">
        <w:rPr>
          <w:rFonts w:cs="Arial"/>
        </w:rPr>
        <w:t xml:space="preserve"> </w:t>
      </w:r>
      <w:r>
        <w:rPr>
          <w:i/>
          <w:iCs/>
        </w:rPr>
        <w:t>United Nations Declaration on the Rights of Indigenous Peoples</w:t>
      </w:r>
      <w:r>
        <w:t xml:space="preserve">, GA Resolution 61/295, UN Doc A/RES/61/295 (2007), arts </w:t>
      </w:r>
      <w:r w:rsidRPr="00864AF0">
        <w:rPr>
          <w:rFonts w:cs="Arial"/>
        </w:rPr>
        <w:t>18, 19, 5, 10, 11</w:t>
      </w:r>
      <w:r>
        <w:rPr>
          <w:rFonts w:cs="Arial"/>
        </w:rPr>
        <w:t xml:space="preserve">(2), 27, 28, 29, 32(2), 41, 46. </w:t>
      </w:r>
      <w:r>
        <w:t xml:space="preserve">At </w:t>
      </w:r>
      <w:hyperlink r:id="rId2" w:history="1">
        <w:r w:rsidRPr="00EE399A">
          <w:rPr>
            <w:rStyle w:val="Hyperlink"/>
          </w:rPr>
          <w:t>http://www.ohchr.org/EN/Issues/IPeoples/Pages/Declaration.aspx</w:t>
        </w:r>
      </w:hyperlink>
      <w:r>
        <w:t xml:space="preserve">  (viewed 3 February 2016).</w:t>
      </w:r>
    </w:p>
  </w:endnote>
  <w:endnote w:id="3">
    <w:p w14:paraId="7AF0F557" w14:textId="77777777" w:rsidR="00827FEB" w:rsidRPr="008E0D41" w:rsidRDefault="00827FEB" w:rsidP="00827FEB">
      <w:pPr>
        <w:pStyle w:val="EndnoteText"/>
        <w:ind w:left="567"/>
        <w:rPr>
          <w:rFonts w:cs="Arial"/>
        </w:rPr>
      </w:pPr>
      <w:r w:rsidRPr="008E0D41">
        <w:rPr>
          <w:rStyle w:val="EndnoteReference"/>
          <w:rFonts w:cs="Arial"/>
        </w:rPr>
        <w:endnoteRef/>
      </w:r>
      <w:r w:rsidRPr="008E0D41">
        <w:rPr>
          <w:rFonts w:cs="Arial"/>
        </w:rPr>
        <w:t xml:space="preserve"> </w:t>
      </w:r>
      <w:r w:rsidRPr="008E0D41">
        <w:rPr>
          <w:rFonts w:cs="Arial"/>
          <w:i/>
          <w:iCs/>
        </w:rPr>
        <w:t>United Nations Declaration on the Rights of Indigenous Peoples</w:t>
      </w:r>
      <w:r w:rsidRPr="008E0D41">
        <w:rPr>
          <w:rFonts w:cs="Arial"/>
        </w:rPr>
        <w:t>, GA Resolution 61/295, UN Doc A/RES/61/295 (2007), arts (1), 31, 11(1), 11(2), 12(1), 13(1), 15(1), Preamble 3, 7, 10, 11</w:t>
      </w:r>
      <w:r w:rsidRPr="008E0D41">
        <w:rPr>
          <w:rFonts w:cs="Arial"/>
          <w:i/>
          <w:iCs/>
        </w:rPr>
        <w:t xml:space="preserve">. </w:t>
      </w:r>
      <w:r w:rsidRPr="008E0D41">
        <w:rPr>
          <w:rFonts w:cs="Arial"/>
        </w:rPr>
        <w:t xml:space="preserve">At </w:t>
      </w:r>
      <w:hyperlink r:id="rId3" w:history="1">
        <w:r w:rsidRPr="008E0D41">
          <w:rPr>
            <w:rStyle w:val="Hyperlink"/>
            <w:rFonts w:cs="Arial"/>
          </w:rPr>
          <w:t>http://www.ohchr.org/EN/Issues/IPeoples/Pages/Declaration.aspx</w:t>
        </w:r>
      </w:hyperlink>
      <w:r w:rsidRPr="008E0D41">
        <w:rPr>
          <w:rFonts w:cs="Arial"/>
        </w:rPr>
        <w:t xml:space="preserve"> (viewed 3 February 2016). </w:t>
      </w:r>
    </w:p>
  </w:endnote>
  <w:endnote w:id="4">
    <w:p w14:paraId="09010E25" w14:textId="77777777" w:rsidR="00827FEB" w:rsidRPr="008E0D41" w:rsidRDefault="00827FEB" w:rsidP="00827FEB">
      <w:pPr>
        <w:pStyle w:val="EndnoteText"/>
        <w:ind w:left="567"/>
        <w:rPr>
          <w:rFonts w:cs="Arial"/>
        </w:rPr>
      </w:pPr>
      <w:r w:rsidRPr="008E0D41">
        <w:rPr>
          <w:rStyle w:val="EndnoteReference"/>
          <w:rFonts w:cs="Arial"/>
        </w:rPr>
        <w:endnoteRef/>
      </w:r>
      <w:r w:rsidRPr="008E0D41">
        <w:rPr>
          <w:rFonts w:cs="Arial"/>
        </w:rPr>
        <w:t xml:space="preserve"> </w:t>
      </w:r>
      <w:r w:rsidRPr="008E0D41">
        <w:rPr>
          <w:rFonts w:cs="Arial"/>
          <w:i/>
          <w:iCs/>
        </w:rPr>
        <w:t>United Nations Declaration on the Rights of Indigenous Peoples</w:t>
      </w:r>
      <w:r w:rsidRPr="008E0D41">
        <w:rPr>
          <w:rFonts w:cs="Arial"/>
        </w:rPr>
        <w:t>, GA Resolution 61/295, UN Doc A/RES/61/295 (2007)</w:t>
      </w:r>
      <w:r>
        <w:rPr>
          <w:rFonts w:cs="Arial"/>
        </w:rPr>
        <w:t>, arts</w:t>
      </w:r>
      <w:r w:rsidRPr="008E0D41">
        <w:rPr>
          <w:rFonts w:cs="Arial"/>
        </w:rPr>
        <w:t xml:space="preserve"> 8(1)(e), 9, 15(2), 21(1), 22(2), 44, 46(3), Preamble 5, 9, 18, 22</w:t>
      </w:r>
      <w:r w:rsidRPr="008E0D41">
        <w:rPr>
          <w:rFonts w:cs="Arial"/>
          <w:i/>
          <w:iCs/>
        </w:rPr>
        <w:t xml:space="preserve">. </w:t>
      </w:r>
      <w:r w:rsidRPr="008E0D41">
        <w:rPr>
          <w:rFonts w:cs="Arial"/>
        </w:rPr>
        <w:t xml:space="preserve">At </w:t>
      </w:r>
      <w:hyperlink r:id="rId4" w:history="1">
        <w:r w:rsidRPr="008E0D41">
          <w:rPr>
            <w:rStyle w:val="Hyperlink"/>
            <w:rFonts w:cs="Arial"/>
          </w:rPr>
          <w:t>http://www.ohchr.org/EN/Issues/IPeoples/Pages/Declaration.aspx</w:t>
        </w:r>
      </w:hyperlink>
      <w:r w:rsidRPr="008E0D41">
        <w:rPr>
          <w:rFonts w:cs="Arial"/>
        </w:rPr>
        <w:t xml:space="preserve"> (viewed 3 February 2016).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92AF8" w14:textId="77777777" w:rsidR="00E80562" w:rsidRDefault="00E805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1E969" w14:textId="77777777"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A27E3A">
      <w:rPr>
        <w:noProof/>
      </w:rPr>
      <w:t>3</w:t>
    </w:r>
    <w:r w:rsidRPr="0090165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C99F7" w14:textId="77777777" w:rsidR="00E80562" w:rsidRDefault="00E80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11FC9" w14:textId="77777777" w:rsidR="0008392E" w:rsidRDefault="0008392E" w:rsidP="00F14C6D">
      <w:r>
        <w:separator/>
      </w:r>
    </w:p>
  </w:footnote>
  <w:footnote w:type="continuationSeparator" w:id="0">
    <w:p w14:paraId="761D5ACA" w14:textId="77777777" w:rsidR="0008392E" w:rsidRDefault="0008392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43269" w14:textId="77777777" w:rsidR="00E80562" w:rsidRDefault="00E805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899F5" w14:textId="77777777" w:rsidR="00E80562" w:rsidRDefault="00E805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8C116" w14:textId="77777777" w:rsidR="00E80562" w:rsidRDefault="00E805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66310"/>
    <w:multiLevelType w:val="multilevel"/>
    <w:tmpl w:val="523C2B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37B2B"/>
    <w:multiLevelType w:val="hybridMultilevel"/>
    <w:tmpl w:val="D09C76E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070713"/>
    <w:multiLevelType w:val="hybridMultilevel"/>
    <w:tmpl w:val="3C0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905C56"/>
    <w:multiLevelType w:val="hybridMultilevel"/>
    <w:tmpl w:val="5046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CB237C"/>
    <w:multiLevelType w:val="hybridMultilevel"/>
    <w:tmpl w:val="D3EA5414"/>
    <w:lvl w:ilvl="0" w:tplc="41F480D6">
      <w:start w:val="1"/>
      <w:numFmt w:val="decimal"/>
      <w:pStyle w:val="SubmissionNormal"/>
      <w:lvlText w:val="%1."/>
      <w:lvlJc w:val="left"/>
      <w:pPr>
        <w:tabs>
          <w:tab w:val="num" w:pos="5180"/>
        </w:tabs>
        <w:ind w:left="518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C8610D"/>
    <w:multiLevelType w:val="hybridMultilevel"/>
    <w:tmpl w:val="03005402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22F600D6"/>
    <w:multiLevelType w:val="hybridMultilevel"/>
    <w:tmpl w:val="C13A8358"/>
    <w:lvl w:ilvl="0" w:tplc="16B6AF1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657A5C"/>
    <w:multiLevelType w:val="hybridMultilevel"/>
    <w:tmpl w:val="711CC608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AA24286"/>
    <w:multiLevelType w:val="hybridMultilevel"/>
    <w:tmpl w:val="C1AED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34F08"/>
    <w:multiLevelType w:val="hybridMultilevel"/>
    <w:tmpl w:val="EE6090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A17A37"/>
    <w:multiLevelType w:val="hybridMultilevel"/>
    <w:tmpl w:val="A2261D6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B30053"/>
    <w:multiLevelType w:val="hybridMultilevel"/>
    <w:tmpl w:val="5E94B3F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1257C"/>
    <w:multiLevelType w:val="multilevel"/>
    <w:tmpl w:val="8674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CB3189"/>
    <w:multiLevelType w:val="hybridMultilevel"/>
    <w:tmpl w:val="711CC608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87605B"/>
    <w:multiLevelType w:val="hybridMultilevel"/>
    <w:tmpl w:val="18ACD046"/>
    <w:lvl w:ilvl="0" w:tplc="1FDC80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E577FF"/>
    <w:multiLevelType w:val="hybridMultilevel"/>
    <w:tmpl w:val="7876D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91C8B"/>
    <w:multiLevelType w:val="multilevel"/>
    <w:tmpl w:val="7BFAC7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2"/>
  </w:num>
  <w:num w:numId="12">
    <w:abstractNumId w:val="28"/>
  </w:num>
  <w:num w:numId="13">
    <w:abstractNumId w:val="19"/>
  </w:num>
  <w:num w:numId="14">
    <w:abstractNumId w:val="31"/>
  </w:num>
  <w:num w:numId="15">
    <w:abstractNumId w:val="22"/>
  </w:num>
  <w:num w:numId="16">
    <w:abstractNumId w:val="11"/>
  </w:num>
  <w:num w:numId="17">
    <w:abstractNumId w:val="4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0"/>
  </w:num>
  <w:num w:numId="21">
    <w:abstractNumId w:val="29"/>
  </w:num>
  <w:num w:numId="22">
    <w:abstractNumId w:val="15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6"/>
  </w:num>
  <w:num w:numId="28">
    <w:abstractNumId w:val="27"/>
  </w:num>
  <w:num w:numId="29">
    <w:abstractNumId w:val="34"/>
  </w:num>
  <w:num w:numId="30">
    <w:abstractNumId w:val="23"/>
  </w:num>
  <w:num w:numId="31">
    <w:abstractNumId w:val="17"/>
  </w:num>
  <w:num w:numId="32">
    <w:abstractNumId w:val="10"/>
  </w:num>
  <w:num w:numId="33">
    <w:abstractNumId w:val="20"/>
  </w:num>
  <w:num w:numId="34">
    <w:abstractNumId w:val="21"/>
  </w:num>
  <w:num w:numId="35">
    <w:abstractNumId w:val="14"/>
  </w:num>
  <w:num w:numId="36">
    <w:abstractNumId w:val="12"/>
  </w:num>
  <w:num w:numId="37">
    <w:abstractNumId w:val="41"/>
  </w:num>
  <w:num w:numId="38">
    <w:abstractNumId w:val="38"/>
  </w:num>
  <w:num w:numId="39">
    <w:abstractNumId w:val="37"/>
  </w:num>
  <w:num w:numId="40">
    <w:abstractNumId w:val="35"/>
  </w:num>
  <w:num w:numId="41">
    <w:abstractNumId w:val="16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24"/>
  </w:num>
  <w:num w:numId="4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2E"/>
    <w:rsid w:val="00004F87"/>
    <w:rsid w:val="0001254B"/>
    <w:rsid w:val="00013272"/>
    <w:rsid w:val="000138DA"/>
    <w:rsid w:val="00021134"/>
    <w:rsid w:val="00021EF5"/>
    <w:rsid w:val="000540A0"/>
    <w:rsid w:val="000579B1"/>
    <w:rsid w:val="00061380"/>
    <w:rsid w:val="00070915"/>
    <w:rsid w:val="00072DA0"/>
    <w:rsid w:val="00074750"/>
    <w:rsid w:val="00074CD6"/>
    <w:rsid w:val="0008392E"/>
    <w:rsid w:val="000A40D8"/>
    <w:rsid w:val="000A6449"/>
    <w:rsid w:val="000B0A5D"/>
    <w:rsid w:val="000B3402"/>
    <w:rsid w:val="000C0B0C"/>
    <w:rsid w:val="000D5F93"/>
    <w:rsid w:val="000E3201"/>
    <w:rsid w:val="001011C8"/>
    <w:rsid w:val="00107675"/>
    <w:rsid w:val="00132462"/>
    <w:rsid w:val="00140077"/>
    <w:rsid w:val="00143B1E"/>
    <w:rsid w:val="00147AB0"/>
    <w:rsid w:val="00150E3A"/>
    <w:rsid w:val="001523D8"/>
    <w:rsid w:val="00154C80"/>
    <w:rsid w:val="001566D4"/>
    <w:rsid w:val="00162A8D"/>
    <w:rsid w:val="00184098"/>
    <w:rsid w:val="001867A2"/>
    <w:rsid w:val="001A104B"/>
    <w:rsid w:val="001A5D46"/>
    <w:rsid w:val="001A7CFC"/>
    <w:rsid w:val="001B0353"/>
    <w:rsid w:val="001B19DA"/>
    <w:rsid w:val="001C139C"/>
    <w:rsid w:val="001C451B"/>
    <w:rsid w:val="001E1867"/>
    <w:rsid w:val="001F2BBB"/>
    <w:rsid w:val="001F4F4E"/>
    <w:rsid w:val="0020759E"/>
    <w:rsid w:val="00231ED1"/>
    <w:rsid w:val="0023303F"/>
    <w:rsid w:val="002428EF"/>
    <w:rsid w:val="0024300C"/>
    <w:rsid w:val="0024557E"/>
    <w:rsid w:val="00255E65"/>
    <w:rsid w:val="002633B1"/>
    <w:rsid w:val="002702D9"/>
    <w:rsid w:val="00285467"/>
    <w:rsid w:val="002B36A6"/>
    <w:rsid w:val="002C0B86"/>
    <w:rsid w:val="002D2E2E"/>
    <w:rsid w:val="003040CA"/>
    <w:rsid w:val="00310ED4"/>
    <w:rsid w:val="003138F4"/>
    <w:rsid w:val="0031492A"/>
    <w:rsid w:val="00316504"/>
    <w:rsid w:val="00316C1A"/>
    <w:rsid w:val="00321AF0"/>
    <w:rsid w:val="00354C64"/>
    <w:rsid w:val="00377C8F"/>
    <w:rsid w:val="003931C7"/>
    <w:rsid w:val="003955AE"/>
    <w:rsid w:val="00395B25"/>
    <w:rsid w:val="003A533F"/>
    <w:rsid w:val="003A633D"/>
    <w:rsid w:val="003B18A7"/>
    <w:rsid w:val="003B2541"/>
    <w:rsid w:val="003C59C3"/>
    <w:rsid w:val="003D4B7D"/>
    <w:rsid w:val="003E1B0A"/>
    <w:rsid w:val="003E2D71"/>
    <w:rsid w:val="003F0CEE"/>
    <w:rsid w:val="00420EA9"/>
    <w:rsid w:val="004215B3"/>
    <w:rsid w:val="0042432F"/>
    <w:rsid w:val="00444303"/>
    <w:rsid w:val="004561BE"/>
    <w:rsid w:val="00462D4C"/>
    <w:rsid w:val="004634EC"/>
    <w:rsid w:val="00471BC2"/>
    <w:rsid w:val="00473DB9"/>
    <w:rsid w:val="00474063"/>
    <w:rsid w:val="00476EEA"/>
    <w:rsid w:val="00487124"/>
    <w:rsid w:val="00491474"/>
    <w:rsid w:val="00494D4B"/>
    <w:rsid w:val="00495DEE"/>
    <w:rsid w:val="004A664A"/>
    <w:rsid w:val="004A722D"/>
    <w:rsid w:val="004A768C"/>
    <w:rsid w:val="004C156F"/>
    <w:rsid w:val="004F107F"/>
    <w:rsid w:val="004F3A80"/>
    <w:rsid w:val="004F53EF"/>
    <w:rsid w:val="00503E04"/>
    <w:rsid w:val="00504286"/>
    <w:rsid w:val="00504B28"/>
    <w:rsid w:val="0051251A"/>
    <w:rsid w:val="00513540"/>
    <w:rsid w:val="00522CED"/>
    <w:rsid w:val="00526220"/>
    <w:rsid w:val="00530157"/>
    <w:rsid w:val="00544678"/>
    <w:rsid w:val="00554C04"/>
    <w:rsid w:val="005577E1"/>
    <w:rsid w:val="0057164F"/>
    <w:rsid w:val="00574354"/>
    <w:rsid w:val="005756D9"/>
    <w:rsid w:val="005B03B0"/>
    <w:rsid w:val="005B7515"/>
    <w:rsid w:val="005B76A2"/>
    <w:rsid w:val="005C1654"/>
    <w:rsid w:val="005D04F4"/>
    <w:rsid w:val="005D1F34"/>
    <w:rsid w:val="005E2F9F"/>
    <w:rsid w:val="005E3DA9"/>
    <w:rsid w:val="005F5F45"/>
    <w:rsid w:val="00600E1B"/>
    <w:rsid w:val="006660B2"/>
    <w:rsid w:val="00686E2D"/>
    <w:rsid w:val="006878CC"/>
    <w:rsid w:val="00690313"/>
    <w:rsid w:val="00696390"/>
    <w:rsid w:val="006A21AD"/>
    <w:rsid w:val="006A5A8D"/>
    <w:rsid w:val="006A6BB3"/>
    <w:rsid w:val="006B3680"/>
    <w:rsid w:val="006C3825"/>
    <w:rsid w:val="006D5EE5"/>
    <w:rsid w:val="006E06ED"/>
    <w:rsid w:val="006E06F5"/>
    <w:rsid w:val="006E78A9"/>
    <w:rsid w:val="007039FC"/>
    <w:rsid w:val="00706FAB"/>
    <w:rsid w:val="00707793"/>
    <w:rsid w:val="007169BB"/>
    <w:rsid w:val="00717724"/>
    <w:rsid w:val="00725D5E"/>
    <w:rsid w:val="00733170"/>
    <w:rsid w:val="00733B08"/>
    <w:rsid w:val="007464F7"/>
    <w:rsid w:val="00753820"/>
    <w:rsid w:val="007548CA"/>
    <w:rsid w:val="00770DCB"/>
    <w:rsid w:val="00775485"/>
    <w:rsid w:val="007841E1"/>
    <w:rsid w:val="00791263"/>
    <w:rsid w:val="007949FF"/>
    <w:rsid w:val="007C12F3"/>
    <w:rsid w:val="007D0F4B"/>
    <w:rsid w:val="007D40BD"/>
    <w:rsid w:val="007E1866"/>
    <w:rsid w:val="007E3F7A"/>
    <w:rsid w:val="007E41EF"/>
    <w:rsid w:val="007E472A"/>
    <w:rsid w:val="007E6434"/>
    <w:rsid w:val="00810ABF"/>
    <w:rsid w:val="008125EE"/>
    <w:rsid w:val="00827FEB"/>
    <w:rsid w:val="0083209A"/>
    <w:rsid w:val="00854701"/>
    <w:rsid w:val="008724DE"/>
    <w:rsid w:val="00891A32"/>
    <w:rsid w:val="00897462"/>
    <w:rsid w:val="008A1820"/>
    <w:rsid w:val="008A2AF7"/>
    <w:rsid w:val="008A3D57"/>
    <w:rsid w:val="008B51FE"/>
    <w:rsid w:val="008C192B"/>
    <w:rsid w:val="008C6C15"/>
    <w:rsid w:val="008D7906"/>
    <w:rsid w:val="008E3D60"/>
    <w:rsid w:val="008E5132"/>
    <w:rsid w:val="008E6C5F"/>
    <w:rsid w:val="0090165F"/>
    <w:rsid w:val="00907C66"/>
    <w:rsid w:val="00921CB7"/>
    <w:rsid w:val="00923C4F"/>
    <w:rsid w:val="009448F1"/>
    <w:rsid w:val="00945A1B"/>
    <w:rsid w:val="009472C4"/>
    <w:rsid w:val="00950E88"/>
    <w:rsid w:val="00966C2F"/>
    <w:rsid w:val="009802F3"/>
    <w:rsid w:val="0098586C"/>
    <w:rsid w:val="009A5753"/>
    <w:rsid w:val="009C5FB8"/>
    <w:rsid w:val="009D0AC5"/>
    <w:rsid w:val="009E7F51"/>
    <w:rsid w:val="009E7FC4"/>
    <w:rsid w:val="009F51D9"/>
    <w:rsid w:val="009F7AAC"/>
    <w:rsid w:val="00A02F56"/>
    <w:rsid w:val="00A0406E"/>
    <w:rsid w:val="00A22FF1"/>
    <w:rsid w:val="00A27E3A"/>
    <w:rsid w:val="00A41355"/>
    <w:rsid w:val="00A43B92"/>
    <w:rsid w:val="00A44720"/>
    <w:rsid w:val="00A51491"/>
    <w:rsid w:val="00A57951"/>
    <w:rsid w:val="00A6179E"/>
    <w:rsid w:val="00A66F67"/>
    <w:rsid w:val="00A845F2"/>
    <w:rsid w:val="00A927FF"/>
    <w:rsid w:val="00A9430D"/>
    <w:rsid w:val="00AA45DF"/>
    <w:rsid w:val="00AC225D"/>
    <w:rsid w:val="00AC27AB"/>
    <w:rsid w:val="00AC6A34"/>
    <w:rsid w:val="00AE1C0A"/>
    <w:rsid w:val="00AE76EB"/>
    <w:rsid w:val="00B060F2"/>
    <w:rsid w:val="00B07A73"/>
    <w:rsid w:val="00B104B8"/>
    <w:rsid w:val="00B2185C"/>
    <w:rsid w:val="00B22697"/>
    <w:rsid w:val="00B277E0"/>
    <w:rsid w:val="00B442D7"/>
    <w:rsid w:val="00B52E2D"/>
    <w:rsid w:val="00B61DE5"/>
    <w:rsid w:val="00B72BB4"/>
    <w:rsid w:val="00B76653"/>
    <w:rsid w:val="00B910B4"/>
    <w:rsid w:val="00B97CE1"/>
    <w:rsid w:val="00BA262D"/>
    <w:rsid w:val="00BC35E2"/>
    <w:rsid w:val="00BC6F6A"/>
    <w:rsid w:val="00BC79EB"/>
    <w:rsid w:val="00BD5299"/>
    <w:rsid w:val="00BE46F9"/>
    <w:rsid w:val="00C03C99"/>
    <w:rsid w:val="00C076F2"/>
    <w:rsid w:val="00C247EB"/>
    <w:rsid w:val="00C25BDA"/>
    <w:rsid w:val="00C458C9"/>
    <w:rsid w:val="00C46586"/>
    <w:rsid w:val="00C53971"/>
    <w:rsid w:val="00C54FB1"/>
    <w:rsid w:val="00C72366"/>
    <w:rsid w:val="00C80F9F"/>
    <w:rsid w:val="00CA0D78"/>
    <w:rsid w:val="00CB27A8"/>
    <w:rsid w:val="00CD51E9"/>
    <w:rsid w:val="00CE6C58"/>
    <w:rsid w:val="00CE70F6"/>
    <w:rsid w:val="00CE7182"/>
    <w:rsid w:val="00D13FC2"/>
    <w:rsid w:val="00D2257A"/>
    <w:rsid w:val="00D24A9E"/>
    <w:rsid w:val="00D32591"/>
    <w:rsid w:val="00D36D90"/>
    <w:rsid w:val="00D51048"/>
    <w:rsid w:val="00D624C0"/>
    <w:rsid w:val="00D65C76"/>
    <w:rsid w:val="00D6626D"/>
    <w:rsid w:val="00DA2F73"/>
    <w:rsid w:val="00DA42E8"/>
    <w:rsid w:val="00DA63A5"/>
    <w:rsid w:val="00DA7DCA"/>
    <w:rsid w:val="00DB3CE4"/>
    <w:rsid w:val="00DC1931"/>
    <w:rsid w:val="00DC193F"/>
    <w:rsid w:val="00DC3C4F"/>
    <w:rsid w:val="00DC462F"/>
    <w:rsid w:val="00DD5748"/>
    <w:rsid w:val="00DF13B5"/>
    <w:rsid w:val="00DF3025"/>
    <w:rsid w:val="00E24FA3"/>
    <w:rsid w:val="00E328CD"/>
    <w:rsid w:val="00E45954"/>
    <w:rsid w:val="00E67F3A"/>
    <w:rsid w:val="00E72FCF"/>
    <w:rsid w:val="00E75D90"/>
    <w:rsid w:val="00E764F6"/>
    <w:rsid w:val="00E77580"/>
    <w:rsid w:val="00E77A7E"/>
    <w:rsid w:val="00E80562"/>
    <w:rsid w:val="00E835AF"/>
    <w:rsid w:val="00E97EF8"/>
    <w:rsid w:val="00EB2CEC"/>
    <w:rsid w:val="00EB53A0"/>
    <w:rsid w:val="00EB6B15"/>
    <w:rsid w:val="00EE44D7"/>
    <w:rsid w:val="00EE7CE6"/>
    <w:rsid w:val="00EF1D00"/>
    <w:rsid w:val="00EF7B4A"/>
    <w:rsid w:val="00F14C6D"/>
    <w:rsid w:val="00F3100E"/>
    <w:rsid w:val="00F47B78"/>
    <w:rsid w:val="00F65E25"/>
    <w:rsid w:val="00F71A6E"/>
    <w:rsid w:val="00F9078E"/>
    <w:rsid w:val="00F95982"/>
    <w:rsid w:val="00FC582E"/>
    <w:rsid w:val="00FD754C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A284F9C"/>
  <w15:chartTrackingRefBased/>
  <w15:docId w15:val="{B938C4A0-AB93-44F1-8AB8-FE561282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qFormat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aliases w:val="List Paragraph1,List Paragraph11,Bullet point,Recommendation,List Paragraph Number"/>
    <w:basedOn w:val="Normal"/>
    <w:link w:val="ListParagraphChar"/>
    <w:uiPriority w:val="34"/>
    <w:qFormat/>
    <w:rsid w:val="007C12F3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Bullet point Char,Recommendation Char,List Paragraph Number Char"/>
    <w:link w:val="ListParagraph"/>
    <w:uiPriority w:val="34"/>
    <w:rsid w:val="00147AB0"/>
    <w:rPr>
      <w:rFonts w:ascii="Arial" w:hAnsi="Arial"/>
      <w:sz w:val="24"/>
      <w:szCs w:val="24"/>
    </w:rPr>
  </w:style>
  <w:style w:type="character" w:customStyle="1" w:styleId="EndnoteTextChar1">
    <w:name w:val="Endnote Text Char1"/>
    <w:rsid w:val="006878CC"/>
    <w:rPr>
      <w:rFonts w:ascii="Arial" w:eastAsia="MS Mincho" w:hAnsi="Arial"/>
      <w:lang w:val="en-AU" w:eastAsia="en-AU" w:bidi="ar-SA"/>
    </w:rPr>
  </w:style>
  <w:style w:type="paragraph" w:customStyle="1" w:styleId="SubmissionNormal">
    <w:name w:val="Submission Normal"/>
    <w:aliases w:val="No Spacing"/>
    <w:basedOn w:val="Normal"/>
    <w:link w:val="SubmissionNormalChar"/>
    <w:rsid w:val="006878CC"/>
    <w:pPr>
      <w:numPr>
        <w:numId w:val="31"/>
      </w:numPr>
    </w:pPr>
  </w:style>
  <w:style w:type="character" w:customStyle="1" w:styleId="SubmissionNormalChar">
    <w:name w:val="Submission Normal Char"/>
    <w:link w:val="SubmissionNormal"/>
    <w:rsid w:val="006878C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E805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05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locked/>
    <w:rsid w:val="003E1B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3E1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1B0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E1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1B0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llaboratio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Participation_(decision_making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n.wikipedia.org/wiki/Inclusion_(value_and_practice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ooperation" TargetMode="Externa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hchr.org/EN/Issues/IPeoples/Pages/Declaration.aspx" TargetMode="External"/><Relationship Id="rId2" Type="http://schemas.openxmlformats.org/officeDocument/2006/relationships/hyperlink" Target="http://www.ohchr.org/EN/Issues/IPeoples/Pages/Declaration.aspx" TargetMode="External"/><Relationship Id="rId1" Type="http://schemas.openxmlformats.org/officeDocument/2006/relationships/hyperlink" Target="http://www.ohchr.org/EN/Issues/IPeoples/Pages/Declaration.aspx" TargetMode="External"/><Relationship Id="rId4" Type="http://schemas.openxmlformats.org/officeDocument/2006/relationships/hyperlink" Target="http://www.ohchr.org/EN/Issues/IPeoples/Pages/Declar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B77E-92CB-4852-87E8-E641563D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719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Amber Roberts</dc:creator>
  <cp:keywords/>
  <dc:description/>
  <cp:lastModifiedBy>Amber Roberts</cp:lastModifiedBy>
  <cp:revision>87</cp:revision>
  <cp:lastPrinted>2016-05-01T23:29:00Z</cp:lastPrinted>
  <dcterms:created xsi:type="dcterms:W3CDTF">2016-03-23T01:34:00Z</dcterms:created>
  <dcterms:modified xsi:type="dcterms:W3CDTF">2016-05-01T23:30:00Z</dcterms:modified>
</cp:coreProperties>
</file>