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B6" w:rsidRDefault="00822460">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3" type="#_x0000_t202" style="position:absolute;margin-left:91.45pt;margin-top:74.75pt;width:452.15pt;height:17.45pt;z-index:-251662336;mso-wrap-distance-left:0;mso-wrap-distance-right:0;mso-position-horizontal-relative:page;mso-position-vertical-relative:page" filled="f" stroked="f">
            <v:textbox inset="0,0,0,0">
              <w:txbxContent>
                <w:p w:rsidR="00DD70B6" w:rsidRDefault="00822460">
                  <w:pPr>
                    <w:tabs>
                      <w:tab w:val="right" w:pos="9072"/>
                    </w:tabs>
                    <w:spacing w:before="53" w:after="43" w:line="252" w:lineRule="exact"/>
                    <w:textAlignment w:val="baseline"/>
                    <w:rPr>
                      <w:rFonts w:ascii="Arial" w:eastAsia="Arial" w:hAnsi="Arial"/>
                      <w:color w:val="000000"/>
                      <w:sz w:val="21"/>
                    </w:rPr>
                  </w:pPr>
                  <w:r>
                    <w:rPr>
                      <w:rFonts w:ascii="Arial" w:eastAsia="Arial" w:hAnsi="Arial"/>
                      <w:color w:val="000000"/>
                      <w:sz w:val="21"/>
                    </w:rPr>
                    <w:t>16 October 2013</w:t>
                  </w:r>
                  <w:r>
                    <w:rPr>
                      <w:rFonts w:ascii="Arial" w:eastAsia="Arial" w:hAnsi="Arial"/>
                      <w:color w:val="000000"/>
                      <w:sz w:val="21"/>
                    </w:rPr>
                    <w:tab/>
                  </w:r>
                  <w:r>
                    <w:rPr>
                      <w:rFonts w:ascii="Arial" w:eastAsia="Arial" w:hAnsi="Arial"/>
                      <w:color w:val="000000"/>
                      <w:sz w:val="16"/>
                    </w:rPr>
                    <w:t>Latrobe Valley Enterprises</w:t>
                  </w:r>
                </w:p>
              </w:txbxContent>
            </v:textbox>
            <w10:wrap type="square" anchorx="page" anchory="page"/>
          </v:shape>
        </w:pict>
      </w:r>
      <w:r>
        <w:pict>
          <v:shape id="_x0000_s1032" type="#_x0000_t202" style="position:absolute;margin-left:91.45pt;margin-top:92.2pt;width:451pt;height:108.95pt;z-index:-251661312;mso-wrap-distance-left:0;mso-wrap-distance-right:0;mso-position-horizontal-relative:page;mso-position-vertical-relative:page" filled="f" stroked="f">
            <v:textbox inset="0,0,0,0">
              <w:txbxContent>
                <w:p w:rsidR="00DD70B6" w:rsidRDefault="00DD70B6">
                  <w:pPr>
                    <w:spacing w:before="232" w:line="20" w:lineRule="exact"/>
                  </w:pPr>
                </w:p>
                <w:tbl>
                  <w:tblPr>
                    <w:tblW w:w="0" w:type="auto"/>
                    <w:tblLayout w:type="fixed"/>
                    <w:tblCellMar>
                      <w:left w:w="0" w:type="dxa"/>
                      <w:right w:w="0" w:type="dxa"/>
                    </w:tblCellMar>
                    <w:tblLook w:val="0000" w:firstRow="0" w:lastRow="0" w:firstColumn="0" w:lastColumn="0" w:noHBand="0" w:noVBand="0"/>
                  </w:tblPr>
                  <w:tblGrid>
                    <w:gridCol w:w="5239"/>
                    <w:gridCol w:w="3781"/>
                  </w:tblGrid>
                  <w:tr w:rsidR="00DD70B6">
                    <w:tblPrEx>
                      <w:tblCellMar>
                        <w:top w:w="0" w:type="dxa"/>
                        <w:bottom w:w="0" w:type="dxa"/>
                      </w:tblCellMar>
                    </w:tblPrEx>
                    <w:trPr>
                      <w:trHeight w:hRule="exact" w:val="1830"/>
                    </w:trPr>
                    <w:tc>
                      <w:tcPr>
                        <w:tcW w:w="5239" w:type="dxa"/>
                        <w:tcBorders>
                          <w:top w:val="none" w:sz="0" w:space="0" w:color="000000"/>
                          <w:left w:val="none" w:sz="0" w:space="0" w:color="000000"/>
                          <w:bottom w:val="none" w:sz="0" w:space="0" w:color="000000"/>
                          <w:right w:val="none" w:sz="0" w:space="0" w:color="000000"/>
                        </w:tcBorders>
                        <w:vAlign w:val="center"/>
                      </w:tcPr>
                      <w:p w:rsidR="00DD70B6" w:rsidRDefault="00822460">
                        <w:pPr>
                          <w:spacing w:before="401" w:after="411" w:line="252" w:lineRule="exact"/>
                          <w:ind w:right="1548"/>
                          <w:textAlignment w:val="baseline"/>
                          <w:rPr>
                            <w:rFonts w:ascii="Arial" w:eastAsia="Arial" w:hAnsi="Arial"/>
                            <w:color w:val="000000"/>
                            <w:spacing w:val="50"/>
                            <w:sz w:val="21"/>
                          </w:rPr>
                        </w:pPr>
                        <w:r>
                          <w:rPr>
                            <w:rFonts w:ascii="Arial" w:eastAsia="Arial" w:hAnsi="Arial"/>
                            <w:color w:val="000000"/>
                            <w:spacing w:val="50"/>
                            <w:sz w:val="21"/>
                          </w:rPr>
                          <w:t>Legal Section Australian Human Rights Commission GPO Box 5218 Sydney NSW 2001</w:t>
                        </w:r>
                      </w:p>
                    </w:tc>
                    <w:tc>
                      <w:tcPr>
                        <w:tcW w:w="3781" w:type="dxa"/>
                        <w:tcBorders>
                          <w:top w:val="none" w:sz="0" w:space="0" w:color="000000"/>
                          <w:left w:val="none" w:sz="0" w:space="0" w:color="000000"/>
                          <w:bottom w:val="none" w:sz="0" w:space="0" w:color="000000"/>
                          <w:right w:val="none" w:sz="0" w:space="0" w:color="000000"/>
                        </w:tcBorders>
                      </w:tcPr>
                      <w:p w:rsidR="00DD70B6" w:rsidRDefault="00822460">
                        <w:pPr>
                          <w:spacing w:line="190" w:lineRule="exact"/>
                          <w:ind w:left="1512"/>
                          <w:textAlignment w:val="baseline"/>
                          <w:rPr>
                            <w:rFonts w:ascii="Arial" w:eastAsia="Arial" w:hAnsi="Arial"/>
                            <w:color w:val="000000"/>
                            <w:sz w:val="16"/>
                          </w:rPr>
                        </w:pPr>
                        <w:r>
                          <w:rPr>
                            <w:rFonts w:ascii="Arial" w:eastAsia="Arial" w:hAnsi="Arial"/>
                            <w:color w:val="000000"/>
                            <w:sz w:val="16"/>
                          </w:rPr>
                          <w:t>ABN 87 004 781 122</w:t>
                        </w:r>
                      </w:p>
                      <w:p w:rsidR="00DD70B6" w:rsidRDefault="00822460">
                        <w:pPr>
                          <w:spacing w:line="247" w:lineRule="exact"/>
                          <w:ind w:left="1584"/>
                          <w:textAlignment w:val="baseline"/>
                          <w:rPr>
                            <w:rFonts w:ascii="Arial" w:eastAsia="Arial" w:hAnsi="Arial"/>
                            <w:color w:val="000000"/>
                            <w:spacing w:val="-5"/>
                            <w:sz w:val="16"/>
                          </w:rPr>
                        </w:pPr>
                        <w:r>
                          <w:rPr>
                            <w:rFonts w:ascii="Arial" w:eastAsia="Arial" w:hAnsi="Arial"/>
                            <w:color w:val="000000"/>
                            <w:spacing w:val="-5"/>
                            <w:sz w:val="16"/>
                          </w:rPr>
                          <w:t xml:space="preserve">547 Princes Drive, </w:t>
                        </w:r>
                        <w:proofErr w:type="spellStart"/>
                        <w:r>
                          <w:rPr>
                            <w:rFonts w:ascii="Arial" w:eastAsia="Arial" w:hAnsi="Arial"/>
                            <w:color w:val="000000"/>
                            <w:spacing w:val="-5"/>
                            <w:sz w:val="16"/>
                          </w:rPr>
                          <w:t>Morwell</w:t>
                        </w:r>
                        <w:proofErr w:type="spellEnd"/>
                        <w:r>
                          <w:rPr>
                            <w:rFonts w:ascii="Arial" w:eastAsia="Arial" w:hAnsi="Arial"/>
                            <w:color w:val="000000"/>
                            <w:spacing w:val="-5"/>
                            <w:sz w:val="16"/>
                          </w:rPr>
                          <w:t xml:space="preserve"> 3840 PO Box 662, </w:t>
                        </w:r>
                        <w:proofErr w:type="spellStart"/>
                        <w:r>
                          <w:rPr>
                            <w:rFonts w:ascii="Arial" w:eastAsia="Arial" w:hAnsi="Arial"/>
                            <w:color w:val="000000"/>
                            <w:spacing w:val="-5"/>
                            <w:sz w:val="16"/>
                          </w:rPr>
                          <w:t>Morwell</w:t>
                        </w:r>
                        <w:proofErr w:type="spellEnd"/>
                        <w:r>
                          <w:rPr>
                            <w:rFonts w:ascii="Arial" w:eastAsia="Arial" w:hAnsi="Arial"/>
                            <w:color w:val="000000"/>
                            <w:spacing w:val="-5"/>
                            <w:sz w:val="16"/>
                          </w:rPr>
                          <w:t xml:space="preserve"> 3840</w:t>
                        </w:r>
                      </w:p>
                      <w:p w:rsidR="00DD70B6" w:rsidRDefault="00822460">
                        <w:pPr>
                          <w:spacing w:before="233" w:line="198" w:lineRule="exact"/>
                          <w:ind w:left="1512"/>
                          <w:textAlignment w:val="baseline"/>
                          <w:rPr>
                            <w:rFonts w:ascii="Arial" w:eastAsia="Arial" w:hAnsi="Arial"/>
                            <w:color w:val="000000"/>
                            <w:sz w:val="16"/>
                          </w:rPr>
                        </w:pPr>
                        <w:proofErr w:type="spellStart"/>
                        <w:r>
                          <w:rPr>
                            <w:rFonts w:ascii="Arial" w:eastAsia="Arial" w:hAnsi="Arial"/>
                            <w:color w:val="000000"/>
                            <w:sz w:val="16"/>
                          </w:rPr>
                          <w:t>Ph</w:t>
                        </w:r>
                        <w:proofErr w:type="spellEnd"/>
                        <w:r>
                          <w:rPr>
                            <w:rFonts w:ascii="Arial" w:eastAsia="Arial" w:hAnsi="Arial"/>
                            <w:color w:val="000000"/>
                            <w:sz w:val="16"/>
                          </w:rPr>
                          <w:t>: (03) 5134 1555</w:t>
                        </w:r>
                      </w:p>
                      <w:p w:rsidR="00DD70B6" w:rsidRDefault="00822460">
                        <w:pPr>
                          <w:spacing w:line="234" w:lineRule="exact"/>
                          <w:ind w:left="1584" w:right="612"/>
                          <w:textAlignment w:val="baseline"/>
                          <w:rPr>
                            <w:rFonts w:ascii="Arial" w:eastAsia="Arial" w:hAnsi="Arial"/>
                            <w:color w:val="000000"/>
                            <w:spacing w:val="-10"/>
                            <w:sz w:val="16"/>
                          </w:rPr>
                        </w:pPr>
                        <w:r>
                          <w:rPr>
                            <w:rFonts w:ascii="Arial" w:eastAsia="Arial" w:hAnsi="Arial"/>
                            <w:color w:val="000000"/>
                            <w:spacing w:val="-10"/>
                            <w:sz w:val="16"/>
                          </w:rPr>
                          <w:t xml:space="preserve">Fax: (03) 5134 3383 </w:t>
                        </w:r>
                        <w:hyperlink r:id="rId5">
                          <w:r>
                            <w:rPr>
                              <w:rFonts w:ascii="Arial" w:eastAsia="Arial" w:hAnsi="Arial"/>
                              <w:color w:val="0000FF"/>
                              <w:spacing w:val="-10"/>
                              <w:sz w:val="16"/>
                              <w:u w:val="single"/>
                            </w:rPr>
                            <w:t>Email: office@lve.com.au</w:t>
                          </w:r>
                        </w:hyperlink>
                        <w:r>
                          <w:rPr>
                            <w:rFonts w:ascii="Arial" w:eastAsia="Arial" w:hAnsi="Arial"/>
                            <w:color w:val="000000"/>
                            <w:spacing w:val="-10"/>
                            <w:sz w:val="16"/>
                          </w:rPr>
                          <w:t xml:space="preserve"> Web: </w:t>
                        </w:r>
                        <w:hyperlink r:id="rId6">
                          <w:r>
                            <w:rPr>
                              <w:rFonts w:ascii="Arial" w:eastAsia="Arial" w:hAnsi="Arial"/>
                              <w:color w:val="0000FF"/>
                              <w:spacing w:val="-10"/>
                              <w:sz w:val="16"/>
                              <w:u w:val="single"/>
                            </w:rPr>
                            <w:t>www.lve.com.au</w:t>
                          </w:r>
                        </w:hyperlink>
                      </w:p>
                    </w:tc>
                  </w:tr>
                </w:tbl>
                <w:p w:rsidR="00DD70B6" w:rsidRDefault="00DD70B6">
                  <w:pPr>
                    <w:spacing w:after="77" w:line="20" w:lineRule="exact"/>
                  </w:pPr>
                </w:p>
              </w:txbxContent>
            </v:textbox>
            <w10:wrap type="square" anchorx="page" anchory="page"/>
          </v:shape>
        </w:pict>
      </w:r>
      <w:r>
        <w:pict>
          <v:shape id="_x0000_s1031" type="#_x0000_t202" style="position:absolute;margin-left:91.45pt;margin-top:201.15pt;width:451pt;height:543.85pt;z-index:-251660288;mso-wrap-distance-left:0;mso-wrap-distance-right:0;mso-position-horizontal-relative:page;mso-position-vertical-relative:page" filled="f" stroked="f">
            <v:textbox inset="0,0,0,0">
              <w:txbxContent>
                <w:p w:rsidR="00DD70B6" w:rsidRDefault="00822460">
                  <w:pPr>
                    <w:spacing w:line="239" w:lineRule="exact"/>
                    <w:ind w:left="504"/>
                    <w:textAlignment w:val="baseline"/>
                    <w:rPr>
                      <w:rFonts w:ascii="Arial" w:eastAsia="Arial" w:hAnsi="Arial"/>
                      <w:b/>
                      <w:color w:val="000000"/>
                      <w:spacing w:val="2"/>
                      <w:sz w:val="21"/>
                    </w:rPr>
                  </w:pPr>
                  <w:r>
                    <w:rPr>
                      <w:rFonts w:ascii="Arial" w:eastAsia="Arial" w:hAnsi="Arial"/>
                      <w:b/>
                      <w:color w:val="000000"/>
                      <w:spacing w:val="2"/>
                      <w:sz w:val="21"/>
                    </w:rPr>
                    <w:t>Re — Application by the Department of Social Services</w:t>
                  </w:r>
                </w:p>
                <w:p w:rsidR="00DD70B6" w:rsidRDefault="00822460">
                  <w:pPr>
                    <w:spacing w:before="6" w:line="245" w:lineRule="exact"/>
                    <w:ind w:left="2304"/>
                    <w:textAlignment w:val="baseline"/>
                    <w:rPr>
                      <w:rFonts w:ascii="Arial" w:eastAsia="Arial" w:hAnsi="Arial"/>
                      <w:b/>
                      <w:color w:val="000000"/>
                      <w:spacing w:val="3"/>
                      <w:sz w:val="21"/>
                    </w:rPr>
                  </w:pPr>
                  <w:r>
                    <w:rPr>
                      <w:rFonts w:ascii="Arial" w:eastAsia="Arial" w:hAnsi="Arial"/>
                      <w:b/>
                      <w:color w:val="000000"/>
                      <w:spacing w:val="3"/>
                      <w:sz w:val="21"/>
                    </w:rPr>
                    <w:t>(</w:t>
                  </w:r>
                  <w:proofErr w:type="gramStart"/>
                  <w:r>
                    <w:rPr>
                      <w:rFonts w:ascii="Arial" w:eastAsia="Arial" w:hAnsi="Arial"/>
                      <w:b/>
                      <w:color w:val="000000"/>
                      <w:spacing w:val="3"/>
                      <w:sz w:val="21"/>
                    </w:rPr>
                    <w:t>formerly</w:t>
                  </w:r>
                  <w:proofErr w:type="gramEnd"/>
                  <w:r>
                    <w:rPr>
                      <w:rFonts w:ascii="Arial" w:eastAsia="Arial" w:hAnsi="Arial"/>
                      <w:b/>
                      <w:color w:val="000000"/>
                      <w:spacing w:val="3"/>
                      <w:sz w:val="21"/>
                    </w:rPr>
                    <w:t xml:space="preserve"> </w:t>
                  </w:r>
                  <w:proofErr w:type="spellStart"/>
                  <w:r>
                    <w:rPr>
                      <w:rFonts w:ascii="Arial" w:eastAsia="Arial" w:hAnsi="Arial"/>
                      <w:b/>
                      <w:color w:val="000000"/>
                      <w:spacing w:val="3"/>
                      <w:sz w:val="21"/>
                    </w:rPr>
                    <w:t>FaHCSIA</w:t>
                  </w:r>
                  <w:proofErr w:type="spellEnd"/>
                  <w:r>
                    <w:rPr>
                      <w:rFonts w:ascii="Arial" w:eastAsia="Arial" w:hAnsi="Arial"/>
                      <w:b/>
                      <w:color w:val="000000"/>
                      <w:spacing w:val="3"/>
                      <w:sz w:val="21"/>
                    </w:rPr>
                    <w:t>)</w:t>
                  </w:r>
                </w:p>
                <w:p w:rsidR="00DD70B6" w:rsidRDefault="00822460">
                  <w:pPr>
                    <w:spacing w:before="9" w:line="245" w:lineRule="exact"/>
                    <w:ind w:left="936"/>
                    <w:textAlignment w:val="baseline"/>
                    <w:rPr>
                      <w:rFonts w:ascii="Arial" w:eastAsia="Arial" w:hAnsi="Arial"/>
                      <w:b/>
                      <w:color w:val="000000"/>
                      <w:spacing w:val="4"/>
                      <w:sz w:val="21"/>
                    </w:rPr>
                  </w:pPr>
                  <w:r>
                    <w:rPr>
                      <w:rFonts w:ascii="Arial" w:eastAsia="Arial" w:hAnsi="Arial"/>
                      <w:b/>
                      <w:color w:val="000000"/>
                      <w:spacing w:val="4"/>
                      <w:sz w:val="21"/>
                    </w:rPr>
                    <w:t>For an exemption under the Disability Discrimination Act 1992</w:t>
                  </w:r>
                </w:p>
                <w:p w:rsidR="00DD70B6" w:rsidRDefault="00822460">
                  <w:pPr>
                    <w:spacing w:before="514" w:line="245" w:lineRule="exact"/>
                    <w:textAlignment w:val="baseline"/>
                    <w:rPr>
                      <w:rFonts w:ascii="Arial" w:eastAsia="Arial" w:hAnsi="Arial"/>
                      <w:b/>
                      <w:color w:val="000000"/>
                      <w:spacing w:val="3"/>
                      <w:sz w:val="21"/>
                    </w:rPr>
                  </w:pPr>
                  <w:r>
                    <w:rPr>
                      <w:rFonts w:ascii="Arial" w:eastAsia="Arial" w:hAnsi="Arial"/>
                      <w:b/>
                      <w:color w:val="000000"/>
                      <w:spacing w:val="3"/>
                      <w:sz w:val="21"/>
                    </w:rPr>
                    <w:t>Introduction</w:t>
                  </w:r>
                </w:p>
                <w:p w:rsidR="00DD70B6" w:rsidRDefault="00822460">
                  <w:pPr>
                    <w:spacing w:before="9" w:line="252" w:lineRule="exact"/>
                    <w:ind w:right="720"/>
                    <w:textAlignment w:val="baseline"/>
                    <w:rPr>
                      <w:rFonts w:ascii="Arial" w:eastAsia="Arial" w:hAnsi="Arial"/>
                      <w:color w:val="000000"/>
                      <w:sz w:val="21"/>
                    </w:rPr>
                  </w:pPr>
                  <w:r>
                    <w:rPr>
                      <w:rFonts w:ascii="Arial" w:eastAsia="Arial" w:hAnsi="Arial"/>
                      <w:color w:val="000000"/>
                      <w:sz w:val="21"/>
                    </w:rPr>
                    <w:t xml:space="preserve">Latrobe Valley Enterprises lodges this submission in support of the application from the Department of Social Services (formerly the Department of Families, Housing, Community Services and Indigenous Affairs — </w:t>
                  </w:r>
                  <w:proofErr w:type="spellStart"/>
                  <w:r>
                    <w:rPr>
                      <w:rFonts w:ascii="Arial" w:eastAsia="Arial" w:hAnsi="Arial"/>
                      <w:color w:val="000000"/>
                      <w:sz w:val="21"/>
                    </w:rPr>
                    <w:t>FaHCSIA</w:t>
                  </w:r>
                  <w:proofErr w:type="spellEnd"/>
                  <w:r>
                    <w:rPr>
                      <w:rFonts w:ascii="Arial" w:eastAsia="Arial" w:hAnsi="Arial"/>
                      <w:color w:val="000000"/>
                      <w:sz w:val="21"/>
                    </w:rPr>
                    <w:t xml:space="preserve">). The exemption is sought in relation </w:t>
                  </w:r>
                  <w:r>
                    <w:rPr>
                      <w:rFonts w:ascii="Arial" w:eastAsia="Arial" w:hAnsi="Arial"/>
                      <w:color w:val="000000"/>
                      <w:sz w:val="21"/>
                    </w:rPr>
                    <w:t>to the use of the Business Services Wage Assessment Tool (BSWAT) that is used by Australian Disability Enterprises (ADEs). The BSWAT has been utilized since 2004 by at least 50% of ADE's to determine pro rata wages for their employees with a disability, kn</w:t>
                  </w:r>
                  <w:r>
                    <w:rPr>
                      <w:rFonts w:ascii="Arial" w:eastAsia="Arial" w:hAnsi="Arial"/>
                      <w:color w:val="000000"/>
                      <w:sz w:val="21"/>
                    </w:rPr>
                    <w:t>own as supported employees. Many other ADE's use wage assessment tools similar to the BSWAT.</w:t>
                  </w:r>
                </w:p>
                <w:p w:rsidR="00DD70B6" w:rsidRDefault="00822460">
                  <w:pPr>
                    <w:spacing w:before="8" w:line="252" w:lineRule="exact"/>
                    <w:ind w:right="936"/>
                    <w:textAlignment w:val="baseline"/>
                    <w:rPr>
                      <w:rFonts w:ascii="Arial" w:eastAsia="Arial" w:hAnsi="Arial"/>
                      <w:color w:val="000000"/>
                      <w:spacing w:val="3"/>
                      <w:sz w:val="21"/>
                    </w:rPr>
                  </w:pPr>
                  <w:r>
                    <w:rPr>
                      <w:rFonts w:ascii="Arial" w:eastAsia="Arial" w:hAnsi="Arial"/>
                      <w:color w:val="000000"/>
                      <w:spacing w:val="3"/>
                      <w:sz w:val="21"/>
                    </w:rPr>
                    <w:t xml:space="preserve">The application is made pursuant to section 44 of the Disability Discrimination Act 1992. The applicant seeks to exempt all Australian Disability Enterprises from </w:t>
                  </w:r>
                  <w:r>
                    <w:rPr>
                      <w:rFonts w:ascii="Arial" w:eastAsia="Arial" w:hAnsi="Arial"/>
                      <w:color w:val="000000"/>
                      <w:spacing w:val="3"/>
                      <w:sz w:val="21"/>
                    </w:rPr>
                    <w:t xml:space="preserve">sections 15 and 24 of the Disability Discrimination Act and the Commonwealth from section 29 of the Disability Discrimination Act. If the exemption was granted it would allow ADEs to continue to use the BSWAT to assess and pay pro rata wages for supported </w:t>
                  </w:r>
                  <w:r>
                    <w:rPr>
                      <w:rFonts w:ascii="Arial" w:eastAsia="Arial" w:hAnsi="Arial"/>
                      <w:color w:val="000000"/>
                      <w:spacing w:val="3"/>
                      <w:sz w:val="21"/>
                    </w:rPr>
                    <w:t>employees during the three year exemption period being sought by the applicant.</w:t>
                  </w:r>
                </w:p>
                <w:p w:rsidR="00DD70B6" w:rsidRDefault="00822460">
                  <w:pPr>
                    <w:spacing w:before="259" w:line="245" w:lineRule="exact"/>
                    <w:textAlignment w:val="baseline"/>
                    <w:rPr>
                      <w:rFonts w:ascii="Arial" w:eastAsia="Arial" w:hAnsi="Arial"/>
                      <w:b/>
                      <w:color w:val="000000"/>
                      <w:spacing w:val="4"/>
                      <w:sz w:val="21"/>
                    </w:rPr>
                  </w:pPr>
                  <w:r>
                    <w:rPr>
                      <w:rFonts w:ascii="Arial" w:eastAsia="Arial" w:hAnsi="Arial"/>
                      <w:b/>
                      <w:color w:val="000000"/>
                      <w:spacing w:val="4"/>
                      <w:sz w:val="21"/>
                    </w:rPr>
                    <w:t>Background to the exemption application</w:t>
                  </w:r>
                </w:p>
                <w:p w:rsidR="00DD70B6" w:rsidRDefault="00822460">
                  <w:pPr>
                    <w:spacing w:before="259" w:line="245" w:lineRule="exact"/>
                    <w:textAlignment w:val="baseline"/>
                    <w:rPr>
                      <w:rFonts w:ascii="Arial" w:eastAsia="Arial" w:hAnsi="Arial"/>
                      <w:b/>
                      <w:color w:val="000000"/>
                      <w:spacing w:val="4"/>
                      <w:sz w:val="21"/>
                    </w:rPr>
                  </w:pPr>
                  <w:proofErr w:type="gramStart"/>
                  <w:r>
                    <w:rPr>
                      <w:rFonts w:ascii="Arial" w:eastAsia="Arial" w:hAnsi="Arial"/>
                      <w:b/>
                      <w:color w:val="000000"/>
                      <w:spacing w:val="4"/>
                      <w:sz w:val="21"/>
                    </w:rPr>
                    <w:t>Legal proceedings against the BSWAT.</w:t>
                  </w:r>
                  <w:proofErr w:type="gramEnd"/>
                </w:p>
                <w:p w:rsidR="00DD70B6" w:rsidRDefault="00822460">
                  <w:pPr>
                    <w:spacing w:before="7" w:line="252" w:lineRule="exact"/>
                    <w:ind w:right="1080"/>
                    <w:textAlignment w:val="baseline"/>
                    <w:rPr>
                      <w:rFonts w:ascii="Arial" w:eastAsia="Arial" w:hAnsi="Arial"/>
                      <w:color w:val="000000"/>
                      <w:sz w:val="21"/>
                    </w:rPr>
                  </w:pPr>
                  <w:r>
                    <w:rPr>
                      <w:rFonts w:ascii="Arial" w:eastAsia="Arial" w:hAnsi="Arial"/>
                      <w:color w:val="000000"/>
                      <w:sz w:val="21"/>
                    </w:rPr>
                    <w:t>The long running case hinged on whether the BSWAT unfairly disadvantaged two supported employees under the Disability Discrimination Act 1992. The majority decision of the Federal Court held that the BSWAT did discriminate unreasonably. Given that the BSWA</w:t>
                  </w:r>
                  <w:r>
                    <w:rPr>
                      <w:rFonts w:ascii="Arial" w:eastAsia="Arial" w:hAnsi="Arial"/>
                      <w:color w:val="000000"/>
                      <w:sz w:val="21"/>
                    </w:rPr>
                    <w:t>T is owned by the Australian Government: and named in the Supported Employment Services Award, ADE's were confident in choosing the BSWAT as their wage assessment tool.</w:t>
                  </w:r>
                </w:p>
                <w:p w:rsidR="00DD70B6" w:rsidRDefault="00822460">
                  <w:pPr>
                    <w:spacing w:before="5" w:line="252" w:lineRule="exact"/>
                    <w:ind w:right="1008"/>
                    <w:textAlignment w:val="baseline"/>
                    <w:rPr>
                      <w:rFonts w:ascii="Arial" w:eastAsia="Arial" w:hAnsi="Arial"/>
                      <w:color w:val="000000"/>
                      <w:sz w:val="21"/>
                    </w:rPr>
                  </w:pPr>
                  <w:r>
                    <w:rPr>
                      <w:rFonts w:ascii="Arial" w:eastAsia="Arial" w:hAnsi="Arial"/>
                      <w:color w:val="000000"/>
                      <w:sz w:val="21"/>
                    </w:rPr>
                    <w:t>A requirement to suddenly change wage assessment tools that are used by a significant p</w:t>
                  </w:r>
                  <w:r>
                    <w:rPr>
                      <w:rFonts w:ascii="Arial" w:eastAsia="Arial" w:hAnsi="Arial"/>
                      <w:color w:val="000000"/>
                      <w:sz w:val="21"/>
                    </w:rPr>
                    <w:t xml:space="preserve">roportion of ADEs could seriously affect wage costs and </w:t>
                  </w:r>
                  <w:proofErr w:type="spellStart"/>
                  <w:r>
                    <w:rPr>
                      <w:rFonts w:ascii="Arial" w:eastAsia="Arial" w:hAnsi="Arial"/>
                      <w:color w:val="000000"/>
                      <w:sz w:val="21"/>
                    </w:rPr>
                    <w:t>organisational</w:t>
                  </w:r>
                  <w:proofErr w:type="spellEnd"/>
                  <w:r>
                    <w:rPr>
                      <w:rFonts w:ascii="Arial" w:eastAsia="Arial" w:hAnsi="Arial"/>
                      <w:color w:val="000000"/>
                      <w:sz w:val="21"/>
                    </w:rPr>
                    <w:t xml:space="preserve"> viability. This could seriously </w:t>
                  </w:r>
                  <w:proofErr w:type="spellStart"/>
                  <w:r>
                    <w:rPr>
                      <w:rFonts w:ascii="Arial" w:eastAsia="Arial" w:hAnsi="Arial"/>
                      <w:color w:val="000000"/>
                      <w:sz w:val="21"/>
                    </w:rPr>
                    <w:t>jeopardise</w:t>
                  </w:r>
                  <w:proofErr w:type="spellEnd"/>
                  <w:r>
                    <w:rPr>
                      <w:rFonts w:ascii="Arial" w:eastAsia="Arial" w:hAnsi="Arial"/>
                      <w:color w:val="000000"/>
                      <w:sz w:val="21"/>
                    </w:rPr>
                    <w:t xml:space="preserve"> the future employment prospects of thousands of supported employees.</w:t>
                  </w:r>
                </w:p>
                <w:p w:rsidR="00DD70B6" w:rsidRDefault="00822460">
                  <w:pPr>
                    <w:spacing w:before="246" w:line="255" w:lineRule="exact"/>
                    <w:ind w:right="936"/>
                    <w:textAlignment w:val="baseline"/>
                    <w:rPr>
                      <w:rFonts w:ascii="Arial" w:eastAsia="Arial" w:hAnsi="Arial"/>
                      <w:b/>
                      <w:color w:val="000000"/>
                      <w:sz w:val="21"/>
                    </w:rPr>
                  </w:pPr>
                  <w:r>
                    <w:rPr>
                      <w:rFonts w:ascii="Arial" w:eastAsia="Arial" w:hAnsi="Arial"/>
                      <w:b/>
                      <w:color w:val="000000"/>
                      <w:sz w:val="21"/>
                    </w:rPr>
                    <w:t>Why the exemption should be granted — ensuring movement to a satisfactory</w:t>
                  </w:r>
                  <w:r>
                    <w:rPr>
                      <w:rFonts w:ascii="Arial" w:eastAsia="Arial" w:hAnsi="Arial"/>
                      <w:b/>
                      <w:color w:val="000000"/>
                      <w:sz w:val="21"/>
                    </w:rPr>
                    <w:t xml:space="preserve"> outcome.</w:t>
                  </w:r>
                </w:p>
                <w:p w:rsidR="00DD70B6" w:rsidRDefault="00822460">
                  <w:pPr>
                    <w:spacing w:after="10" w:line="252" w:lineRule="exact"/>
                    <w:ind w:right="792"/>
                    <w:textAlignment w:val="baseline"/>
                    <w:rPr>
                      <w:rFonts w:ascii="Arial" w:eastAsia="Arial" w:hAnsi="Arial"/>
                      <w:color w:val="000000"/>
                      <w:sz w:val="21"/>
                    </w:rPr>
                  </w:pPr>
                  <w:r>
                    <w:rPr>
                      <w:rFonts w:ascii="Arial" w:eastAsia="Arial" w:hAnsi="Arial"/>
                      <w:color w:val="000000"/>
                      <w:sz w:val="21"/>
                    </w:rPr>
                    <w:t>Should the court case lead to the disqualification of the use of the BSWAT in ADEs, there is a serious risk that an estimated 10,500 supported employees with quite significant disabilities would lose their jobs. It would be impossible for the ADE</w:t>
                  </w:r>
                  <w:r>
                    <w:rPr>
                      <w:rFonts w:ascii="Arial" w:eastAsia="Arial" w:hAnsi="Arial"/>
                      <w:color w:val="000000"/>
                      <w:sz w:val="21"/>
                    </w:rPr>
                    <w:t>s to continue to provide employment if the costs of wages for supported employees blow out to be far greater than the income generated by their ADE.</w:t>
                  </w:r>
                </w:p>
              </w:txbxContent>
            </v:textbox>
            <w10:wrap type="square" anchorx="page" anchory="page"/>
          </v:shape>
        </w:pict>
      </w:r>
    </w:p>
    <w:p w:rsidR="00DD70B6" w:rsidRDefault="00DD70B6">
      <w:pPr>
        <w:sectPr w:rsidR="00DD70B6">
          <w:pgSz w:w="11914" w:h="16848"/>
          <w:pgMar w:top="1207" w:right="1042" w:bottom="1044" w:left="1829" w:header="720" w:footer="720" w:gutter="0"/>
          <w:cols w:space="720"/>
        </w:sectPr>
      </w:pPr>
    </w:p>
    <w:p w:rsidR="00DD70B6" w:rsidRDefault="00822460">
      <w:pPr>
        <w:textAlignment w:val="baseline"/>
        <w:rPr>
          <w:rFonts w:eastAsia="Times New Roman"/>
          <w:color w:val="000000"/>
          <w:sz w:val="24"/>
        </w:rPr>
      </w:pPr>
      <w:r>
        <w:lastRenderedPageBreak/>
        <w:pict>
          <v:line id="_x0000_s1029" style="position:absolute;z-index:251660288;mso-position-horizontal-relative:page;mso-position-vertical-relative:page" from="62.4pt,4.3pt" to="195.4pt,4.3pt" strokeweight=".7pt">
            <w10:wrap anchorx="page" anchory="page"/>
          </v:line>
        </w:pict>
      </w:r>
      <w:r>
        <w:pict>
          <v:line id="_x0000_s1028" style="position:absolute;z-index:251661312;mso-position-horizontal-relative:page;mso-position-vertical-relative:page" from="321.1pt,4.55pt" to="454.85pt,4.55pt" strokeweight=".7pt">
            <w10:wrap anchorx="page" anchory="page"/>
          </v:line>
        </w:pict>
      </w:r>
      <w:r>
        <w:pict>
          <v:shape id="_x0000_s1027" type="#_x0000_t202" style="position:absolute;margin-left:90.95pt;margin-top:71pt;width:416pt;height:671pt;z-index:-251658240;mso-wrap-distance-left:0;mso-wrap-distance-right:0;mso-position-horizontal-relative:page;mso-position-vertical-relative:page" filled="f" stroked="f">
            <v:textbox inset="0,0,0,0">
              <w:txbxContent>
                <w:p w:rsidR="00DD70B6" w:rsidRDefault="00822460">
                  <w:pPr>
                    <w:spacing w:line="252" w:lineRule="exact"/>
                    <w:ind w:right="720"/>
                    <w:textAlignment w:val="baseline"/>
                    <w:rPr>
                      <w:rFonts w:ascii="Arial" w:eastAsia="Arial" w:hAnsi="Arial"/>
                      <w:color w:val="000000"/>
                    </w:rPr>
                  </w:pPr>
                  <w:r>
                    <w:rPr>
                      <w:rFonts w:ascii="Arial" w:eastAsia="Arial" w:hAnsi="Arial"/>
                      <w:color w:val="000000"/>
                    </w:rPr>
                    <w:t xml:space="preserve">This would result in a totally unsatisfactory outcome for many of the supported employees currently working in ADEs, who would have no other options but to access </w:t>
                  </w:r>
                  <w:proofErr w:type="gramStart"/>
                  <w:r>
                    <w:rPr>
                      <w:rFonts w:ascii="Arial" w:eastAsia="Arial" w:hAnsi="Arial"/>
                      <w:color w:val="000000"/>
                    </w:rPr>
                    <w:t>non</w:t>
                  </w:r>
                  <w:proofErr w:type="gramEnd"/>
                  <w:r>
                    <w:rPr>
                      <w:rFonts w:ascii="Arial" w:eastAsia="Arial" w:hAnsi="Arial"/>
                      <w:color w:val="000000"/>
                    </w:rPr>
                    <w:t xml:space="preserve"> — vocational day programs.</w:t>
                  </w:r>
                </w:p>
                <w:p w:rsidR="00DD70B6" w:rsidRDefault="00822460">
                  <w:pPr>
                    <w:spacing w:before="253" w:line="253" w:lineRule="exact"/>
                    <w:textAlignment w:val="baseline"/>
                    <w:rPr>
                      <w:rFonts w:ascii="Arial" w:eastAsia="Arial" w:hAnsi="Arial"/>
                      <w:color w:val="000000"/>
                    </w:rPr>
                  </w:pPr>
                  <w:r>
                    <w:rPr>
                      <w:rFonts w:ascii="Arial" w:eastAsia="Arial" w:hAnsi="Arial"/>
                      <w:color w:val="000000"/>
                    </w:rPr>
                    <w:t xml:space="preserve">It should be noted that Australian Disability Enterprises are </w:t>
                  </w:r>
                  <w:r>
                    <w:rPr>
                      <w:rFonts w:ascii="Arial" w:eastAsia="Arial" w:hAnsi="Arial"/>
                      <w:color w:val="000000"/>
                    </w:rPr>
                    <w:t>quite unique in the commercial business sector. Their purpose is to help employees with significant disabilities experience the dignity of going to work and doing a real job. ADE's create employment opportunities and support people, who have significant di</w:t>
                  </w:r>
                  <w:r>
                    <w:rPr>
                      <w:rFonts w:ascii="Arial" w:eastAsia="Arial" w:hAnsi="Arial"/>
                      <w:color w:val="000000"/>
                    </w:rPr>
                    <w:t xml:space="preserve">sabilities that prevent them from obtaining and maintaining jobs in mainstream industries. If ADE's operated strictly like mainstream businesses, most of the work would be </w:t>
                  </w:r>
                  <w:proofErr w:type="spellStart"/>
                  <w:r>
                    <w:rPr>
                      <w:rFonts w:ascii="Arial" w:eastAsia="Arial" w:hAnsi="Arial"/>
                      <w:color w:val="000000"/>
                    </w:rPr>
                    <w:t>mechanised</w:t>
                  </w:r>
                  <w:proofErr w:type="spellEnd"/>
                  <w:r>
                    <w:rPr>
                      <w:rFonts w:ascii="Arial" w:eastAsia="Arial" w:hAnsi="Arial"/>
                      <w:color w:val="000000"/>
                    </w:rPr>
                    <w:t xml:space="preserve"> to keep </w:t>
                  </w:r>
                  <w:proofErr w:type="spellStart"/>
                  <w:r>
                    <w:rPr>
                      <w:rFonts w:ascii="Arial" w:eastAsia="Arial" w:hAnsi="Arial"/>
                      <w:color w:val="000000"/>
                    </w:rPr>
                    <w:t>labour</w:t>
                  </w:r>
                  <w:proofErr w:type="spellEnd"/>
                  <w:r>
                    <w:rPr>
                      <w:rFonts w:ascii="Arial" w:eastAsia="Arial" w:hAnsi="Arial"/>
                      <w:color w:val="000000"/>
                    </w:rPr>
                    <w:t xml:space="preserve"> costs to a minimum in order to </w:t>
                  </w:r>
                  <w:proofErr w:type="spellStart"/>
                  <w:r>
                    <w:rPr>
                      <w:rFonts w:ascii="Arial" w:eastAsia="Arial" w:hAnsi="Arial"/>
                      <w:color w:val="000000"/>
                    </w:rPr>
                    <w:t>maximise</w:t>
                  </w:r>
                  <w:proofErr w:type="spellEnd"/>
                  <w:r>
                    <w:rPr>
                      <w:rFonts w:ascii="Arial" w:eastAsia="Arial" w:hAnsi="Arial"/>
                      <w:color w:val="000000"/>
                    </w:rPr>
                    <w:t xml:space="preserve"> profits.</w:t>
                  </w:r>
                </w:p>
                <w:p w:rsidR="00DD70B6" w:rsidRDefault="00822460">
                  <w:pPr>
                    <w:spacing w:before="253" w:line="253" w:lineRule="exact"/>
                    <w:textAlignment w:val="baseline"/>
                    <w:rPr>
                      <w:rFonts w:ascii="Arial" w:eastAsia="Arial" w:hAnsi="Arial"/>
                      <w:color w:val="000000"/>
                    </w:rPr>
                  </w:pPr>
                  <w:r>
                    <w:rPr>
                      <w:rFonts w:ascii="Arial" w:eastAsia="Arial" w:hAnsi="Arial"/>
                      <w:color w:val="000000"/>
                    </w:rPr>
                    <w:t>Should th</w:t>
                  </w:r>
                  <w:r>
                    <w:rPr>
                      <w:rFonts w:ascii="Arial" w:eastAsia="Arial" w:hAnsi="Arial"/>
                      <w:color w:val="000000"/>
                    </w:rPr>
                    <w:t>e exemption be granted, this would enable the ADE sector and other relevant stakeholders the opportunity to actively pursue a solution during the period of the exemption. Latrobe Valley Enterprises advocates that a reference group be established in order t</w:t>
                  </w:r>
                  <w:r>
                    <w:rPr>
                      <w:rFonts w:ascii="Arial" w:eastAsia="Arial" w:hAnsi="Arial"/>
                      <w:color w:val="000000"/>
                    </w:rPr>
                    <w:t>o ensure widespread sector consultation and involvement in any review of wage tools.</w:t>
                  </w:r>
                </w:p>
                <w:p w:rsidR="00DD70B6" w:rsidRDefault="00822460">
                  <w:pPr>
                    <w:spacing w:before="252" w:line="253" w:lineRule="exact"/>
                    <w:textAlignment w:val="baseline"/>
                    <w:rPr>
                      <w:rFonts w:ascii="Arial" w:eastAsia="Arial" w:hAnsi="Arial"/>
                      <w:b/>
                      <w:color w:val="000000"/>
                      <w:spacing w:val="-2"/>
                    </w:rPr>
                  </w:pPr>
                  <w:r>
                    <w:rPr>
                      <w:rFonts w:ascii="Arial" w:eastAsia="Arial" w:hAnsi="Arial"/>
                      <w:b/>
                      <w:color w:val="000000"/>
                      <w:spacing w:val="-2"/>
                    </w:rPr>
                    <w:t xml:space="preserve">A concurrent remedy — </w:t>
                  </w:r>
                  <w:proofErr w:type="gramStart"/>
                  <w:r>
                    <w:rPr>
                      <w:rFonts w:ascii="Arial" w:eastAsia="Arial" w:hAnsi="Arial"/>
                      <w:b/>
                      <w:color w:val="000000"/>
                      <w:spacing w:val="-2"/>
                    </w:rPr>
                    <w:t>Strengthening</w:t>
                  </w:r>
                  <w:proofErr w:type="gramEnd"/>
                  <w:r>
                    <w:rPr>
                      <w:rFonts w:ascii="Arial" w:eastAsia="Arial" w:hAnsi="Arial"/>
                      <w:b/>
                      <w:color w:val="000000"/>
                      <w:spacing w:val="-2"/>
                    </w:rPr>
                    <w:t xml:space="preserve"> the DDA</w:t>
                  </w:r>
                </w:p>
                <w:p w:rsidR="00DD70B6" w:rsidRDefault="00822460">
                  <w:pPr>
                    <w:spacing w:line="252" w:lineRule="exact"/>
                    <w:textAlignment w:val="baseline"/>
                    <w:rPr>
                      <w:rFonts w:ascii="Arial" w:eastAsia="Arial" w:hAnsi="Arial"/>
                      <w:color w:val="000000"/>
                      <w:spacing w:val="1"/>
                    </w:rPr>
                  </w:pPr>
                  <w:r>
                    <w:rPr>
                      <w:rFonts w:ascii="Arial" w:eastAsia="Arial" w:hAnsi="Arial"/>
                      <w:color w:val="000000"/>
                      <w:spacing w:val="1"/>
                    </w:rPr>
                    <w:t xml:space="preserve">Latrobe Valley Enterprises believes that Section 47 of the Disability Discrimination Act should be amended to clarify its intent to cover </w:t>
                  </w:r>
                  <w:proofErr w:type="spellStart"/>
                  <w:r>
                    <w:rPr>
                      <w:rFonts w:ascii="Arial" w:eastAsia="Arial" w:hAnsi="Arial"/>
                      <w:color w:val="000000"/>
                      <w:spacing w:val="1"/>
                    </w:rPr>
                    <w:t>authorised</w:t>
                  </w:r>
                  <w:proofErr w:type="spellEnd"/>
                  <w:r>
                    <w:rPr>
                      <w:rFonts w:ascii="Arial" w:eastAsia="Arial" w:hAnsi="Arial"/>
                      <w:color w:val="000000"/>
                      <w:spacing w:val="1"/>
                    </w:rPr>
                    <w:t xml:space="preserve"> wage assessment tools that are named in the Supported Employment Award. This would help ensure that wage se</w:t>
                  </w:r>
                  <w:r>
                    <w:rPr>
                      <w:rFonts w:ascii="Arial" w:eastAsia="Arial" w:hAnsi="Arial"/>
                      <w:color w:val="000000"/>
                      <w:spacing w:val="1"/>
                    </w:rPr>
                    <w:t>tting arrangements are reviewed and decided in the industrial arena and not in settings such as the Australian Human Rights Commission or the Federal Court.</w:t>
                  </w:r>
                </w:p>
                <w:p w:rsidR="00DD70B6" w:rsidRDefault="00822460">
                  <w:pPr>
                    <w:spacing w:before="254" w:line="253" w:lineRule="exact"/>
                    <w:textAlignment w:val="baseline"/>
                    <w:rPr>
                      <w:rFonts w:ascii="Arial" w:eastAsia="Arial" w:hAnsi="Arial"/>
                      <w:b/>
                      <w:color w:val="000000"/>
                    </w:rPr>
                  </w:pPr>
                  <w:r>
                    <w:rPr>
                      <w:rFonts w:ascii="Arial" w:eastAsia="Arial" w:hAnsi="Arial"/>
                      <w:b/>
                      <w:color w:val="000000"/>
                    </w:rPr>
                    <w:t>Investigating alternatives to the BSWAT</w:t>
                  </w:r>
                </w:p>
                <w:p w:rsidR="00DD70B6" w:rsidRDefault="00822460">
                  <w:pPr>
                    <w:spacing w:line="252" w:lineRule="exact"/>
                    <w:textAlignment w:val="baseline"/>
                    <w:rPr>
                      <w:rFonts w:ascii="Arial" w:eastAsia="Arial" w:hAnsi="Arial"/>
                      <w:color w:val="000000"/>
                    </w:rPr>
                  </w:pPr>
                  <w:r>
                    <w:rPr>
                      <w:rFonts w:ascii="Arial" w:eastAsia="Arial" w:hAnsi="Arial"/>
                      <w:color w:val="000000"/>
                    </w:rPr>
                    <w:t>The Supported Wage System is used to determine pro rata wages of people with a disability working in mainstream employment. The Supported Wage System measures the productivity of employees with a disability who can competently do the same work as other wor</w:t>
                  </w:r>
                  <w:r>
                    <w:rPr>
                      <w:rFonts w:ascii="Arial" w:eastAsia="Arial" w:hAnsi="Arial"/>
                      <w:color w:val="000000"/>
                    </w:rPr>
                    <w:t>kers in mainstream industries. .However, Latrobe Valley Enterprises believes strongly that the Supported Wage System assessment is not a suitable wage assessment mechanism for determining supported employee pro rata wages in a supported employment setting.</w:t>
                  </w:r>
                  <w:r>
                    <w:rPr>
                      <w:rFonts w:ascii="Arial" w:eastAsia="Arial" w:hAnsi="Arial"/>
                      <w:color w:val="000000"/>
                    </w:rPr>
                    <w:t xml:space="preserve"> Many supported employees are very limited in the required skills to complete a whole task from start to finish. Often supported employees can only perform one or two parts of a task. Most employees in ADE's require high level supervision and ongoing suppo</w:t>
                  </w:r>
                  <w:r>
                    <w:rPr>
                      <w:rFonts w:ascii="Arial" w:eastAsia="Arial" w:hAnsi="Arial"/>
                      <w:color w:val="000000"/>
                    </w:rPr>
                    <w:t>rt from staff to remain focused on the work they are doing.</w:t>
                  </w:r>
                </w:p>
                <w:p w:rsidR="00DD70B6" w:rsidRDefault="00822460">
                  <w:pPr>
                    <w:spacing w:line="253" w:lineRule="exact"/>
                    <w:ind w:right="144"/>
                    <w:textAlignment w:val="baseline"/>
                    <w:rPr>
                      <w:rFonts w:ascii="Arial" w:eastAsia="Arial" w:hAnsi="Arial"/>
                      <w:color w:val="000000"/>
                    </w:rPr>
                  </w:pPr>
                  <w:r>
                    <w:rPr>
                      <w:rFonts w:ascii="Arial" w:eastAsia="Arial" w:hAnsi="Arial"/>
                      <w:color w:val="000000"/>
                    </w:rPr>
                    <w:t>Latrobe Valley Enterprises would welcome and support the development of a new wage assessment tool for supported employment that would not be open to the type of criticism that has been directed a</w:t>
                  </w:r>
                  <w:r>
                    <w:rPr>
                      <w:rFonts w:ascii="Arial" w:eastAsia="Arial" w:hAnsi="Arial"/>
                      <w:color w:val="000000"/>
                    </w:rPr>
                    <w:t>t the BSWAT.</w:t>
                  </w:r>
                </w:p>
                <w:p w:rsidR="00DD70B6" w:rsidRDefault="00822460">
                  <w:pPr>
                    <w:spacing w:before="250" w:line="253" w:lineRule="exact"/>
                    <w:textAlignment w:val="baseline"/>
                    <w:rPr>
                      <w:rFonts w:ascii="Arial" w:eastAsia="Arial" w:hAnsi="Arial"/>
                      <w:b/>
                      <w:color w:val="000000"/>
                    </w:rPr>
                  </w:pPr>
                  <w:r>
                    <w:rPr>
                      <w:rFonts w:ascii="Arial" w:eastAsia="Arial" w:hAnsi="Arial"/>
                      <w:b/>
                      <w:color w:val="000000"/>
                    </w:rPr>
                    <w:t>Conclusion</w:t>
                  </w:r>
                </w:p>
                <w:p w:rsidR="00DD70B6" w:rsidRDefault="00822460">
                  <w:pPr>
                    <w:spacing w:line="253" w:lineRule="exact"/>
                    <w:textAlignment w:val="baseline"/>
                    <w:rPr>
                      <w:rFonts w:ascii="Arial" w:eastAsia="Arial" w:hAnsi="Arial"/>
                      <w:color w:val="000000"/>
                    </w:rPr>
                  </w:pPr>
                  <w:r>
                    <w:rPr>
                      <w:rFonts w:ascii="Arial" w:eastAsia="Arial" w:hAnsi="Arial"/>
                      <w:color w:val="000000"/>
                    </w:rPr>
                    <w:t xml:space="preserve">In regard to wage setting in Australian Disability Enterprises, Latrobe Valley Enterprises supports a sensible solution that is totally fair to supported employees in paying wages that reflect their contribution to the viability of </w:t>
                  </w:r>
                  <w:r>
                    <w:rPr>
                      <w:rFonts w:ascii="Arial" w:eastAsia="Arial" w:hAnsi="Arial"/>
                      <w:color w:val="000000"/>
                    </w:rPr>
                    <w:t xml:space="preserve">the businesses they work in, but does not </w:t>
                  </w:r>
                  <w:proofErr w:type="spellStart"/>
                  <w:r>
                    <w:rPr>
                      <w:rFonts w:ascii="Arial" w:eastAsia="Arial" w:hAnsi="Arial"/>
                      <w:color w:val="000000"/>
                    </w:rPr>
                    <w:t>jeopardise</w:t>
                  </w:r>
                  <w:proofErr w:type="spellEnd"/>
                  <w:r>
                    <w:rPr>
                      <w:rFonts w:ascii="Arial" w:eastAsia="Arial" w:hAnsi="Arial"/>
                      <w:color w:val="000000"/>
                    </w:rPr>
                    <w:t xml:space="preserve"> the viability of their jobs or abruptly cut off their future employment opportunities.</w:t>
                  </w:r>
                </w:p>
                <w:p w:rsidR="00DD70B6" w:rsidRDefault="00822460">
                  <w:pPr>
                    <w:spacing w:before="248" w:after="16" w:line="253" w:lineRule="exact"/>
                    <w:textAlignment w:val="baseline"/>
                    <w:rPr>
                      <w:rFonts w:ascii="Arial" w:eastAsia="Arial" w:hAnsi="Arial"/>
                      <w:color w:val="000000"/>
                    </w:rPr>
                  </w:pPr>
                  <w:r>
                    <w:rPr>
                      <w:rFonts w:ascii="Arial" w:eastAsia="Arial" w:hAnsi="Arial"/>
                      <w:color w:val="000000"/>
                    </w:rPr>
                    <w:t xml:space="preserve">Consequently, Latrobe Valley Enterprises strongly supports the Department of Social Services exemption application, </w:t>
                  </w:r>
                  <w:r>
                    <w:rPr>
                      <w:rFonts w:ascii="Arial" w:eastAsia="Arial" w:hAnsi="Arial"/>
                      <w:color w:val="000000"/>
                    </w:rPr>
                    <w:t>as well as advocating for and supporting a comprehensive process that aims to resolve issues of wage determination for employees with a disability working in Australian Disability Enterprises.</w:t>
                  </w:r>
                </w:p>
              </w:txbxContent>
            </v:textbox>
            <w10:wrap type="square" anchorx="page" anchory="page"/>
          </v:shape>
        </w:pict>
      </w:r>
      <w:r>
        <w:pict>
          <v:shape id="_x0000_s1026" type="#_x0000_t202" style="position:absolute;margin-left:468.25pt;margin-top:.95pt;width:110.65pt;height:60pt;z-index:-251657216;mso-wrap-distance-left:0;mso-wrap-distance-right:0;mso-position-horizontal-relative:page;mso-position-vertical-relative:page" filled="f" stroked="f">
            <v:textbox inset="0,0,0,0">
              <w:txbxContent>
                <w:p w:rsidR="00DD70B6" w:rsidRDefault="00822460">
                  <w:pPr>
                    <w:textAlignment w:val="baseline"/>
                  </w:pPr>
                  <w:r>
                    <w:rPr>
                      <w:noProof/>
                      <w:lang w:val="en-AU" w:eastAsia="en-AU"/>
                    </w:rPr>
                    <w:drawing>
                      <wp:inline distT="0" distB="0" distL="0" distR="0">
                        <wp:extent cx="1405255" cy="762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405255" cy="762000"/>
                                </a:xfrm>
                                <a:prstGeom prst="rect">
                                  <a:avLst/>
                                </a:prstGeom>
                              </pic:spPr>
                            </pic:pic>
                          </a:graphicData>
                        </a:graphic>
                      </wp:inline>
                    </w:drawing>
                  </w:r>
                </w:p>
              </w:txbxContent>
            </v:textbox>
            <w10:wrap type="square" anchorx="page" anchory="page"/>
          </v:shape>
        </w:pict>
      </w:r>
      <w:bookmarkStart w:id="0" w:name="_GoBack"/>
      <w:bookmarkEnd w:id="0"/>
    </w:p>
    <w:sectPr w:rsidR="00DD70B6">
      <w:pgSz w:w="11914" w:h="16848"/>
      <w:pgMar w:top="19" w:right="336" w:bottom="324" w:left="93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D70B6"/>
    <w:rsid w:val="00822460"/>
    <w:rsid w:val="00DD7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60"/>
    <w:rPr>
      <w:rFonts w:ascii="Tahoma" w:hAnsi="Tahoma" w:cs="Tahoma"/>
      <w:sz w:val="16"/>
      <w:szCs w:val="16"/>
    </w:rPr>
  </w:style>
  <w:style w:type="character" w:customStyle="1" w:styleId="BalloonTextChar">
    <w:name w:val="Balloon Text Char"/>
    <w:basedOn w:val="DefaultParagraphFont"/>
    <w:link w:val="BalloonText"/>
    <w:uiPriority w:val="99"/>
    <w:semiHidden/>
    <w:rsid w:val="00822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60"/>
    <w:rPr>
      <w:rFonts w:ascii="Tahoma" w:hAnsi="Tahoma" w:cs="Tahoma"/>
      <w:sz w:val="16"/>
      <w:szCs w:val="16"/>
    </w:rPr>
  </w:style>
  <w:style w:type="character" w:customStyle="1" w:styleId="BalloonTextChar">
    <w:name w:val="Balloon Text Char"/>
    <w:basedOn w:val="DefaultParagraphFont"/>
    <w:link w:val="BalloonText"/>
    <w:uiPriority w:val="99"/>
    <w:semiHidden/>
    <w:rsid w:val="00822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lve.com.au" TargetMode="External"/><Relationship Id="rId5" Type="http://schemas.openxmlformats.org/officeDocument/2006/relationships/hyperlink" Target="mailto:office@lv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2013-12-03T05:37:00Z</dcterms:created>
  <dcterms:modified xsi:type="dcterms:W3CDTF">2013-12-03T05:37:00Z</dcterms:modified>
</cp:coreProperties>
</file>