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7A" w:rsidRPr="00492D96" w:rsidRDefault="00051736" w:rsidP="00492D96">
      <w:pPr>
        <w:spacing w:after="360"/>
        <w:rPr>
          <w:rFonts w:ascii="Arial" w:hAnsi="Arial" w:cs="Arial"/>
          <w:b/>
          <w:bCs/>
          <w:color w:val="000000"/>
          <w:sz w:val="32"/>
          <w:szCs w:val="32"/>
          <w:lang w:val="en-US"/>
        </w:rPr>
      </w:pPr>
      <w:bookmarkStart w:id="0" w:name="_GoBack"/>
      <w:bookmarkEnd w:id="0"/>
      <w:r>
        <w:rPr>
          <w:rFonts w:ascii="Arial" w:hAnsi="Arial" w:cs="Arial"/>
          <w:noProof/>
          <w:lang w:eastAsia="en-AU"/>
        </w:rPr>
        <w:drawing>
          <wp:inline distT="0" distB="0" distL="0" distR="0" wp14:anchorId="4C319B67" wp14:editId="2623A12D">
            <wp:extent cx="1439545" cy="819150"/>
            <wp:effectExtent l="0" t="0" r="8255" b="0"/>
            <wp:docPr id="1" name="Picture 1" descr="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819150"/>
                    </a:xfrm>
                    <a:prstGeom prst="rect">
                      <a:avLst/>
                    </a:prstGeom>
                    <a:noFill/>
                    <a:ln>
                      <a:noFill/>
                    </a:ln>
                  </pic:spPr>
                </pic:pic>
              </a:graphicData>
            </a:graphic>
          </wp:inline>
        </w:drawing>
      </w:r>
    </w:p>
    <w:p w:rsidR="002B6DAF" w:rsidRPr="002B6DAF" w:rsidRDefault="00381804" w:rsidP="00051736">
      <w:pPr>
        <w:spacing w:after="0" w:line="240" w:lineRule="auto"/>
        <w:jc w:val="center"/>
        <w:rPr>
          <w:rFonts w:ascii="Arial" w:hAnsi="Arial" w:cs="Arial"/>
          <w:b/>
          <w:sz w:val="32"/>
          <w:szCs w:val="32"/>
        </w:rPr>
      </w:pPr>
      <w:r w:rsidRPr="002B6DAF">
        <w:rPr>
          <w:rFonts w:ascii="Arial" w:hAnsi="Arial" w:cs="Arial"/>
          <w:b/>
          <w:sz w:val="32"/>
          <w:szCs w:val="32"/>
        </w:rPr>
        <w:t>Temporar</w:t>
      </w:r>
      <w:r w:rsidR="002B6DAF" w:rsidRPr="002B6DAF">
        <w:rPr>
          <w:rFonts w:ascii="Arial" w:hAnsi="Arial" w:cs="Arial"/>
          <w:b/>
          <w:sz w:val="32"/>
          <w:szCs w:val="32"/>
        </w:rPr>
        <w:t>y exemption sought from the DDA</w:t>
      </w:r>
    </w:p>
    <w:p w:rsidR="00381804" w:rsidRPr="002B6DAF" w:rsidRDefault="00381804" w:rsidP="0036497A">
      <w:pPr>
        <w:spacing w:after="0" w:line="240" w:lineRule="auto"/>
        <w:jc w:val="center"/>
        <w:rPr>
          <w:rFonts w:ascii="Arial" w:hAnsi="Arial" w:cs="Arial"/>
          <w:b/>
          <w:sz w:val="32"/>
          <w:szCs w:val="32"/>
        </w:rPr>
      </w:pPr>
      <w:r w:rsidRPr="002B6DAF">
        <w:rPr>
          <w:rFonts w:ascii="Arial" w:hAnsi="Arial" w:cs="Arial"/>
          <w:b/>
          <w:sz w:val="32"/>
          <w:szCs w:val="32"/>
        </w:rPr>
        <w:t xml:space="preserve">by </w:t>
      </w:r>
      <w:r w:rsidR="0036497A">
        <w:rPr>
          <w:rFonts w:ascii="Arial" w:hAnsi="Arial" w:cs="Arial"/>
          <w:b/>
          <w:sz w:val="32"/>
          <w:szCs w:val="32"/>
        </w:rPr>
        <w:t xml:space="preserve">the </w:t>
      </w:r>
      <w:r w:rsidR="002F274B" w:rsidRPr="002B6DAF">
        <w:rPr>
          <w:rFonts w:ascii="Arial" w:hAnsi="Arial" w:cs="Arial"/>
          <w:b/>
          <w:sz w:val="32"/>
          <w:szCs w:val="32"/>
        </w:rPr>
        <w:t>D</w:t>
      </w:r>
      <w:r w:rsidR="002B6DAF" w:rsidRPr="002B6DAF">
        <w:rPr>
          <w:rFonts w:ascii="Arial" w:hAnsi="Arial" w:cs="Arial"/>
          <w:b/>
          <w:sz w:val="32"/>
          <w:szCs w:val="32"/>
        </w:rPr>
        <w:t>epartment of Social Services</w:t>
      </w:r>
      <w:r w:rsidR="002F274B" w:rsidRPr="002B6DAF">
        <w:rPr>
          <w:rFonts w:ascii="Arial" w:hAnsi="Arial" w:cs="Arial"/>
          <w:b/>
          <w:sz w:val="32"/>
          <w:szCs w:val="32"/>
        </w:rPr>
        <w:t xml:space="preserve"> (formerly </w:t>
      </w:r>
      <w:r w:rsidRPr="002B6DAF">
        <w:rPr>
          <w:rFonts w:ascii="Arial" w:hAnsi="Arial" w:cs="Arial"/>
          <w:b/>
          <w:sz w:val="32"/>
          <w:szCs w:val="32"/>
        </w:rPr>
        <w:t>FaHCSIA</w:t>
      </w:r>
      <w:r w:rsidR="002F274B" w:rsidRPr="002B6DAF">
        <w:rPr>
          <w:rFonts w:ascii="Arial" w:hAnsi="Arial" w:cs="Arial"/>
          <w:b/>
          <w:sz w:val="32"/>
          <w:szCs w:val="32"/>
        </w:rPr>
        <w:t>)</w:t>
      </w:r>
      <w:r w:rsidR="002B6DAF">
        <w:rPr>
          <w:rFonts w:ascii="Arial" w:hAnsi="Arial" w:cs="Arial"/>
          <w:b/>
          <w:sz w:val="32"/>
          <w:szCs w:val="32"/>
        </w:rPr>
        <w:t xml:space="preserve"> and</w:t>
      </w:r>
      <w:r w:rsidR="0036497A">
        <w:rPr>
          <w:rFonts w:ascii="Arial" w:hAnsi="Arial" w:cs="Arial"/>
          <w:b/>
          <w:sz w:val="32"/>
          <w:szCs w:val="32"/>
        </w:rPr>
        <w:t xml:space="preserve"> </w:t>
      </w:r>
      <w:r w:rsidRPr="002B6DAF">
        <w:rPr>
          <w:rFonts w:ascii="Arial" w:hAnsi="Arial" w:cs="Arial"/>
          <w:b/>
          <w:sz w:val="32"/>
          <w:szCs w:val="32"/>
        </w:rPr>
        <w:t>Au</w:t>
      </w:r>
      <w:r w:rsidR="006F5321" w:rsidRPr="002B6DAF">
        <w:rPr>
          <w:rFonts w:ascii="Arial" w:hAnsi="Arial" w:cs="Arial"/>
          <w:b/>
          <w:sz w:val="32"/>
          <w:szCs w:val="32"/>
        </w:rPr>
        <w:t>stralian Disability Enterprises</w:t>
      </w:r>
    </w:p>
    <w:p w:rsidR="002B6DAF" w:rsidRPr="002B6DAF" w:rsidRDefault="002B6DAF" w:rsidP="00051736">
      <w:pPr>
        <w:spacing w:after="0" w:line="240" w:lineRule="auto"/>
        <w:jc w:val="center"/>
        <w:rPr>
          <w:rFonts w:ascii="Arial" w:hAnsi="Arial" w:cs="Arial"/>
          <w:b/>
          <w:sz w:val="32"/>
          <w:szCs w:val="32"/>
        </w:rPr>
      </w:pPr>
    </w:p>
    <w:p w:rsidR="002B6DAF" w:rsidRPr="002B6DAF" w:rsidRDefault="002B6DAF" w:rsidP="00492D96">
      <w:pPr>
        <w:spacing w:after="0" w:line="240" w:lineRule="auto"/>
        <w:jc w:val="center"/>
        <w:rPr>
          <w:rFonts w:ascii="Arial" w:hAnsi="Arial" w:cs="Arial"/>
          <w:b/>
          <w:sz w:val="32"/>
          <w:szCs w:val="32"/>
        </w:rPr>
      </w:pPr>
      <w:r w:rsidRPr="002B6DAF">
        <w:rPr>
          <w:rFonts w:ascii="Arial" w:hAnsi="Arial" w:cs="Arial"/>
          <w:b/>
          <w:bCs/>
          <w:color w:val="000000"/>
          <w:sz w:val="32"/>
          <w:szCs w:val="32"/>
          <w:lang w:val="en-US"/>
        </w:rPr>
        <w:t xml:space="preserve">Submission </w:t>
      </w:r>
      <w:r w:rsidRPr="002B6DAF">
        <w:rPr>
          <w:rFonts w:ascii="Arial" w:hAnsi="Arial" w:cs="Arial"/>
          <w:b/>
          <w:sz w:val="32"/>
          <w:szCs w:val="32"/>
        </w:rPr>
        <w:t>to the Australian Human Rights Commission</w:t>
      </w:r>
    </w:p>
    <w:p w:rsidR="002B6DAF" w:rsidRPr="00492D96" w:rsidRDefault="002B6DAF" w:rsidP="002B6DAF">
      <w:pPr>
        <w:spacing w:after="0" w:line="240" w:lineRule="auto"/>
        <w:jc w:val="center"/>
        <w:rPr>
          <w:rFonts w:ascii="Arial" w:hAnsi="Arial" w:cs="Arial"/>
          <w:sz w:val="32"/>
          <w:szCs w:val="32"/>
        </w:rPr>
      </w:pPr>
      <w:r w:rsidRPr="00492D96">
        <w:rPr>
          <w:rFonts w:ascii="Arial" w:hAnsi="Arial" w:cs="Arial"/>
          <w:sz w:val="32"/>
          <w:szCs w:val="32"/>
        </w:rPr>
        <w:t>October 2013</w:t>
      </w:r>
    </w:p>
    <w:p w:rsidR="00051736" w:rsidRDefault="00051736" w:rsidP="001D3B15">
      <w:pPr>
        <w:spacing w:after="0" w:line="240" w:lineRule="auto"/>
        <w:rPr>
          <w:rFonts w:ascii="Arial" w:hAnsi="Arial" w:cs="Arial"/>
        </w:rPr>
      </w:pPr>
    </w:p>
    <w:p w:rsidR="00051736" w:rsidRDefault="00051736" w:rsidP="001D3B15">
      <w:pPr>
        <w:spacing w:after="0" w:line="240" w:lineRule="auto"/>
        <w:rPr>
          <w:rFonts w:ascii="Arial" w:hAnsi="Arial" w:cs="Arial"/>
          <w:sz w:val="24"/>
          <w:szCs w:val="24"/>
        </w:rPr>
      </w:pPr>
    </w:p>
    <w:p w:rsidR="009643BF" w:rsidRPr="00051736" w:rsidRDefault="00BE4A42" w:rsidP="001D3B15">
      <w:pPr>
        <w:spacing w:after="0" w:line="240" w:lineRule="auto"/>
        <w:rPr>
          <w:rFonts w:ascii="Arial" w:hAnsi="Arial" w:cs="Arial"/>
          <w:sz w:val="24"/>
          <w:szCs w:val="24"/>
        </w:rPr>
      </w:pPr>
      <w:r w:rsidRPr="00051736">
        <w:rPr>
          <w:rFonts w:ascii="Arial" w:hAnsi="Arial" w:cs="Arial"/>
          <w:sz w:val="24"/>
          <w:szCs w:val="24"/>
        </w:rPr>
        <w:t>N</w:t>
      </w:r>
      <w:r w:rsidR="00051736" w:rsidRPr="00051736">
        <w:rPr>
          <w:rFonts w:ascii="Arial" w:hAnsi="Arial" w:cs="Arial"/>
          <w:sz w:val="24"/>
          <w:szCs w:val="24"/>
        </w:rPr>
        <w:t xml:space="preserve">ational </w:t>
      </w:r>
      <w:r w:rsidRPr="00051736">
        <w:rPr>
          <w:rFonts w:ascii="Arial" w:hAnsi="Arial" w:cs="Arial"/>
          <w:sz w:val="24"/>
          <w:szCs w:val="24"/>
        </w:rPr>
        <w:t>D</w:t>
      </w:r>
      <w:r w:rsidR="00051736" w:rsidRPr="00051736">
        <w:rPr>
          <w:rFonts w:ascii="Arial" w:hAnsi="Arial" w:cs="Arial"/>
          <w:sz w:val="24"/>
          <w:szCs w:val="24"/>
        </w:rPr>
        <w:t xml:space="preserve">isability </w:t>
      </w:r>
      <w:r w:rsidRPr="00051736">
        <w:rPr>
          <w:rFonts w:ascii="Arial" w:hAnsi="Arial" w:cs="Arial"/>
          <w:sz w:val="24"/>
          <w:szCs w:val="24"/>
        </w:rPr>
        <w:t>S</w:t>
      </w:r>
      <w:r w:rsidR="00051736" w:rsidRPr="00051736">
        <w:rPr>
          <w:rFonts w:ascii="Arial" w:hAnsi="Arial" w:cs="Arial"/>
          <w:sz w:val="24"/>
          <w:szCs w:val="24"/>
        </w:rPr>
        <w:t>ervices (NDS)</w:t>
      </w:r>
      <w:r w:rsidRPr="00051736">
        <w:rPr>
          <w:rFonts w:ascii="Arial" w:hAnsi="Arial" w:cs="Arial"/>
          <w:sz w:val="24"/>
          <w:szCs w:val="24"/>
        </w:rPr>
        <w:t xml:space="preserve"> </w:t>
      </w:r>
      <w:r w:rsidR="001D3B15" w:rsidRPr="00051736">
        <w:rPr>
          <w:rFonts w:ascii="Arial" w:hAnsi="Arial" w:cs="Arial"/>
          <w:sz w:val="24"/>
          <w:szCs w:val="24"/>
        </w:rPr>
        <w:t>support</w:t>
      </w:r>
      <w:r w:rsidRPr="00051736">
        <w:rPr>
          <w:rFonts w:ascii="Arial" w:hAnsi="Arial" w:cs="Arial"/>
          <w:sz w:val="24"/>
          <w:szCs w:val="24"/>
        </w:rPr>
        <w:t xml:space="preserve">s </w:t>
      </w:r>
      <w:r w:rsidR="001D3B15" w:rsidRPr="00051736">
        <w:rPr>
          <w:rFonts w:ascii="Arial" w:hAnsi="Arial" w:cs="Arial"/>
          <w:sz w:val="24"/>
          <w:szCs w:val="24"/>
        </w:rPr>
        <w:t xml:space="preserve">the application from the Department of </w:t>
      </w:r>
      <w:r w:rsidR="002F274B" w:rsidRPr="00051736">
        <w:rPr>
          <w:rFonts w:ascii="Arial" w:hAnsi="Arial" w:cs="Arial"/>
          <w:sz w:val="24"/>
          <w:szCs w:val="24"/>
        </w:rPr>
        <w:t xml:space="preserve">Social Services (formerly the Department of </w:t>
      </w:r>
      <w:r w:rsidR="001D3B15" w:rsidRPr="00051736">
        <w:rPr>
          <w:rFonts w:ascii="Arial" w:hAnsi="Arial" w:cs="Arial"/>
          <w:sz w:val="24"/>
          <w:szCs w:val="24"/>
        </w:rPr>
        <w:t>Families, Housing, Comm</w:t>
      </w:r>
      <w:r w:rsidR="002F274B" w:rsidRPr="00051736">
        <w:rPr>
          <w:rFonts w:ascii="Arial" w:hAnsi="Arial" w:cs="Arial"/>
          <w:sz w:val="24"/>
          <w:szCs w:val="24"/>
        </w:rPr>
        <w:t xml:space="preserve">unities and Indigenous Affairs - </w:t>
      </w:r>
      <w:r w:rsidRPr="00051736">
        <w:rPr>
          <w:rFonts w:ascii="Arial" w:hAnsi="Arial" w:cs="Arial"/>
          <w:sz w:val="24"/>
          <w:szCs w:val="24"/>
        </w:rPr>
        <w:t xml:space="preserve">FaHCSIA) which seeks a temporary exemption </w:t>
      </w:r>
      <w:r w:rsidR="001D3B15" w:rsidRPr="00051736">
        <w:rPr>
          <w:rFonts w:ascii="Arial" w:hAnsi="Arial" w:cs="Arial"/>
          <w:sz w:val="24"/>
          <w:szCs w:val="24"/>
        </w:rPr>
        <w:t>in relation to the use of the Business Services Wage Assessment Tool (BSWAT)</w:t>
      </w:r>
      <w:r w:rsidRPr="00051736">
        <w:rPr>
          <w:rFonts w:ascii="Arial" w:hAnsi="Arial" w:cs="Arial"/>
          <w:sz w:val="24"/>
          <w:szCs w:val="24"/>
        </w:rPr>
        <w:t>.</w:t>
      </w:r>
      <w:r w:rsidR="007D5708" w:rsidRPr="00051736">
        <w:rPr>
          <w:rFonts w:ascii="Arial" w:hAnsi="Arial" w:cs="Arial"/>
          <w:sz w:val="24"/>
          <w:szCs w:val="24"/>
        </w:rPr>
        <w:t xml:space="preserve"> </w:t>
      </w:r>
      <w:r w:rsidR="00015986" w:rsidRPr="00051736">
        <w:rPr>
          <w:rFonts w:ascii="Arial" w:hAnsi="Arial" w:cs="Arial"/>
          <w:sz w:val="24"/>
          <w:szCs w:val="24"/>
        </w:rPr>
        <w:t xml:space="preserve">The BSWAT </w:t>
      </w:r>
      <w:r w:rsidR="009643BF" w:rsidRPr="00051736">
        <w:rPr>
          <w:rFonts w:ascii="Arial" w:hAnsi="Arial" w:cs="Arial"/>
          <w:sz w:val="24"/>
          <w:szCs w:val="24"/>
        </w:rPr>
        <w:t>has been</w:t>
      </w:r>
      <w:r w:rsidR="00015986" w:rsidRPr="00051736">
        <w:rPr>
          <w:rFonts w:ascii="Arial" w:hAnsi="Arial" w:cs="Arial"/>
          <w:sz w:val="24"/>
          <w:szCs w:val="24"/>
        </w:rPr>
        <w:t xml:space="preserve"> utilised </w:t>
      </w:r>
      <w:r w:rsidR="002F274B" w:rsidRPr="00051736">
        <w:rPr>
          <w:rFonts w:ascii="Arial" w:hAnsi="Arial" w:cs="Arial"/>
          <w:sz w:val="24"/>
          <w:szCs w:val="24"/>
        </w:rPr>
        <w:t xml:space="preserve">since 2004 </w:t>
      </w:r>
      <w:r w:rsidR="00015986" w:rsidRPr="00051736">
        <w:rPr>
          <w:rFonts w:ascii="Arial" w:hAnsi="Arial" w:cs="Arial"/>
          <w:sz w:val="24"/>
          <w:szCs w:val="24"/>
        </w:rPr>
        <w:t xml:space="preserve">by </w:t>
      </w:r>
      <w:r w:rsidR="009643BF" w:rsidRPr="00051736">
        <w:rPr>
          <w:rFonts w:ascii="Arial" w:hAnsi="Arial" w:cs="Arial"/>
          <w:sz w:val="24"/>
          <w:szCs w:val="24"/>
        </w:rPr>
        <w:t xml:space="preserve">around half </w:t>
      </w:r>
      <w:r w:rsidR="007D5708" w:rsidRPr="00051736">
        <w:rPr>
          <w:rFonts w:ascii="Arial" w:hAnsi="Arial" w:cs="Arial"/>
          <w:sz w:val="24"/>
          <w:szCs w:val="24"/>
        </w:rPr>
        <w:t>the not-for-</w:t>
      </w:r>
      <w:r w:rsidR="002F274B" w:rsidRPr="00051736">
        <w:rPr>
          <w:rFonts w:ascii="Arial" w:hAnsi="Arial" w:cs="Arial"/>
          <w:sz w:val="24"/>
          <w:szCs w:val="24"/>
        </w:rPr>
        <w:t xml:space="preserve">profit organisations operating </w:t>
      </w:r>
      <w:r w:rsidRPr="00051736">
        <w:rPr>
          <w:rFonts w:ascii="Arial" w:hAnsi="Arial" w:cs="Arial"/>
          <w:sz w:val="24"/>
          <w:szCs w:val="24"/>
        </w:rPr>
        <w:t xml:space="preserve">Australian Disability Enterprises (ADEs) </w:t>
      </w:r>
      <w:r w:rsidR="007D5708" w:rsidRPr="00051736">
        <w:rPr>
          <w:rFonts w:ascii="Arial" w:hAnsi="Arial" w:cs="Arial"/>
          <w:sz w:val="24"/>
          <w:szCs w:val="24"/>
        </w:rPr>
        <w:t>to determine pro-</w:t>
      </w:r>
      <w:r w:rsidR="00015986" w:rsidRPr="00051736">
        <w:rPr>
          <w:rFonts w:ascii="Arial" w:hAnsi="Arial" w:cs="Arial"/>
          <w:sz w:val="24"/>
          <w:szCs w:val="24"/>
        </w:rPr>
        <w:t>rata wages for their employees with disability</w:t>
      </w:r>
      <w:r w:rsidR="00D34019" w:rsidRPr="00051736">
        <w:rPr>
          <w:rFonts w:ascii="Arial" w:hAnsi="Arial" w:cs="Arial"/>
          <w:sz w:val="24"/>
          <w:szCs w:val="24"/>
        </w:rPr>
        <w:t xml:space="preserve"> (supported employees)</w:t>
      </w:r>
      <w:r w:rsidR="00015986" w:rsidRPr="00051736">
        <w:rPr>
          <w:rFonts w:ascii="Arial" w:hAnsi="Arial" w:cs="Arial"/>
          <w:sz w:val="24"/>
          <w:szCs w:val="24"/>
        </w:rPr>
        <w:t>.</w:t>
      </w:r>
      <w:r w:rsidR="009643BF" w:rsidRPr="00051736">
        <w:rPr>
          <w:rFonts w:ascii="Arial" w:hAnsi="Arial" w:cs="Arial"/>
          <w:sz w:val="24"/>
          <w:szCs w:val="24"/>
        </w:rPr>
        <w:t xml:space="preserve"> Around 10,500 supported employees nationally have their wages determined by the BSWAT.</w:t>
      </w:r>
    </w:p>
    <w:p w:rsidR="009643BF" w:rsidRPr="00051736" w:rsidRDefault="009643BF" w:rsidP="001D3B15">
      <w:pPr>
        <w:spacing w:after="0" w:line="240" w:lineRule="auto"/>
        <w:rPr>
          <w:rFonts w:ascii="Arial" w:hAnsi="Arial" w:cs="Arial"/>
          <w:sz w:val="24"/>
          <w:szCs w:val="24"/>
        </w:rPr>
      </w:pPr>
    </w:p>
    <w:p w:rsidR="008D26F8" w:rsidRPr="00051736" w:rsidRDefault="001D3B15" w:rsidP="001D3B15">
      <w:pPr>
        <w:spacing w:after="0" w:line="240" w:lineRule="auto"/>
        <w:rPr>
          <w:rFonts w:ascii="Arial" w:hAnsi="Arial" w:cs="Arial"/>
          <w:sz w:val="24"/>
          <w:szCs w:val="24"/>
        </w:rPr>
      </w:pPr>
      <w:r w:rsidRPr="00051736">
        <w:rPr>
          <w:rFonts w:ascii="Arial" w:hAnsi="Arial" w:cs="Arial"/>
          <w:sz w:val="24"/>
          <w:szCs w:val="24"/>
        </w:rPr>
        <w:t>Th</w:t>
      </w:r>
      <w:r w:rsidR="00D34019" w:rsidRPr="00051736">
        <w:rPr>
          <w:rFonts w:ascii="Arial" w:hAnsi="Arial" w:cs="Arial"/>
          <w:sz w:val="24"/>
          <w:szCs w:val="24"/>
        </w:rPr>
        <w:t>e</w:t>
      </w:r>
      <w:r w:rsidRPr="00051736">
        <w:rPr>
          <w:rFonts w:ascii="Arial" w:hAnsi="Arial" w:cs="Arial"/>
          <w:sz w:val="24"/>
          <w:szCs w:val="24"/>
        </w:rPr>
        <w:t xml:space="preserve"> application is made pursuant to section 44 of the Disability Discrimination Act 1992 (Cth) (DDA). Th</w:t>
      </w:r>
      <w:r w:rsidR="007D5708" w:rsidRPr="00051736">
        <w:rPr>
          <w:rFonts w:ascii="Arial" w:hAnsi="Arial" w:cs="Arial"/>
          <w:sz w:val="24"/>
          <w:szCs w:val="24"/>
        </w:rPr>
        <w:t xml:space="preserve">e applicant seeks to exempt </w:t>
      </w:r>
      <w:r w:rsidRPr="00051736">
        <w:rPr>
          <w:rFonts w:ascii="Arial" w:hAnsi="Arial" w:cs="Arial"/>
          <w:sz w:val="24"/>
          <w:szCs w:val="24"/>
        </w:rPr>
        <w:t xml:space="preserve">existing </w:t>
      </w:r>
      <w:r w:rsidR="00C15531" w:rsidRPr="00051736">
        <w:rPr>
          <w:rFonts w:ascii="Arial" w:hAnsi="Arial" w:cs="Arial"/>
          <w:sz w:val="24"/>
          <w:szCs w:val="24"/>
        </w:rPr>
        <w:t>ADEs</w:t>
      </w:r>
      <w:r w:rsidRPr="00051736">
        <w:rPr>
          <w:rFonts w:ascii="Arial" w:hAnsi="Arial" w:cs="Arial"/>
          <w:sz w:val="24"/>
          <w:szCs w:val="24"/>
        </w:rPr>
        <w:t xml:space="preserve"> from sections 15 and 24 of the DDA and the Commonwealth from section 29 of the DDA. </w:t>
      </w:r>
    </w:p>
    <w:p w:rsidR="00015986" w:rsidRPr="00051736" w:rsidRDefault="00015986" w:rsidP="001D3B15">
      <w:pPr>
        <w:spacing w:after="0" w:line="240" w:lineRule="auto"/>
        <w:rPr>
          <w:rFonts w:ascii="Arial" w:hAnsi="Arial" w:cs="Arial"/>
          <w:sz w:val="24"/>
          <w:szCs w:val="24"/>
        </w:rPr>
      </w:pPr>
    </w:p>
    <w:p w:rsidR="007D5708" w:rsidRPr="00051736" w:rsidRDefault="00D35F1B" w:rsidP="007D5708">
      <w:pPr>
        <w:spacing w:after="0" w:line="240" w:lineRule="auto"/>
        <w:rPr>
          <w:rFonts w:ascii="Arial" w:hAnsi="Arial" w:cs="Arial"/>
          <w:sz w:val="24"/>
          <w:szCs w:val="24"/>
        </w:rPr>
      </w:pPr>
      <w:r w:rsidRPr="00051736">
        <w:rPr>
          <w:rFonts w:ascii="Arial" w:hAnsi="Arial" w:cs="Arial"/>
          <w:sz w:val="24"/>
          <w:szCs w:val="24"/>
        </w:rPr>
        <w:t>I</w:t>
      </w:r>
      <w:r w:rsidR="00C15531" w:rsidRPr="00051736">
        <w:rPr>
          <w:rFonts w:ascii="Arial" w:hAnsi="Arial" w:cs="Arial"/>
          <w:sz w:val="24"/>
          <w:szCs w:val="24"/>
        </w:rPr>
        <w:t>f granted, the exemption</w:t>
      </w:r>
      <w:r w:rsidR="007D5708" w:rsidRPr="00051736">
        <w:rPr>
          <w:rFonts w:ascii="Arial" w:hAnsi="Arial" w:cs="Arial"/>
          <w:sz w:val="24"/>
          <w:szCs w:val="24"/>
        </w:rPr>
        <w:t xml:space="preserve"> would allow ADEs to use the BSWAT to assess and pay pro-rata wages for supported emp</w:t>
      </w:r>
      <w:r w:rsidR="00C25999" w:rsidRPr="00051736">
        <w:rPr>
          <w:rFonts w:ascii="Arial" w:hAnsi="Arial" w:cs="Arial"/>
          <w:sz w:val="24"/>
          <w:szCs w:val="24"/>
        </w:rPr>
        <w:t xml:space="preserve">loyees for a period up to three </w:t>
      </w:r>
      <w:r w:rsidR="007D5708" w:rsidRPr="00051736">
        <w:rPr>
          <w:rFonts w:ascii="Arial" w:hAnsi="Arial" w:cs="Arial"/>
          <w:sz w:val="24"/>
          <w:szCs w:val="24"/>
        </w:rPr>
        <w:t xml:space="preserve">years. </w:t>
      </w:r>
      <w:r w:rsidR="00C25999" w:rsidRPr="00051736">
        <w:rPr>
          <w:rFonts w:ascii="Arial" w:hAnsi="Arial" w:cs="Arial"/>
          <w:sz w:val="24"/>
          <w:szCs w:val="24"/>
        </w:rPr>
        <w:t>W</w:t>
      </w:r>
      <w:r w:rsidR="007D5708" w:rsidRPr="00051736">
        <w:rPr>
          <w:rFonts w:ascii="Arial" w:hAnsi="Arial" w:cs="Arial"/>
          <w:sz w:val="24"/>
          <w:szCs w:val="24"/>
        </w:rPr>
        <w:t>ork w</w:t>
      </w:r>
      <w:r w:rsidR="00652B4C" w:rsidRPr="00051736">
        <w:rPr>
          <w:rFonts w:ascii="Arial" w:hAnsi="Arial" w:cs="Arial"/>
          <w:sz w:val="24"/>
          <w:szCs w:val="24"/>
        </w:rPr>
        <w:t>ould occur to ensure that by</w:t>
      </w:r>
      <w:r w:rsidR="007D5708" w:rsidRPr="00051736">
        <w:rPr>
          <w:rFonts w:ascii="Arial" w:hAnsi="Arial" w:cs="Arial"/>
          <w:sz w:val="24"/>
          <w:szCs w:val="24"/>
        </w:rPr>
        <w:t xml:space="preserve"> the </w:t>
      </w:r>
      <w:r w:rsidR="00652B4C" w:rsidRPr="00051736">
        <w:rPr>
          <w:rFonts w:ascii="Arial" w:hAnsi="Arial" w:cs="Arial"/>
          <w:sz w:val="24"/>
          <w:szCs w:val="24"/>
        </w:rPr>
        <w:t xml:space="preserve">conclusion of the </w:t>
      </w:r>
      <w:r w:rsidRPr="00051736">
        <w:rPr>
          <w:rFonts w:ascii="Arial" w:hAnsi="Arial" w:cs="Arial"/>
          <w:sz w:val="24"/>
          <w:szCs w:val="24"/>
        </w:rPr>
        <w:t>exemption period</w:t>
      </w:r>
      <w:r w:rsidR="007F63D9" w:rsidRPr="00051736">
        <w:rPr>
          <w:rFonts w:ascii="Arial" w:hAnsi="Arial" w:cs="Arial"/>
          <w:sz w:val="24"/>
          <w:szCs w:val="24"/>
        </w:rPr>
        <w:t>,</w:t>
      </w:r>
      <w:r w:rsidR="00C400C9" w:rsidRPr="00051736">
        <w:rPr>
          <w:rFonts w:ascii="Arial" w:hAnsi="Arial" w:cs="Arial"/>
          <w:sz w:val="24"/>
          <w:szCs w:val="24"/>
        </w:rPr>
        <w:t xml:space="preserve"> </w:t>
      </w:r>
      <w:r w:rsidR="007D5708" w:rsidRPr="00051736">
        <w:rPr>
          <w:rFonts w:ascii="Arial" w:hAnsi="Arial" w:cs="Arial"/>
          <w:sz w:val="24"/>
          <w:szCs w:val="24"/>
        </w:rPr>
        <w:t>wage-setting arrangements for supported employees would be fully co</w:t>
      </w:r>
      <w:r w:rsidR="00652B4C" w:rsidRPr="00051736">
        <w:rPr>
          <w:rFonts w:ascii="Arial" w:hAnsi="Arial" w:cs="Arial"/>
          <w:sz w:val="24"/>
          <w:szCs w:val="24"/>
        </w:rPr>
        <w:t>mpliant with the DDA</w:t>
      </w:r>
      <w:r w:rsidR="007D5708" w:rsidRPr="00051736">
        <w:rPr>
          <w:rFonts w:ascii="Arial" w:hAnsi="Arial" w:cs="Arial"/>
          <w:sz w:val="24"/>
          <w:szCs w:val="24"/>
        </w:rPr>
        <w:t>.</w:t>
      </w:r>
    </w:p>
    <w:p w:rsidR="004C2366" w:rsidRPr="00051736" w:rsidRDefault="004C2366" w:rsidP="00EA1E47">
      <w:pPr>
        <w:spacing w:after="0" w:line="240" w:lineRule="auto"/>
        <w:rPr>
          <w:rFonts w:ascii="Arial" w:hAnsi="Arial" w:cs="Arial"/>
          <w:sz w:val="24"/>
          <w:szCs w:val="24"/>
        </w:rPr>
      </w:pPr>
    </w:p>
    <w:p w:rsidR="00EA1E47" w:rsidRPr="00051736" w:rsidRDefault="00492FF4" w:rsidP="00EA1E47">
      <w:pPr>
        <w:spacing w:after="0" w:line="240" w:lineRule="auto"/>
        <w:rPr>
          <w:rFonts w:ascii="Arial" w:hAnsi="Arial" w:cs="Arial"/>
          <w:b/>
          <w:sz w:val="28"/>
          <w:szCs w:val="28"/>
        </w:rPr>
      </w:pPr>
      <w:r>
        <w:rPr>
          <w:rFonts w:ascii="Arial" w:hAnsi="Arial" w:cs="Arial"/>
          <w:b/>
          <w:sz w:val="28"/>
          <w:szCs w:val="28"/>
        </w:rPr>
        <w:t>Background</w:t>
      </w:r>
      <w:r w:rsidR="00EA1E47" w:rsidRPr="00051736">
        <w:rPr>
          <w:rFonts w:ascii="Arial" w:hAnsi="Arial" w:cs="Arial"/>
          <w:b/>
          <w:sz w:val="28"/>
          <w:szCs w:val="28"/>
        </w:rPr>
        <w:t xml:space="preserve"> </w:t>
      </w:r>
    </w:p>
    <w:p w:rsidR="00EA1E47" w:rsidRPr="00051736" w:rsidRDefault="00EA1E47" w:rsidP="00EA1E47">
      <w:pPr>
        <w:spacing w:after="0" w:line="240" w:lineRule="auto"/>
        <w:rPr>
          <w:rFonts w:ascii="Arial" w:hAnsi="Arial" w:cs="Arial"/>
          <w:sz w:val="24"/>
          <w:szCs w:val="24"/>
        </w:rPr>
      </w:pPr>
    </w:p>
    <w:p w:rsidR="001D3B15" w:rsidRPr="00051736" w:rsidRDefault="003F22E6" w:rsidP="005B5E4C">
      <w:pPr>
        <w:spacing w:after="0" w:line="240" w:lineRule="auto"/>
        <w:rPr>
          <w:rFonts w:ascii="Arial" w:hAnsi="Arial" w:cs="Arial"/>
          <w:sz w:val="24"/>
          <w:szCs w:val="24"/>
        </w:rPr>
      </w:pPr>
      <w:r w:rsidRPr="00051736">
        <w:rPr>
          <w:rFonts w:ascii="Arial" w:hAnsi="Arial" w:cs="Arial"/>
          <w:sz w:val="24"/>
          <w:szCs w:val="24"/>
        </w:rPr>
        <w:t>In December 2012</w:t>
      </w:r>
      <w:r w:rsidR="00190C58" w:rsidRPr="00051736">
        <w:rPr>
          <w:rFonts w:ascii="Arial" w:hAnsi="Arial" w:cs="Arial"/>
          <w:sz w:val="24"/>
          <w:szCs w:val="24"/>
        </w:rPr>
        <w:t>,</w:t>
      </w:r>
      <w:r w:rsidRPr="00051736">
        <w:rPr>
          <w:rFonts w:ascii="Arial" w:hAnsi="Arial" w:cs="Arial"/>
          <w:sz w:val="24"/>
          <w:szCs w:val="24"/>
        </w:rPr>
        <w:t xml:space="preserve"> t</w:t>
      </w:r>
      <w:r w:rsidR="005B5E4C" w:rsidRPr="00051736">
        <w:rPr>
          <w:rFonts w:ascii="Arial" w:hAnsi="Arial" w:cs="Arial"/>
          <w:sz w:val="24"/>
          <w:szCs w:val="24"/>
        </w:rPr>
        <w:t>he Federal Court upheld the complaints of two supported employees</w:t>
      </w:r>
      <w:r w:rsidR="00D35F1B" w:rsidRPr="00051736">
        <w:rPr>
          <w:rFonts w:ascii="Arial" w:hAnsi="Arial" w:cs="Arial"/>
          <w:sz w:val="24"/>
          <w:szCs w:val="24"/>
        </w:rPr>
        <w:t xml:space="preserve"> against the use of the BSWAT</w:t>
      </w:r>
      <w:r w:rsidR="005B5E4C" w:rsidRPr="00051736">
        <w:rPr>
          <w:rFonts w:ascii="Arial" w:hAnsi="Arial" w:cs="Arial"/>
          <w:sz w:val="24"/>
          <w:szCs w:val="24"/>
        </w:rPr>
        <w:t xml:space="preserve"> to set their wages. The Commonwealth </w:t>
      </w:r>
      <w:r w:rsidRPr="00051736">
        <w:rPr>
          <w:rFonts w:ascii="Arial" w:hAnsi="Arial" w:cs="Arial"/>
          <w:sz w:val="24"/>
          <w:szCs w:val="24"/>
        </w:rPr>
        <w:t xml:space="preserve">has </w:t>
      </w:r>
      <w:r w:rsidR="005B5E4C" w:rsidRPr="00051736">
        <w:rPr>
          <w:rFonts w:ascii="Arial" w:hAnsi="Arial" w:cs="Arial"/>
          <w:sz w:val="24"/>
          <w:szCs w:val="24"/>
        </w:rPr>
        <w:t>consider</w:t>
      </w:r>
      <w:r w:rsidRPr="00051736">
        <w:rPr>
          <w:rFonts w:ascii="Arial" w:hAnsi="Arial" w:cs="Arial"/>
          <w:sz w:val="24"/>
          <w:szCs w:val="24"/>
        </w:rPr>
        <w:t>ed</w:t>
      </w:r>
      <w:r w:rsidR="005B5E4C" w:rsidRPr="00051736">
        <w:rPr>
          <w:rFonts w:ascii="Arial" w:hAnsi="Arial" w:cs="Arial"/>
          <w:sz w:val="24"/>
          <w:szCs w:val="24"/>
        </w:rPr>
        <w:t xml:space="preserve"> the decision, its implications and the actions open to it</w:t>
      </w:r>
      <w:r w:rsidRPr="00051736">
        <w:rPr>
          <w:rFonts w:ascii="Arial" w:hAnsi="Arial" w:cs="Arial"/>
          <w:sz w:val="24"/>
          <w:szCs w:val="24"/>
        </w:rPr>
        <w:t>, following an unsuccessful application</w:t>
      </w:r>
      <w:r w:rsidR="005B5E4C" w:rsidRPr="00051736">
        <w:rPr>
          <w:rFonts w:ascii="Arial" w:hAnsi="Arial" w:cs="Arial"/>
          <w:sz w:val="24"/>
          <w:szCs w:val="24"/>
        </w:rPr>
        <w:t xml:space="preserve"> to appeal the </w:t>
      </w:r>
      <w:r w:rsidRPr="00051736">
        <w:rPr>
          <w:rFonts w:ascii="Arial" w:hAnsi="Arial" w:cs="Arial"/>
          <w:sz w:val="24"/>
          <w:szCs w:val="24"/>
        </w:rPr>
        <w:t>decision before the High Court.</w:t>
      </w:r>
    </w:p>
    <w:p w:rsidR="003F22E6" w:rsidRPr="00051736" w:rsidRDefault="003F22E6" w:rsidP="005B5E4C">
      <w:pPr>
        <w:spacing w:after="0" w:line="240" w:lineRule="auto"/>
        <w:rPr>
          <w:rFonts w:ascii="Arial" w:hAnsi="Arial" w:cs="Arial"/>
          <w:sz w:val="24"/>
          <w:szCs w:val="24"/>
        </w:rPr>
      </w:pPr>
    </w:p>
    <w:p w:rsidR="005B5E4C" w:rsidRPr="00051736" w:rsidRDefault="005B5E4C" w:rsidP="005B5E4C">
      <w:pPr>
        <w:spacing w:after="0" w:line="240" w:lineRule="auto"/>
        <w:rPr>
          <w:rFonts w:ascii="Arial" w:hAnsi="Arial" w:cs="Arial"/>
          <w:sz w:val="24"/>
          <w:szCs w:val="24"/>
        </w:rPr>
      </w:pPr>
      <w:r w:rsidRPr="00051736">
        <w:rPr>
          <w:rFonts w:ascii="Arial" w:hAnsi="Arial" w:cs="Arial"/>
          <w:sz w:val="24"/>
          <w:szCs w:val="24"/>
        </w:rPr>
        <w:t>Th</w:t>
      </w:r>
      <w:r w:rsidR="00256060" w:rsidRPr="00051736">
        <w:rPr>
          <w:rFonts w:ascii="Arial" w:hAnsi="Arial" w:cs="Arial"/>
          <w:sz w:val="24"/>
          <w:szCs w:val="24"/>
        </w:rPr>
        <w:t>e</w:t>
      </w:r>
      <w:r w:rsidRPr="00051736">
        <w:rPr>
          <w:rFonts w:ascii="Arial" w:hAnsi="Arial" w:cs="Arial"/>
          <w:sz w:val="24"/>
          <w:szCs w:val="24"/>
        </w:rPr>
        <w:t xml:space="preserve"> long-running case hinge</w:t>
      </w:r>
      <w:r w:rsidR="003F22E6" w:rsidRPr="00051736">
        <w:rPr>
          <w:rFonts w:ascii="Arial" w:hAnsi="Arial" w:cs="Arial"/>
          <w:sz w:val="24"/>
          <w:szCs w:val="24"/>
        </w:rPr>
        <w:t>d</w:t>
      </w:r>
      <w:r w:rsidRPr="00051736">
        <w:rPr>
          <w:rFonts w:ascii="Arial" w:hAnsi="Arial" w:cs="Arial"/>
          <w:sz w:val="24"/>
          <w:szCs w:val="24"/>
        </w:rPr>
        <w:t xml:space="preserve"> on whether the BSWAT unfairly disadvantaged two supported employees under the Disability Discrimination Act 1992. The majority decision of the Federal Court h</w:t>
      </w:r>
      <w:r w:rsidR="003F22E6" w:rsidRPr="00051736">
        <w:rPr>
          <w:rFonts w:ascii="Arial" w:hAnsi="Arial" w:cs="Arial"/>
          <w:sz w:val="24"/>
          <w:szCs w:val="24"/>
        </w:rPr>
        <w:t>e</w:t>
      </w:r>
      <w:r w:rsidRPr="00051736">
        <w:rPr>
          <w:rFonts w:ascii="Arial" w:hAnsi="Arial" w:cs="Arial"/>
          <w:sz w:val="24"/>
          <w:szCs w:val="24"/>
        </w:rPr>
        <w:t>ld that the BSWAT did discriminate unreasonably.</w:t>
      </w:r>
    </w:p>
    <w:p w:rsidR="005B5E4C" w:rsidRPr="00051736" w:rsidRDefault="005B5E4C" w:rsidP="005B5E4C">
      <w:pPr>
        <w:spacing w:after="0" w:line="240" w:lineRule="auto"/>
        <w:rPr>
          <w:rFonts w:ascii="Arial" w:hAnsi="Arial" w:cs="Arial"/>
          <w:sz w:val="24"/>
          <w:szCs w:val="24"/>
        </w:rPr>
      </w:pPr>
    </w:p>
    <w:p w:rsidR="00492FF4" w:rsidRPr="00492FF4" w:rsidRDefault="00492FF4" w:rsidP="00492FF4">
      <w:pPr>
        <w:spacing w:after="0" w:line="240" w:lineRule="auto"/>
        <w:rPr>
          <w:rFonts w:ascii="Arial" w:hAnsi="Arial" w:cs="Arial"/>
          <w:sz w:val="24"/>
          <w:szCs w:val="24"/>
        </w:rPr>
      </w:pPr>
      <w:r w:rsidRPr="00492FF4">
        <w:rPr>
          <w:rFonts w:ascii="Arial" w:hAnsi="Arial" w:cs="Arial"/>
          <w:sz w:val="24"/>
          <w:szCs w:val="24"/>
        </w:rPr>
        <w:t xml:space="preserve">The BSWAT determines a wage by assessing employees' competencies and their rate of productivity (assigning equal weight to each). It involves assessing an employee against four generic competencies and four industry-specific competencies. The competencies are drawn from the Australian Qualifications Framework (AQF) to ensure consistency with mainstream employment practice. In </w:t>
      </w:r>
      <w:r w:rsidRPr="00492FF4">
        <w:rPr>
          <w:rFonts w:ascii="Arial" w:hAnsi="Arial" w:cs="Arial"/>
          <w:sz w:val="24"/>
          <w:szCs w:val="24"/>
        </w:rPr>
        <w:lastRenderedPageBreak/>
        <w:t>its decision, the Federal Court held that the competencies test set an unrealistically high benchmark which employees without disability working at the lowest award level would not have to meet. Moreover, the Court criticized the mode of testing – asking supported employees to answer questions – as too abstract for people with intellectual disability.</w:t>
      </w:r>
    </w:p>
    <w:p w:rsidR="00492FF4" w:rsidRDefault="00492FF4" w:rsidP="005B5E4C">
      <w:pPr>
        <w:spacing w:after="0" w:line="240" w:lineRule="auto"/>
        <w:rPr>
          <w:rFonts w:ascii="Arial" w:hAnsi="Arial" w:cs="Arial"/>
          <w:sz w:val="24"/>
          <w:szCs w:val="24"/>
        </w:rPr>
      </w:pPr>
    </w:p>
    <w:p w:rsidR="005B5E4C" w:rsidRPr="00051736" w:rsidRDefault="00652B4C" w:rsidP="005B5E4C">
      <w:pPr>
        <w:spacing w:after="0" w:line="240" w:lineRule="auto"/>
        <w:rPr>
          <w:rFonts w:ascii="Arial" w:hAnsi="Arial" w:cs="Arial"/>
          <w:sz w:val="24"/>
          <w:szCs w:val="24"/>
        </w:rPr>
      </w:pPr>
      <w:r w:rsidRPr="00051736">
        <w:rPr>
          <w:rFonts w:ascii="Arial" w:hAnsi="Arial" w:cs="Arial"/>
          <w:sz w:val="24"/>
          <w:szCs w:val="24"/>
        </w:rPr>
        <w:t>T</w:t>
      </w:r>
      <w:r w:rsidR="005B5E4C" w:rsidRPr="00051736">
        <w:rPr>
          <w:rFonts w:ascii="Arial" w:hAnsi="Arial" w:cs="Arial"/>
          <w:sz w:val="24"/>
          <w:szCs w:val="24"/>
        </w:rPr>
        <w:t>he decision</w:t>
      </w:r>
      <w:r w:rsidRPr="00051736">
        <w:rPr>
          <w:rFonts w:ascii="Arial" w:hAnsi="Arial" w:cs="Arial"/>
          <w:sz w:val="24"/>
          <w:szCs w:val="24"/>
        </w:rPr>
        <w:t xml:space="preserve"> </w:t>
      </w:r>
      <w:r w:rsidR="003F22E6" w:rsidRPr="00051736">
        <w:rPr>
          <w:rFonts w:ascii="Arial" w:hAnsi="Arial" w:cs="Arial"/>
          <w:sz w:val="24"/>
          <w:szCs w:val="24"/>
        </w:rPr>
        <w:t xml:space="preserve">has </w:t>
      </w:r>
      <w:r w:rsidR="005B5E4C" w:rsidRPr="00051736">
        <w:rPr>
          <w:rFonts w:ascii="Arial" w:hAnsi="Arial" w:cs="Arial"/>
          <w:sz w:val="24"/>
          <w:szCs w:val="24"/>
        </w:rPr>
        <w:t>create</w:t>
      </w:r>
      <w:r w:rsidR="003F22E6" w:rsidRPr="00051736">
        <w:rPr>
          <w:rFonts w:ascii="Arial" w:hAnsi="Arial" w:cs="Arial"/>
          <w:sz w:val="24"/>
          <w:szCs w:val="24"/>
        </w:rPr>
        <w:t>d</w:t>
      </w:r>
      <w:r w:rsidR="005B5E4C" w:rsidRPr="00051736">
        <w:rPr>
          <w:rFonts w:ascii="Arial" w:hAnsi="Arial" w:cs="Arial"/>
          <w:sz w:val="24"/>
          <w:szCs w:val="24"/>
        </w:rPr>
        <w:t xml:space="preserve"> </w:t>
      </w:r>
      <w:r w:rsidRPr="00051736">
        <w:rPr>
          <w:rFonts w:ascii="Arial" w:hAnsi="Arial" w:cs="Arial"/>
          <w:sz w:val="24"/>
          <w:szCs w:val="24"/>
        </w:rPr>
        <w:t xml:space="preserve">uncertainty for </w:t>
      </w:r>
      <w:r w:rsidR="005B5E4C" w:rsidRPr="00051736">
        <w:rPr>
          <w:rFonts w:ascii="Arial" w:hAnsi="Arial" w:cs="Arial"/>
          <w:sz w:val="24"/>
          <w:szCs w:val="24"/>
        </w:rPr>
        <w:t xml:space="preserve">ADEs </w:t>
      </w:r>
      <w:r w:rsidR="00190C58" w:rsidRPr="00051736">
        <w:rPr>
          <w:rFonts w:ascii="Arial" w:hAnsi="Arial" w:cs="Arial"/>
          <w:sz w:val="24"/>
          <w:szCs w:val="24"/>
        </w:rPr>
        <w:t>that</w:t>
      </w:r>
      <w:r w:rsidR="005B5E4C" w:rsidRPr="00051736">
        <w:rPr>
          <w:rFonts w:ascii="Arial" w:hAnsi="Arial" w:cs="Arial"/>
          <w:sz w:val="24"/>
          <w:szCs w:val="24"/>
        </w:rPr>
        <w:t xml:space="preserve"> use the BSWAT </w:t>
      </w:r>
      <w:r w:rsidR="00190C58" w:rsidRPr="00051736">
        <w:rPr>
          <w:rFonts w:ascii="Arial" w:hAnsi="Arial" w:cs="Arial"/>
          <w:sz w:val="24"/>
          <w:szCs w:val="24"/>
        </w:rPr>
        <w:t>–</w:t>
      </w:r>
      <w:r w:rsidR="005B5E4C" w:rsidRPr="00051736">
        <w:rPr>
          <w:rFonts w:ascii="Arial" w:hAnsi="Arial" w:cs="Arial"/>
          <w:sz w:val="24"/>
          <w:szCs w:val="24"/>
        </w:rPr>
        <w:t xml:space="preserve"> and</w:t>
      </w:r>
      <w:r w:rsidR="00190C58" w:rsidRPr="00051736">
        <w:rPr>
          <w:rFonts w:ascii="Arial" w:hAnsi="Arial" w:cs="Arial"/>
          <w:sz w:val="24"/>
          <w:szCs w:val="24"/>
        </w:rPr>
        <w:t>,</w:t>
      </w:r>
      <w:r w:rsidR="005B5E4C" w:rsidRPr="00051736">
        <w:rPr>
          <w:rFonts w:ascii="Arial" w:hAnsi="Arial" w:cs="Arial"/>
          <w:sz w:val="24"/>
          <w:szCs w:val="24"/>
        </w:rPr>
        <w:t xml:space="preserve"> indeed, for all ADEs which use competency-based wage assessment. Given that the BSWAT is own</w:t>
      </w:r>
      <w:r w:rsidRPr="00051736">
        <w:rPr>
          <w:rFonts w:ascii="Arial" w:hAnsi="Arial" w:cs="Arial"/>
          <w:sz w:val="24"/>
          <w:szCs w:val="24"/>
        </w:rPr>
        <w:t>ed by the Australian government,</w:t>
      </w:r>
      <w:r w:rsidR="005B5E4C" w:rsidRPr="00051736">
        <w:rPr>
          <w:rFonts w:ascii="Arial" w:hAnsi="Arial" w:cs="Arial"/>
          <w:sz w:val="24"/>
          <w:szCs w:val="24"/>
        </w:rPr>
        <w:t xml:space="preserve"> </w:t>
      </w:r>
      <w:r w:rsidRPr="00051736">
        <w:rPr>
          <w:rFonts w:ascii="Arial" w:hAnsi="Arial" w:cs="Arial"/>
          <w:sz w:val="24"/>
          <w:szCs w:val="24"/>
        </w:rPr>
        <w:t xml:space="preserve">independently assessed by a government entity (CRS Australia), </w:t>
      </w:r>
      <w:r w:rsidR="005B5E4C" w:rsidRPr="00051736">
        <w:rPr>
          <w:rFonts w:ascii="Arial" w:hAnsi="Arial" w:cs="Arial"/>
          <w:sz w:val="24"/>
          <w:szCs w:val="24"/>
        </w:rPr>
        <w:t xml:space="preserve">and named in the Supported Employment Services Award, ADEs </w:t>
      </w:r>
      <w:r w:rsidR="003F22E6" w:rsidRPr="00051736">
        <w:rPr>
          <w:rFonts w:ascii="Arial" w:hAnsi="Arial" w:cs="Arial"/>
          <w:sz w:val="24"/>
          <w:szCs w:val="24"/>
        </w:rPr>
        <w:t>ha</w:t>
      </w:r>
      <w:r w:rsidRPr="00051736">
        <w:rPr>
          <w:rFonts w:ascii="Arial" w:hAnsi="Arial" w:cs="Arial"/>
          <w:sz w:val="24"/>
          <w:szCs w:val="24"/>
        </w:rPr>
        <w:t xml:space="preserve">d reasonably </w:t>
      </w:r>
      <w:r w:rsidR="005B5E4C" w:rsidRPr="00051736">
        <w:rPr>
          <w:rFonts w:ascii="Arial" w:hAnsi="Arial" w:cs="Arial"/>
          <w:sz w:val="24"/>
          <w:szCs w:val="24"/>
        </w:rPr>
        <w:t>considered themselve</w:t>
      </w:r>
      <w:r w:rsidR="006E52AA" w:rsidRPr="00051736">
        <w:rPr>
          <w:rFonts w:ascii="Arial" w:hAnsi="Arial" w:cs="Arial"/>
          <w:sz w:val="24"/>
          <w:szCs w:val="24"/>
        </w:rPr>
        <w:t>s on safe ground in using</w:t>
      </w:r>
      <w:r w:rsidR="005B5E4C" w:rsidRPr="00051736">
        <w:rPr>
          <w:rFonts w:ascii="Arial" w:hAnsi="Arial" w:cs="Arial"/>
          <w:sz w:val="24"/>
          <w:szCs w:val="24"/>
        </w:rPr>
        <w:t xml:space="preserve"> the BSWAT.</w:t>
      </w:r>
    </w:p>
    <w:p w:rsidR="00C25999" w:rsidRPr="00051736" w:rsidRDefault="00C25999" w:rsidP="005B5E4C">
      <w:pPr>
        <w:spacing w:after="0" w:line="240" w:lineRule="auto"/>
        <w:rPr>
          <w:rFonts w:ascii="Arial" w:hAnsi="Arial" w:cs="Arial"/>
          <w:sz w:val="24"/>
          <w:szCs w:val="24"/>
        </w:rPr>
      </w:pPr>
    </w:p>
    <w:p w:rsidR="00EA1E47" w:rsidRPr="00051736" w:rsidRDefault="00EA1E47" w:rsidP="00EA1E47">
      <w:pPr>
        <w:spacing w:after="0" w:line="240" w:lineRule="auto"/>
        <w:rPr>
          <w:rFonts w:ascii="Arial" w:hAnsi="Arial" w:cs="Arial"/>
          <w:b/>
          <w:sz w:val="28"/>
          <w:szCs w:val="28"/>
        </w:rPr>
      </w:pPr>
      <w:r w:rsidRPr="00051736">
        <w:rPr>
          <w:rFonts w:ascii="Arial" w:hAnsi="Arial" w:cs="Arial"/>
          <w:b/>
          <w:sz w:val="28"/>
          <w:szCs w:val="28"/>
        </w:rPr>
        <w:t xml:space="preserve">Why the </w:t>
      </w:r>
      <w:r w:rsidR="00C108CF" w:rsidRPr="00051736">
        <w:rPr>
          <w:rFonts w:ascii="Arial" w:hAnsi="Arial" w:cs="Arial"/>
          <w:b/>
          <w:sz w:val="28"/>
          <w:szCs w:val="28"/>
        </w:rPr>
        <w:t xml:space="preserve">DDA </w:t>
      </w:r>
      <w:r w:rsidRPr="00051736">
        <w:rPr>
          <w:rFonts w:ascii="Arial" w:hAnsi="Arial" w:cs="Arial"/>
          <w:b/>
          <w:sz w:val="28"/>
          <w:szCs w:val="28"/>
        </w:rPr>
        <w:t>exemption should be granted</w:t>
      </w:r>
      <w:r w:rsidR="00677326" w:rsidRPr="00051736">
        <w:rPr>
          <w:rFonts w:ascii="Arial" w:hAnsi="Arial" w:cs="Arial"/>
          <w:b/>
          <w:sz w:val="28"/>
          <w:szCs w:val="28"/>
        </w:rPr>
        <w:t xml:space="preserve"> </w:t>
      </w:r>
    </w:p>
    <w:p w:rsidR="00677326" w:rsidRPr="00051736" w:rsidRDefault="00677326" w:rsidP="00EA1E47">
      <w:pPr>
        <w:spacing w:after="0" w:line="240" w:lineRule="auto"/>
        <w:rPr>
          <w:rFonts w:ascii="Arial" w:hAnsi="Arial" w:cs="Arial"/>
          <w:sz w:val="24"/>
          <w:szCs w:val="24"/>
        </w:rPr>
      </w:pPr>
    </w:p>
    <w:p w:rsidR="003B6E36" w:rsidRPr="00051736" w:rsidRDefault="003B6E36" w:rsidP="00EA1E47">
      <w:pPr>
        <w:spacing w:after="0" w:line="240" w:lineRule="auto"/>
        <w:rPr>
          <w:rFonts w:ascii="Arial" w:hAnsi="Arial" w:cs="Arial"/>
          <w:sz w:val="24"/>
          <w:szCs w:val="24"/>
        </w:rPr>
      </w:pPr>
      <w:r w:rsidRPr="00051736">
        <w:rPr>
          <w:rFonts w:ascii="Arial" w:hAnsi="Arial" w:cs="Arial"/>
          <w:sz w:val="24"/>
          <w:szCs w:val="24"/>
        </w:rPr>
        <w:t xml:space="preserve">NDS wants to see wage setting arrangements </w:t>
      </w:r>
      <w:r w:rsidR="00046242" w:rsidRPr="00051736">
        <w:rPr>
          <w:rFonts w:ascii="Arial" w:hAnsi="Arial" w:cs="Arial"/>
          <w:sz w:val="24"/>
          <w:szCs w:val="24"/>
        </w:rPr>
        <w:t>in ADEs that are fair, legal and sus</w:t>
      </w:r>
      <w:r w:rsidRPr="00051736">
        <w:rPr>
          <w:rFonts w:ascii="Arial" w:hAnsi="Arial" w:cs="Arial"/>
          <w:sz w:val="24"/>
          <w:szCs w:val="24"/>
        </w:rPr>
        <w:t xml:space="preserve">tain the jobs of supported employees. It </w:t>
      </w:r>
      <w:r w:rsidR="006E52AA" w:rsidRPr="00051736">
        <w:rPr>
          <w:rFonts w:ascii="Arial" w:hAnsi="Arial" w:cs="Arial"/>
          <w:sz w:val="24"/>
          <w:szCs w:val="24"/>
        </w:rPr>
        <w:t xml:space="preserve">strongly </w:t>
      </w:r>
      <w:r w:rsidRPr="00051736">
        <w:rPr>
          <w:rFonts w:ascii="Arial" w:hAnsi="Arial" w:cs="Arial"/>
          <w:sz w:val="24"/>
          <w:szCs w:val="24"/>
        </w:rPr>
        <w:t xml:space="preserve">supports the </w:t>
      </w:r>
      <w:r w:rsidR="00EC405A" w:rsidRPr="00051736">
        <w:rPr>
          <w:rFonts w:ascii="Arial" w:hAnsi="Arial" w:cs="Arial"/>
          <w:sz w:val="24"/>
          <w:szCs w:val="24"/>
        </w:rPr>
        <w:t xml:space="preserve">DDA exemption </w:t>
      </w:r>
      <w:r w:rsidRPr="00051736">
        <w:rPr>
          <w:rFonts w:ascii="Arial" w:hAnsi="Arial" w:cs="Arial"/>
          <w:sz w:val="24"/>
          <w:szCs w:val="24"/>
        </w:rPr>
        <w:t>app</w:t>
      </w:r>
      <w:r w:rsidR="00046242" w:rsidRPr="00051736">
        <w:rPr>
          <w:rFonts w:ascii="Arial" w:hAnsi="Arial" w:cs="Arial"/>
          <w:sz w:val="24"/>
          <w:szCs w:val="24"/>
        </w:rPr>
        <w:t>lication</w:t>
      </w:r>
      <w:r w:rsidR="006E52AA" w:rsidRPr="00051736">
        <w:rPr>
          <w:rFonts w:ascii="Arial" w:hAnsi="Arial" w:cs="Arial"/>
          <w:sz w:val="24"/>
          <w:szCs w:val="24"/>
        </w:rPr>
        <w:t>, for three main reasons:</w:t>
      </w:r>
    </w:p>
    <w:p w:rsidR="003B6E36" w:rsidRPr="00051736" w:rsidRDefault="003B6E36" w:rsidP="00EA1E47">
      <w:pPr>
        <w:spacing w:after="0" w:line="240" w:lineRule="auto"/>
        <w:rPr>
          <w:rFonts w:ascii="Arial" w:hAnsi="Arial" w:cs="Arial"/>
          <w:sz w:val="24"/>
          <w:szCs w:val="24"/>
        </w:rPr>
      </w:pPr>
    </w:p>
    <w:p w:rsidR="00652B4C" w:rsidRPr="007B3B98" w:rsidRDefault="006E52AA" w:rsidP="003B6E36">
      <w:pPr>
        <w:spacing w:after="0" w:line="240" w:lineRule="auto"/>
        <w:rPr>
          <w:rFonts w:ascii="Arial" w:hAnsi="Arial" w:cs="Arial"/>
          <w:b/>
          <w:i/>
          <w:sz w:val="24"/>
          <w:szCs w:val="24"/>
        </w:rPr>
      </w:pPr>
      <w:r w:rsidRPr="007B3B98">
        <w:rPr>
          <w:rFonts w:ascii="Arial" w:hAnsi="Arial" w:cs="Arial"/>
          <w:b/>
          <w:i/>
          <w:sz w:val="24"/>
          <w:szCs w:val="24"/>
        </w:rPr>
        <w:t>I</w:t>
      </w:r>
      <w:r w:rsidR="00652B4C" w:rsidRPr="007B3B98">
        <w:rPr>
          <w:rFonts w:ascii="Arial" w:hAnsi="Arial" w:cs="Arial"/>
          <w:b/>
          <w:i/>
          <w:sz w:val="24"/>
          <w:szCs w:val="24"/>
        </w:rPr>
        <w:t>mpact on employment</w:t>
      </w:r>
    </w:p>
    <w:p w:rsidR="00D35F1B" w:rsidRPr="00051736" w:rsidRDefault="00C400C9" w:rsidP="00C400C9">
      <w:pPr>
        <w:spacing w:after="0" w:line="240" w:lineRule="auto"/>
        <w:rPr>
          <w:rFonts w:ascii="Arial" w:hAnsi="Arial" w:cs="Arial"/>
          <w:sz w:val="24"/>
          <w:szCs w:val="24"/>
        </w:rPr>
      </w:pPr>
      <w:r w:rsidRPr="00051736">
        <w:rPr>
          <w:rFonts w:ascii="Arial" w:hAnsi="Arial" w:cs="Arial"/>
          <w:sz w:val="24"/>
          <w:szCs w:val="24"/>
        </w:rPr>
        <w:t xml:space="preserve">Were the temporary exemption not granted, the jobs of thousands of supported </w:t>
      </w:r>
      <w:r w:rsidR="00D35F1B" w:rsidRPr="00051736">
        <w:rPr>
          <w:rFonts w:ascii="Arial" w:hAnsi="Arial" w:cs="Arial"/>
          <w:sz w:val="24"/>
          <w:szCs w:val="24"/>
        </w:rPr>
        <w:t>employees would be in jeopardy.</w:t>
      </w:r>
    </w:p>
    <w:p w:rsidR="00D35F1B" w:rsidRPr="00051736" w:rsidRDefault="00D35F1B" w:rsidP="00C400C9">
      <w:pPr>
        <w:spacing w:after="0" w:line="240" w:lineRule="auto"/>
        <w:rPr>
          <w:rFonts w:ascii="Arial" w:hAnsi="Arial" w:cs="Arial"/>
          <w:sz w:val="24"/>
          <w:szCs w:val="24"/>
        </w:rPr>
      </w:pPr>
    </w:p>
    <w:p w:rsidR="00C25999" w:rsidRPr="00051736" w:rsidRDefault="00C25999" w:rsidP="00C25999">
      <w:pPr>
        <w:spacing w:after="0" w:line="240" w:lineRule="auto"/>
        <w:rPr>
          <w:rFonts w:ascii="Arial" w:hAnsi="Arial" w:cs="Arial"/>
          <w:sz w:val="24"/>
          <w:szCs w:val="24"/>
        </w:rPr>
      </w:pPr>
      <w:r w:rsidRPr="00051736">
        <w:rPr>
          <w:rFonts w:ascii="Arial" w:hAnsi="Arial" w:cs="Arial"/>
          <w:sz w:val="24"/>
          <w:szCs w:val="24"/>
        </w:rPr>
        <w:t xml:space="preserve">ADEs employ people with relatively </w:t>
      </w:r>
      <w:r w:rsidR="00821D76" w:rsidRPr="00051736">
        <w:rPr>
          <w:rFonts w:ascii="Arial" w:hAnsi="Arial" w:cs="Arial"/>
          <w:sz w:val="24"/>
          <w:szCs w:val="24"/>
        </w:rPr>
        <w:t>severe disability, three-quarters</w:t>
      </w:r>
      <w:r w:rsidRPr="00051736">
        <w:rPr>
          <w:rFonts w:ascii="Arial" w:hAnsi="Arial" w:cs="Arial"/>
          <w:sz w:val="24"/>
          <w:szCs w:val="24"/>
        </w:rPr>
        <w:t xml:space="preserve"> </w:t>
      </w:r>
      <w:r w:rsidR="00821D76" w:rsidRPr="00051736">
        <w:rPr>
          <w:rFonts w:ascii="Arial" w:hAnsi="Arial" w:cs="Arial"/>
          <w:sz w:val="24"/>
          <w:szCs w:val="24"/>
        </w:rPr>
        <w:t>with</w:t>
      </w:r>
      <w:r w:rsidRPr="00051736">
        <w:rPr>
          <w:rFonts w:ascii="Arial" w:hAnsi="Arial" w:cs="Arial"/>
          <w:sz w:val="24"/>
          <w:szCs w:val="24"/>
        </w:rPr>
        <w:t xml:space="preserve"> intellectual or learning disabilities, who would have significant difficulty sustaining employment in the open labour market. Section 7 of the Disability Services Act (Cth) defines </w:t>
      </w:r>
      <w:r w:rsidRPr="00051736">
        <w:rPr>
          <w:rFonts w:ascii="Arial" w:hAnsi="Arial" w:cs="Arial"/>
          <w:bCs/>
          <w:sz w:val="24"/>
          <w:szCs w:val="24"/>
        </w:rPr>
        <w:t>supported employment services</w:t>
      </w:r>
      <w:r w:rsidRPr="00051736">
        <w:rPr>
          <w:rFonts w:ascii="Arial" w:hAnsi="Arial" w:cs="Arial"/>
          <w:bCs/>
          <w:i/>
          <w:iCs/>
          <w:sz w:val="24"/>
          <w:szCs w:val="24"/>
        </w:rPr>
        <w:t> </w:t>
      </w:r>
      <w:r w:rsidR="00A95D48" w:rsidRPr="00051736">
        <w:rPr>
          <w:rFonts w:ascii="Arial" w:hAnsi="Arial" w:cs="Arial"/>
          <w:sz w:val="24"/>
          <w:szCs w:val="24"/>
        </w:rPr>
        <w:t xml:space="preserve">as </w:t>
      </w:r>
      <w:hyperlink r:id="rId10" w:anchor="service" w:history="1">
        <w:r w:rsidRPr="00051736">
          <w:rPr>
            <w:rStyle w:val="Hyperlink"/>
            <w:rFonts w:ascii="Arial" w:hAnsi="Arial" w:cs="Arial"/>
            <w:color w:val="auto"/>
            <w:sz w:val="24"/>
            <w:szCs w:val="24"/>
            <w:u w:val="none"/>
          </w:rPr>
          <w:t>services</w:t>
        </w:r>
      </w:hyperlink>
      <w:r w:rsidR="00533C09">
        <w:rPr>
          <w:rFonts w:ascii="Arial" w:hAnsi="Arial" w:cs="Arial"/>
          <w:sz w:val="24"/>
          <w:szCs w:val="24"/>
        </w:rPr>
        <w:t> that</w:t>
      </w:r>
      <w:r w:rsidRPr="00051736">
        <w:rPr>
          <w:rFonts w:ascii="Arial" w:hAnsi="Arial" w:cs="Arial"/>
          <w:sz w:val="24"/>
          <w:szCs w:val="24"/>
        </w:rPr>
        <w:t xml:space="preserve"> support the paid employment of </w:t>
      </w:r>
      <w:hyperlink r:id="rId11" w:anchor="person" w:history="1">
        <w:r w:rsidRPr="00051736">
          <w:rPr>
            <w:rStyle w:val="Hyperlink"/>
            <w:rFonts w:ascii="Arial" w:hAnsi="Arial" w:cs="Arial"/>
            <w:color w:val="auto"/>
            <w:sz w:val="24"/>
            <w:szCs w:val="24"/>
            <w:u w:val="none"/>
          </w:rPr>
          <w:t>persons</w:t>
        </w:r>
      </w:hyperlink>
      <w:r w:rsidRPr="00051736">
        <w:rPr>
          <w:rFonts w:ascii="Arial" w:hAnsi="Arial" w:cs="Arial"/>
          <w:sz w:val="24"/>
          <w:szCs w:val="24"/>
        </w:rPr>
        <w:t> </w:t>
      </w:r>
      <w:r w:rsidR="00533C09">
        <w:rPr>
          <w:rFonts w:ascii="Arial" w:hAnsi="Arial" w:cs="Arial"/>
          <w:sz w:val="24"/>
          <w:szCs w:val="24"/>
        </w:rPr>
        <w:t>with disabilities “</w:t>
      </w:r>
      <w:r w:rsidRPr="00051736">
        <w:rPr>
          <w:rFonts w:ascii="Arial" w:hAnsi="Arial" w:cs="Arial"/>
          <w:sz w:val="24"/>
          <w:szCs w:val="24"/>
        </w:rPr>
        <w:t>for whom competitive employment at or above the relevant award wage is unlikely; and who, because of their disabilities, need substantial ongoing support to obtain or retain paid employment</w:t>
      </w:r>
      <w:r w:rsidR="00533C09">
        <w:rPr>
          <w:rFonts w:ascii="Arial" w:hAnsi="Arial" w:cs="Arial"/>
          <w:sz w:val="24"/>
          <w:szCs w:val="24"/>
        </w:rPr>
        <w:t>.”</w:t>
      </w:r>
      <w:r w:rsidR="00A95D48" w:rsidRPr="00051736">
        <w:rPr>
          <w:rFonts w:ascii="Arial" w:hAnsi="Arial" w:cs="Arial"/>
          <w:sz w:val="24"/>
          <w:szCs w:val="24"/>
        </w:rPr>
        <w:t xml:space="preserve"> If supported employment is not a viable option, most supported </w:t>
      </w:r>
      <w:r w:rsidR="00821D76" w:rsidRPr="00051736">
        <w:rPr>
          <w:rFonts w:ascii="Arial" w:hAnsi="Arial" w:cs="Arial"/>
          <w:sz w:val="24"/>
          <w:szCs w:val="24"/>
        </w:rPr>
        <w:t>employees would</w:t>
      </w:r>
      <w:r w:rsidR="00A95D48" w:rsidRPr="00051736">
        <w:rPr>
          <w:rFonts w:ascii="Arial" w:hAnsi="Arial" w:cs="Arial"/>
          <w:sz w:val="24"/>
          <w:szCs w:val="24"/>
        </w:rPr>
        <w:t xml:space="preserve"> not have an alternative form of employment open to them. </w:t>
      </w:r>
    </w:p>
    <w:p w:rsidR="00C25999" w:rsidRPr="00051736" w:rsidRDefault="00C25999" w:rsidP="003B6E36">
      <w:pPr>
        <w:spacing w:after="0" w:line="240" w:lineRule="auto"/>
        <w:rPr>
          <w:rFonts w:ascii="Arial" w:hAnsi="Arial" w:cs="Arial"/>
          <w:sz w:val="24"/>
          <w:szCs w:val="24"/>
        </w:rPr>
      </w:pPr>
    </w:p>
    <w:p w:rsidR="00D35F1B" w:rsidRPr="00051736" w:rsidRDefault="006E52AA" w:rsidP="003B6E36">
      <w:pPr>
        <w:spacing w:after="0" w:line="240" w:lineRule="auto"/>
        <w:rPr>
          <w:rFonts w:ascii="Arial" w:hAnsi="Arial" w:cs="Arial"/>
          <w:sz w:val="24"/>
          <w:szCs w:val="24"/>
        </w:rPr>
      </w:pPr>
      <w:r w:rsidRPr="00051736">
        <w:rPr>
          <w:rFonts w:ascii="Arial" w:hAnsi="Arial" w:cs="Arial"/>
          <w:sz w:val="24"/>
          <w:szCs w:val="24"/>
        </w:rPr>
        <w:t>It has been proposed</w:t>
      </w:r>
      <w:r w:rsidR="00C400C9" w:rsidRPr="00051736">
        <w:rPr>
          <w:rFonts w:ascii="Arial" w:hAnsi="Arial" w:cs="Arial"/>
          <w:sz w:val="24"/>
          <w:szCs w:val="24"/>
        </w:rPr>
        <w:t xml:space="preserve"> that the productivity-based </w:t>
      </w:r>
      <w:r w:rsidR="009974FC">
        <w:rPr>
          <w:rFonts w:ascii="Arial" w:hAnsi="Arial" w:cs="Arial"/>
          <w:sz w:val="24"/>
          <w:szCs w:val="24"/>
        </w:rPr>
        <w:t>Supported Wage System (SWS) method</w:t>
      </w:r>
      <w:r w:rsidR="00C400C9" w:rsidRPr="00051736">
        <w:rPr>
          <w:rFonts w:ascii="Arial" w:hAnsi="Arial" w:cs="Arial"/>
          <w:sz w:val="24"/>
          <w:szCs w:val="24"/>
        </w:rPr>
        <w:t xml:space="preserve"> should replace the BSWAT.  </w:t>
      </w:r>
      <w:r w:rsidRPr="00051736">
        <w:rPr>
          <w:rFonts w:ascii="Arial" w:hAnsi="Arial" w:cs="Arial"/>
          <w:sz w:val="24"/>
          <w:szCs w:val="24"/>
        </w:rPr>
        <w:t>The SWS is used to determine pro-rata wages in open employment and</w:t>
      </w:r>
      <w:r w:rsidR="009974FC">
        <w:rPr>
          <w:rFonts w:ascii="Arial" w:hAnsi="Arial" w:cs="Arial"/>
          <w:sz w:val="24"/>
          <w:szCs w:val="24"/>
        </w:rPr>
        <w:t xml:space="preserve"> to a very limited extent</w:t>
      </w:r>
      <w:r w:rsidRPr="00051736">
        <w:rPr>
          <w:rFonts w:ascii="Arial" w:hAnsi="Arial" w:cs="Arial"/>
          <w:sz w:val="24"/>
          <w:szCs w:val="24"/>
        </w:rPr>
        <w:t xml:space="preserve"> in supported em</w:t>
      </w:r>
      <w:r w:rsidR="00D35F1B" w:rsidRPr="00051736">
        <w:rPr>
          <w:rFonts w:ascii="Arial" w:hAnsi="Arial" w:cs="Arial"/>
          <w:sz w:val="24"/>
          <w:szCs w:val="24"/>
        </w:rPr>
        <w:t>ployment (</w:t>
      </w:r>
      <w:r w:rsidRPr="00051736">
        <w:rPr>
          <w:rFonts w:ascii="Arial" w:hAnsi="Arial" w:cs="Arial"/>
          <w:sz w:val="24"/>
          <w:szCs w:val="24"/>
        </w:rPr>
        <w:t>f</w:t>
      </w:r>
      <w:r w:rsidR="00C400C9" w:rsidRPr="00051736">
        <w:rPr>
          <w:rFonts w:ascii="Arial" w:hAnsi="Arial" w:cs="Arial"/>
          <w:sz w:val="24"/>
          <w:szCs w:val="24"/>
        </w:rPr>
        <w:t>ewer than 4% of supported employees currently have their wages determined by the SWS</w:t>
      </w:r>
      <w:r w:rsidR="009974FC">
        <w:rPr>
          <w:rFonts w:ascii="Arial" w:hAnsi="Arial" w:cs="Arial"/>
          <w:sz w:val="24"/>
          <w:szCs w:val="24"/>
        </w:rPr>
        <w:t xml:space="preserve"> method). </w:t>
      </w:r>
      <w:r w:rsidR="00C400C9" w:rsidRPr="00051736">
        <w:rPr>
          <w:rFonts w:ascii="Arial" w:hAnsi="Arial" w:cs="Arial"/>
          <w:sz w:val="24"/>
          <w:szCs w:val="24"/>
        </w:rPr>
        <w:t xml:space="preserve">Replacing the BSWAT with the SWS would have the immediate impact of </w:t>
      </w:r>
      <w:r w:rsidRPr="00051736">
        <w:rPr>
          <w:rFonts w:ascii="Arial" w:hAnsi="Arial" w:cs="Arial"/>
          <w:sz w:val="24"/>
          <w:szCs w:val="24"/>
        </w:rPr>
        <w:t xml:space="preserve">substantially </w:t>
      </w:r>
      <w:r w:rsidR="00C400C9" w:rsidRPr="00051736">
        <w:rPr>
          <w:rFonts w:ascii="Arial" w:hAnsi="Arial" w:cs="Arial"/>
          <w:sz w:val="24"/>
          <w:szCs w:val="24"/>
        </w:rPr>
        <w:t>increasing wage cos</w:t>
      </w:r>
      <w:r w:rsidRPr="00051736">
        <w:rPr>
          <w:rFonts w:ascii="Arial" w:hAnsi="Arial" w:cs="Arial"/>
          <w:sz w:val="24"/>
          <w:szCs w:val="24"/>
        </w:rPr>
        <w:t>ts for ADEs</w:t>
      </w:r>
      <w:r w:rsidR="00D35F1B" w:rsidRPr="00051736">
        <w:rPr>
          <w:rFonts w:ascii="Arial" w:hAnsi="Arial" w:cs="Arial"/>
          <w:sz w:val="24"/>
          <w:szCs w:val="24"/>
        </w:rPr>
        <w:t>, which t</w:t>
      </w:r>
      <w:r w:rsidRPr="00051736">
        <w:rPr>
          <w:rFonts w:ascii="Arial" w:hAnsi="Arial" w:cs="Arial"/>
          <w:sz w:val="24"/>
          <w:szCs w:val="24"/>
        </w:rPr>
        <w:t>hey simply could not afford</w:t>
      </w:r>
      <w:r w:rsidR="00046242" w:rsidRPr="00051736">
        <w:rPr>
          <w:rFonts w:ascii="Arial" w:hAnsi="Arial" w:cs="Arial"/>
          <w:sz w:val="24"/>
          <w:szCs w:val="24"/>
        </w:rPr>
        <w:t>.</w:t>
      </w:r>
      <w:r w:rsidR="003B6E36" w:rsidRPr="00051736">
        <w:rPr>
          <w:rFonts w:ascii="Arial" w:hAnsi="Arial" w:cs="Arial"/>
          <w:sz w:val="24"/>
          <w:szCs w:val="24"/>
        </w:rPr>
        <w:t xml:space="preserve"> The </w:t>
      </w:r>
      <w:r w:rsidR="00D35F1B" w:rsidRPr="00051736">
        <w:rPr>
          <w:rFonts w:ascii="Arial" w:hAnsi="Arial" w:cs="Arial"/>
          <w:sz w:val="24"/>
          <w:szCs w:val="24"/>
        </w:rPr>
        <w:t xml:space="preserve">financial viability of many ADEs is tenuous and, in the absence of </w:t>
      </w:r>
      <w:r w:rsidR="00821D76" w:rsidRPr="00051736">
        <w:rPr>
          <w:rFonts w:ascii="Arial" w:hAnsi="Arial" w:cs="Arial"/>
          <w:sz w:val="24"/>
          <w:szCs w:val="24"/>
        </w:rPr>
        <w:t>significant additional income</w:t>
      </w:r>
      <w:r w:rsidR="00D35F1B" w:rsidRPr="00051736">
        <w:rPr>
          <w:rFonts w:ascii="Arial" w:hAnsi="Arial" w:cs="Arial"/>
          <w:sz w:val="24"/>
          <w:szCs w:val="24"/>
        </w:rPr>
        <w:t xml:space="preserve">, increased wage costs would cause the closure of many ADEs and </w:t>
      </w:r>
      <w:r w:rsidR="00821D76" w:rsidRPr="00051736">
        <w:rPr>
          <w:rFonts w:ascii="Arial" w:hAnsi="Arial" w:cs="Arial"/>
          <w:sz w:val="24"/>
          <w:szCs w:val="24"/>
        </w:rPr>
        <w:t xml:space="preserve">the </w:t>
      </w:r>
      <w:r w:rsidR="00D35F1B" w:rsidRPr="00051736">
        <w:rPr>
          <w:rFonts w:ascii="Arial" w:hAnsi="Arial" w:cs="Arial"/>
          <w:sz w:val="24"/>
          <w:szCs w:val="24"/>
        </w:rPr>
        <w:t>unemployment</w:t>
      </w:r>
      <w:r w:rsidR="00821D76" w:rsidRPr="00051736">
        <w:rPr>
          <w:rFonts w:ascii="Arial" w:hAnsi="Arial" w:cs="Arial"/>
          <w:sz w:val="24"/>
          <w:szCs w:val="24"/>
        </w:rPr>
        <w:t xml:space="preserve"> of supported employees</w:t>
      </w:r>
      <w:r w:rsidR="00D35F1B" w:rsidRPr="00051736">
        <w:rPr>
          <w:rFonts w:ascii="Arial" w:hAnsi="Arial" w:cs="Arial"/>
          <w:sz w:val="24"/>
          <w:szCs w:val="24"/>
        </w:rPr>
        <w:t xml:space="preserve">. </w:t>
      </w:r>
    </w:p>
    <w:p w:rsidR="00D35F1B" w:rsidRPr="00051736" w:rsidRDefault="00D35F1B" w:rsidP="003B6E36">
      <w:pPr>
        <w:spacing w:after="0" w:line="240" w:lineRule="auto"/>
        <w:rPr>
          <w:rFonts w:ascii="Arial" w:hAnsi="Arial" w:cs="Arial"/>
          <w:sz w:val="24"/>
          <w:szCs w:val="24"/>
        </w:rPr>
      </w:pPr>
    </w:p>
    <w:p w:rsidR="00D35F1B" w:rsidRPr="00051736" w:rsidRDefault="00821D76" w:rsidP="003B6E36">
      <w:pPr>
        <w:spacing w:after="0" w:line="240" w:lineRule="auto"/>
        <w:rPr>
          <w:rFonts w:ascii="Arial" w:hAnsi="Arial" w:cs="Arial"/>
          <w:sz w:val="24"/>
          <w:szCs w:val="24"/>
        </w:rPr>
      </w:pPr>
      <w:r w:rsidRPr="00051736">
        <w:rPr>
          <w:rFonts w:ascii="Arial" w:hAnsi="Arial" w:cs="Arial"/>
          <w:sz w:val="24"/>
          <w:szCs w:val="24"/>
        </w:rPr>
        <w:t>Moreover, t</w:t>
      </w:r>
      <w:r w:rsidR="00D35F1B" w:rsidRPr="00051736">
        <w:rPr>
          <w:rFonts w:ascii="Arial" w:hAnsi="Arial" w:cs="Arial"/>
          <w:sz w:val="24"/>
          <w:szCs w:val="24"/>
        </w:rPr>
        <w:t xml:space="preserve">he most likely supported employees to be priced out of jobs are those with the most precarious footing in the workforce – people whose support needs are high and productivity low. People with severe and profound disability have a very low </w:t>
      </w:r>
      <w:r w:rsidR="00D35F1B" w:rsidRPr="00051736">
        <w:rPr>
          <w:rFonts w:ascii="Arial" w:hAnsi="Arial" w:cs="Arial"/>
          <w:sz w:val="24"/>
          <w:szCs w:val="24"/>
        </w:rPr>
        <w:lastRenderedPageBreak/>
        <w:t>labour force participation rate</w:t>
      </w:r>
      <w:r w:rsidR="00D35F1B" w:rsidRPr="00051736">
        <w:rPr>
          <w:rStyle w:val="FootnoteReference"/>
          <w:rFonts w:ascii="Arial" w:hAnsi="Arial" w:cs="Arial"/>
          <w:sz w:val="24"/>
          <w:szCs w:val="24"/>
        </w:rPr>
        <w:footnoteReference w:id="1"/>
      </w:r>
      <w:r w:rsidR="00D35F1B" w:rsidRPr="00051736">
        <w:rPr>
          <w:rFonts w:ascii="Arial" w:hAnsi="Arial" w:cs="Arial"/>
          <w:sz w:val="24"/>
          <w:szCs w:val="24"/>
        </w:rPr>
        <w:t xml:space="preserve"> as it is without further denying them employment opportunities of the type provided by ADEs.</w:t>
      </w:r>
    </w:p>
    <w:p w:rsidR="00152436" w:rsidRPr="00051736" w:rsidRDefault="00152436" w:rsidP="00152436">
      <w:pPr>
        <w:spacing w:after="0" w:line="240" w:lineRule="auto"/>
        <w:rPr>
          <w:rFonts w:ascii="Arial" w:hAnsi="Arial" w:cs="Arial"/>
          <w:sz w:val="24"/>
          <w:szCs w:val="24"/>
        </w:rPr>
      </w:pPr>
    </w:p>
    <w:p w:rsidR="00152436" w:rsidRPr="00051736" w:rsidRDefault="00152436" w:rsidP="00152436">
      <w:pPr>
        <w:spacing w:after="0" w:line="240" w:lineRule="auto"/>
        <w:rPr>
          <w:rFonts w:ascii="Arial" w:hAnsi="Arial" w:cs="Arial"/>
          <w:sz w:val="24"/>
          <w:szCs w:val="24"/>
        </w:rPr>
      </w:pPr>
      <w:r w:rsidRPr="00051736">
        <w:rPr>
          <w:rFonts w:ascii="Arial" w:hAnsi="Arial" w:cs="Arial"/>
          <w:sz w:val="24"/>
          <w:szCs w:val="24"/>
        </w:rPr>
        <w:t>While some advocates argue for the SWS on equity grounds, this is not straightforward. Supported employees with intellectual competence and severe physical disabilities (e.g. cerebral palsy) would be materially disadvantaged by a move to the SWS, as would many employees with psychiatric conditions.</w:t>
      </w:r>
    </w:p>
    <w:p w:rsidR="00D35F1B" w:rsidRPr="00051736" w:rsidRDefault="00D35F1B" w:rsidP="003B6E36">
      <w:pPr>
        <w:spacing w:after="0" w:line="240" w:lineRule="auto"/>
        <w:rPr>
          <w:rFonts w:ascii="Arial" w:hAnsi="Arial" w:cs="Arial"/>
          <w:sz w:val="24"/>
          <w:szCs w:val="24"/>
        </w:rPr>
      </w:pPr>
    </w:p>
    <w:p w:rsidR="00D35F1B" w:rsidRPr="00051736" w:rsidRDefault="00152436" w:rsidP="00D35F1B">
      <w:pPr>
        <w:spacing w:after="0" w:line="240" w:lineRule="auto"/>
        <w:rPr>
          <w:rFonts w:ascii="Arial" w:hAnsi="Arial" w:cs="Arial"/>
          <w:sz w:val="24"/>
          <w:szCs w:val="24"/>
        </w:rPr>
      </w:pPr>
      <w:r w:rsidRPr="00051736">
        <w:rPr>
          <w:rFonts w:ascii="Arial" w:hAnsi="Arial" w:cs="Arial"/>
          <w:sz w:val="24"/>
          <w:szCs w:val="24"/>
        </w:rPr>
        <w:t>S</w:t>
      </w:r>
      <w:r w:rsidR="00D35F1B" w:rsidRPr="00051736">
        <w:rPr>
          <w:rFonts w:ascii="Arial" w:hAnsi="Arial" w:cs="Arial"/>
          <w:sz w:val="24"/>
          <w:szCs w:val="24"/>
        </w:rPr>
        <w:t xml:space="preserve">ome advocates </w:t>
      </w:r>
      <w:r w:rsidRPr="00051736">
        <w:rPr>
          <w:rFonts w:ascii="Arial" w:hAnsi="Arial" w:cs="Arial"/>
          <w:sz w:val="24"/>
          <w:szCs w:val="24"/>
        </w:rPr>
        <w:t xml:space="preserve">also </w:t>
      </w:r>
      <w:r w:rsidR="00D35F1B" w:rsidRPr="00051736">
        <w:rPr>
          <w:rFonts w:ascii="Arial" w:hAnsi="Arial" w:cs="Arial"/>
          <w:sz w:val="24"/>
          <w:szCs w:val="24"/>
        </w:rPr>
        <w:t>argue that supported employe</w:t>
      </w:r>
      <w:r w:rsidR="00E17E02" w:rsidRPr="00051736">
        <w:rPr>
          <w:rFonts w:ascii="Arial" w:hAnsi="Arial" w:cs="Arial"/>
          <w:sz w:val="24"/>
          <w:szCs w:val="24"/>
        </w:rPr>
        <w:t>es should be in open employment: but</w:t>
      </w:r>
      <w:r w:rsidR="00D35F1B" w:rsidRPr="00051736">
        <w:rPr>
          <w:rFonts w:ascii="Arial" w:hAnsi="Arial" w:cs="Arial"/>
          <w:sz w:val="24"/>
          <w:szCs w:val="24"/>
        </w:rPr>
        <w:t xml:space="preserve"> overseas experience indicates that when supported (or sheltered) employment closes, </w:t>
      </w:r>
      <w:r w:rsidR="00821D76" w:rsidRPr="00051736">
        <w:rPr>
          <w:rFonts w:ascii="Arial" w:hAnsi="Arial" w:cs="Arial"/>
          <w:sz w:val="24"/>
          <w:szCs w:val="24"/>
        </w:rPr>
        <w:t xml:space="preserve">only some </w:t>
      </w:r>
      <w:r w:rsidR="00D35F1B" w:rsidRPr="00051736">
        <w:rPr>
          <w:rFonts w:ascii="Arial" w:hAnsi="Arial" w:cs="Arial"/>
          <w:sz w:val="24"/>
          <w:szCs w:val="24"/>
        </w:rPr>
        <w:t>supported employees make the transition to open employment</w:t>
      </w:r>
      <w:r w:rsidR="00821D76" w:rsidRPr="00051736">
        <w:rPr>
          <w:rFonts w:ascii="Arial" w:hAnsi="Arial" w:cs="Arial"/>
          <w:sz w:val="24"/>
          <w:szCs w:val="24"/>
        </w:rPr>
        <w:t xml:space="preserve"> – most do not</w:t>
      </w:r>
      <w:r w:rsidR="00D35F1B" w:rsidRPr="00051736">
        <w:rPr>
          <w:rFonts w:ascii="Arial" w:hAnsi="Arial" w:cs="Arial"/>
          <w:sz w:val="24"/>
          <w:szCs w:val="24"/>
        </w:rPr>
        <w:t>.</w:t>
      </w:r>
    </w:p>
    <w:p w:rsidR="00D35F1B" w:rsidRPr="00051736" w:rsidRDefault="00D35F1B" w:rsidP="00D35F1B">
      <w:pPr>
        <w:spacing w:after="0" w:line="240" w:lineRule="auto"/>
        <w:rPr>
          <w:rFonts w:ascii="Arial" w:hAnsi="Arial" w:cs="Arial"/>
          <w:sz w:val="24"/>
          <w:szCs w:val="24"/>
        </w:rPr>
      </w:pPr>
    </w:p>
    <w:p w:rsidR="00D35F1B" w:rsidRPr="00051736" w:rsidRDefault="00D35F1B" w:rsidP="00D35F1B">
      <w:pPr>
        <w:spacing w:after="0" w:line="240" w:lineRule="auto"/>
        <w:rPr>
          <w:rFonts w:ascii="Arial" w:hAnsi="Arial" w:cs="Arial"/>
          <w:sz w:val="24"/>
          <w:szCs w:val="24"/>
        </w:rPr>
      </w:pPr>
      <w:r w:rsidRPr="00051736">
        <w:rPr>
          <w:rFonts w:ascii="Arial" w:hAnsi="Arial" w:cs="Arial"/>
          <w:sz w:val="24"/>
          <w:szCs w:val="24"/>
        </w:rPr>
        <w:t>The Disabled Persons Employment Promotion Act introduced in New Zealand in 2004 required</w:t>
      </w:r>
      <w:r w:rsidR="00821D76" w:rsidRPr="00051736">
        <w:rPr>
          <w:rFonts w:ascii="Arial" w:hAnsi="Arial" w:cs="Arial"/>
          <w:sz w:val="24"/>
          <w:szCs w:val="24"/>
        </w:rPr>
        <w:t xml:space="preserve"> </w:t>
      </w:r>
      <w:r w:rsidRPr="00051736">
        <w:rPr>
          <w:rFonts w:ascii="Arial" w:hAnsi="Arial" w:cs="Arial"/>
          <w:sz w:val="24"/>
          <w:szCs w:val="24"/>
        </w:rPr>
        <w:t xml:space="preserve">that all supported employees be paid no less than the minimum wage. In 2007, at the </w:t>
      </w:r>
      <w:r w:rsidR="00821D76" w:rsidRPr="00051736">
        <w:rPr>
          <w:rFonts w:ascii="Arial" w:hAnsi="Arial" w:cs="Arial"/>
          <w:sz w:val="24"/>
          <w:szCs w:val="24"/>
        </w:rPr>
        <w:t xml:space="preserve">end of a </w:t>
      </w:r>
      <w:r w:rsidRPr="00051736">
        <w:rPr>
          <w:rFonts w:ascii="Arial" w:hAnsi="Arial" w:cs="Arial"/>
          <w:sz w:val="24"/>
          <w:szCs w:val="24"/>
        </w:rPr>
        <w:t xml:space="preserve">phase-in period, the Act was repealed and replaced by the Minimum Wage Amendment Act 2007. This </w:t>
      </w:r>
      <w:r w:rsidR="009974FC">
        <w:rPr>
          <w:rFonts w:ascii="Arial" w:hAnsi="Arial" w:cs="Arial"/>
          <w:sz w:val="24"/>
          <w:szCs w:val="24"/>
        </w:rPr>
        <w:t>allowed permits to be issued allowing</w:t>
      </w:r>
      <w:r w:rsidRPr="00051736">
        <w:rPr>
          <w:rFonts w:ascii="Arial" w:hAnsi="Arial" w:cs="Arial"/>
          <w:sz w:val="24"/>
          <w:szCs w:val="24"/>
        </w:rPr>
        <w:t xml:space="preserve"> individual workers to be paid less</w:t>
      </w:r>
      <w:r w:rsidR="009974FC">
        <w:rPr>
          <w:rFonts w:ascii="Arial" w:hAnsi="Arial" w:cs="Arial"/>
          <w:sz w:val="24"/>
          <w:szCs w:val="24"/>
        </w:rPr>
        <w:t xml:space="preserve"> than the minimum wage. The New Zealand </w:t>
      </w:r>
      <w:r w:rsidRPr="00051736">
        <w:rPr>
          <w:rFonts w:ascii="Arial" w:hAnsi="Arial" w:cs="Arial"/>
          <w:sz w:val="24"/>
          <w:szCs w:val="24"/>
        </w:rPr>
        <w:t xml:space="preserve">Minister of Disability Issues </w:t>
      </w:r>
      <w:r w:rsidR="009974FC">
        <w:rPr>
          <w:rFonts w:ascii="Arial" w:hAnsi="Arial" w:cs="Arial"/>
          <w:sz w:val="24"/>
          <w:szCs w:val="24"/>
        </w:rPr>
        <w:t xml:space="preserve">at the time </w:t>
      </w:r>
      <w:r w:rsidRPr="00051736">
        <w:rPr>
          <w:rFonts w:ascii="Arial" w:hAnsi="Arial" w:cs="Arial"/>
          <w:sz w:val="24"/>
          <w:szCs w:val="24"/>
        </w:rPr>
        <w:t>sai</w:t>
      </w:r>
      <w:r w:rsidR="009C7BE7">
        <w:rPr>
          <w:rFonts w:ascii="Arial" w:hAnsi="Arial" w:cs="Arial"/>
          <w:sz w:val="24"/>
          <w:szCs w:val="24"/>
        </w:rPr>
        <w:t>d: “</w:t>
      </w:r>
      <w:r w:rsidRPr="00051736">
        <w:rPr>
          <w:rFonts w:ascii="Arial" w:hAnsi="Arial" w:cs="Arial"/>
          <w:sz w:val="24"/>
          <w:szCs w:val="24"/>
        </w:rPr>
        <w:t xml:space="preserve">To counter concerns about the continuing financial viability of sheltered workshops, the ministry has put in place a system of individual minimum wage exemption permits for workers who are ‘significantly and demonstrably limited’ in their work.” </w:t>
      </w:r>
      <w:r w:rsidR="009974FC">
        <w:rPr>
          <w:rFonts w:ascii="Arial" w:hAnsi="Arial" w:cs="Arial"/>
          <w:sz w:val="24"/>
          <w:szCs w:val="24"/>
        </w:rPr>
        <w:t>T</w:t>
      </w:r>
      <w:r w:rsidR="00821D76" w:rsidRPr="00051736">
        <w:rPr>
          <w:rFonts w:ascii="Arial" w:hAnsi="Arial" w:cs="Arial"/>
          <w:sz w:val="24"/>
          <w:szCs w:val="24"/>
        </w:rPr>
        <w:t xml:space="preserve">he requirement to pay </w:t>
      </w:r>
      <w:r w:rsidR="009974FC">
        <w:rPr>
          <w:rFonts w:ascii="Arial" w:hAnsi="Arial" w:cs="Arial"/>
          <w:sz w:val="24"/>
          <w:szCs w:val="24"/>
        </w:rPr>
        <w:t>no less than the minimum wage</w:t>
      </w:r>
      <w:r w:rsidR="00821D76" w:rsidRPr="00051736">
        <w:rPr>
          <w:rFonts w:ascii="Arial" w:hAnsi="Arial" w:cs="Arial"/>
          <w:sz w:val="24"/>
          <w:szCs w:val="24"/>
        </w:rPr>
        <w:t xml:space="preserve"> was displacing many supported employees from work </w:t>
      </w:r>
      <w:r w:rsidRPr="00051736">
        <w:rPr>
          <w:rFonts w:ascii="Arial" w:hAnsi="Arial" w:cs="Arial"/>
          <w:sz w:val="24"/>
          <w:szCs w:val="24"/>
        </w:rPr>
        <w:t>and a significant num</w:t>
      </w:r>
      <w:r w:rsidR="00821D76" w:rsidRPr="00051736">
        <w:rPr>
          <w:rFonts w:ascii="Arial" w:hAnsi="Arial" w:cs="Arial"/>
          <w:sz w:val="24"/>
          <w:szCs w:val="24"/>
        </w:rPr>
        <w:t>ber of NZ supported employment services</w:t>
      </w:r>
      <w:r w:rsidRPr="00051736">
        <w:rPr>
          <w:rFonts w:ascii="Arial" w:hAnsi="Arial" w:cs="Arial"/>
          <w:sz w:val="24"/>
          <w:szCs w:val="24"/>
        </w:rPr>
        <w:t xml:space="preserve"> had converted to day centres providing non-work activities. </w:t>
      </w:r>
    </w:p>
    <w:p w:rsidR="00D35F1B" w:rsidRPr="00051736" w:rsidRDefault="00D35F1B" w:rsidP="00D35F1B">
      <w:pPr>
        <w:spacing w:after="0" w:line="240" w:lineRule="auto"/>
        <w:rPr>
          <w:rFonts w:ascii="Arial" w:hAnsi="Arial" w:cs="Arial"/>
          <w:sz w:val="24"/>
          <w:szCs w:val="24"/>
        </w:rPr>
      </w:pPr>
    </w:p>
    <w:p w:rsidR="00356CA6" w:rsidRPr="00051736" w:rsidRDefault="00D35F1B" w:rsidP="002739EA">
      <w:pPr>
        <w:spacing w:after="0" w:line="240" w:lineRule="auto"/>
        <w:rPr>
          <w:rFonts w:ascii="Arial" w:hAnsi="Arial" w:cs="Arial"/>
          <w:sz w:val="24"/>
          <w:szCs w:val="24"/>
        </w:rPr>
      </w:pPr>
      <w:r w:rsidRPr="00051736">
        <w:rPr>
          <w:rFonts w:ascii="Arial" w:hAnsi="Arial" w:cs="Arial"/>
          <w:sz w:val="24"/>
          <w:szCs w:val="24"/>
        </w:rPr>
        <w:t xml:space="preserve">It is essential </w:t>
      </w:r>
      <w:r w:rsidR="00152436" w:rsidRPr="00051736">
        <w:rPr>
          <w:rFonts w:ascii="Arial" w:hAnsi="Arial" w:cs="Arial"/>
          <w:sz w:val="24"/>
          <w:szCs w:val="24"/>
        </w:rPr>
        <w:t>to the success of r</w:t>
      </w:r>
      <w:r w:rsidRPr="00051736">
        <w:rPr>
          <w:rFonts w:ascii="Arial" w:hAnsi="Arial" w:cs="Arial"/>
          <w:sz w:val="24"/>
          <w:szCs w:val="24"/>
        </w:rPr>
        <w:t>eform</w:t>
      </w:r>
      <w:r w:rsidR="00152436" w:rsidRPr="00051736">
        <w:rPr>
          <w:rFonts w:ascii="Arial" w:hAnsi="Arial" w:cs="Arial"/>
          <w:sz w:val="24"/>
          <w:szCs w:val="24"/>
        </w:rPr>
        <w:t xml:space="preserve">s to wage setting that they </w:t>
      </w:r>
      <w:r w:rsidRPr="00051736">
        <w:rPr>
          <w:rFonts w:ascii="Arial" w:hAnsi="Arial" w:cs="Arial"/>
          <w:sz w:val="24"/>
          <w:szCs w:val="24"/>
        </w:rPr>
        <w:t xml:space="preserve">not </w:t>
      </w:r>
      <w:r w:rsidR="00152436" w:rsidRPr="00051736">
        <w:rPr>
          <w:rFonts w:ascii="Arial" w:hAnsi="Arial" w:cs="Arial"/>
          <w:sz w:val="24"/>
          <w:szCs w:val="24"/>
        </w:rPr>
        <w:t xml:space="preserve">be </w:t>
      </w:r>
      <w:r w:rsidRPr="00051736">
        <w:rPr>
          <w:rFonts w:ascii="Arial" w:hAnsi="Arial" w:cs="Arial"/>
          <w:sz w:val="24"/>
          <w:szCs w:val="24"/>
        </w:rPr>
        <w:t>imposed like a sledgehammer from above</w:t>
      </w:r>
      <w:r w:rsidR="00152436" w:rsidRPr="00051736">
        <w:rPr>
          <w:rFonts w:ascii="Arial" w:hAnsi="Arial" w:cs="Arial"/>
          <w:sz w:val="24"/>
          <w:szCs w:val="24"/>
        </w:rPr>
        <w:t xml:space="preserve">, but that genuine efforts are made to </w:t>
      </w:r>
      <w:r w:rsidRPr="00051736">
        <w:rPr>
          <w:rFonts w:ascii="Arial" w:hAnsi="Arial" w:cs="Arial"/>
          <w:sz w:val="24"/>
          <w:szCs w:val="24"/>
        </w:rPr>
        <w:t xml:space="preserve">engage stakeholders positively and gain their support. Rapid implementation of the Federal Court </w:t>
      </w:r>
      <w:r w:rsidR="009974FC">
        <w:rPr>
          <w:rFonts w:ascii="Arial" w:hAnsi="Arial" w:cs="Arial"/>
          <w:sz w:val="24"/>
          <w:szCs w:val="24"/>
        </w:rPr>
        <w:t xml:space="preserve">BSWAT </w:t>
      </w:r>
      <w:r w:rsidRPr="00051736">
        <w:rPr>
          <w:rFonts w:ascii="Arial" w:hAnsi="Arial" w:cs="Arial"/>
          <w:sz w:val="24"/>
          <w:szCs w:val="24"/>
        </w:rPr>
        <w:t xml:space="preserve">decision would </w:t>
      </w:r>
      <w:r w:rsidR="009974FC">
        <w:rPr>
          <w:rFonts w:ascii="Arial" w:hAnsi="Arial" w:cs="Arial"/>
          <w:sz w:val="24"/>
          <w:szCs w:val="24"/>
        </w:rPr>
        <w:t xml:space="preserve">alarm and </w:t>
      </w:r>
      <w:r w:rsidRPr="00051736">
        <w:rPr>
          <w:rFonts w:ascii="Arial" w:hAnsi="Arial" w:cs="Arial"/>
          <w:sz w:val="24"/>
          <w:szCs w:val="24"/>
        </w:rPr>
        <w:t>alienate man</w:t>
      </w:r>
      <w:r w:rsidR="009974FC">
        <w:rPr>
          <w:rFonts w:ascii="Arial" w:hAnsi="Arial" w:cs="Arial"/>
          <w:sz w:val="24"/>
          <w:szCs w:val="24"/>
        </w:rPr>
        <w:t>y supported employees, families</w:t>
      </w:r>
      <w:r w:rsidRPr="00051736">
        <w:rPr>
          <w:rFonts w:ascii="Arial" w:hAnsi="Arial" w:cs="Arial"/>
          <w:sz w:val="24"/>
          <w:szCs w:val="24"/>
        </w:rPr>
        <w:t xml:space="preserve"> and service providers.</w:t>
      </w:r>
      <w:r w:rsidR="002739EA" w:rsidRPr="00051736">
        <w:rPr>
          <w:rFonts w:ascii="Arial" w:hAnsi="Arial" w:cs="Arial"/>
          <w:sz w:val="24"/>
          <w:szCs w:val="24"/>
        </w:rPr>
        <w:t xml:space="preserve"> </w:t>
      </w:r>
      <w:r w:rsidR="009974FC">
        <w:rPr>
          <w:rFonts w:ascii="Arial" w:hAnsi="Arial" w:cs="Arial"/>
          <w:sz w:val="24"/>
          <w:szCs w:val="24"/>
        </w:rPr>
        <w:t>It would cause great consternation in the supported employment sector, with many seeing the survival of ADEs as the issue at stake.</w:t>
      </w:r>
    </w:p>
    <w:p w:rsidR="00356CA6" w:rsidRPr="00051736" w:rsidRDefault="00356CA6" w:rsidP="002739EA">
      <w:pPr>
        <w:spacing w:after="0" w:line="240" w:lineRule="auto"/>
        <w:rPr>
          <w:rFonts w:ascii="Arial" w:hAnsi="Arial" w:cs="Arial"/>
          <w:sz w:val="24"/>
          <w:szCs w:val="24"/>
        </w:rPr>
      </w:pPr>
    </w:p>
    <w:p w:rsidR="002739EA" w:rsidRPr="00051736" w:rsidRDefault="002739EA" w:rsidP="002739EA">
      <w:pPr>
        <w:spacing w:after="0" w:line="240" w:lineRule="auto"/>
        <w:rPr>
          <w:rFonts w:ascii="Arial" w:hAnsi="Arial" w:cs="Arial"/>
          <w:sz w:val="24"/>
          <w:szCs w:val="24"/>
        </w:rPr>
      </w:pPr>
      <w:r w:rsidRPr="00051736">
        <w:rPr>
          <w:rFonts w:ascii="Arial" w:hAnsi="Arial" w:cs="Arial"/>
          <w:sz w:val="24"/>
          <w:szCs w:val="24"/>
        </w:rPr>
        <w:t xml:space="preserve">A 2007 </w:t>
      </w:r>
      <w:r w:rsidR="00152436" w:rsidRPr="00051736">
        <w:rPr>
          <w:rFonts w:ascii="Arial" w:hAnsi="Arial" w:cs="Arial"/>
          <w:sz w:val="24"/>
          <w:szCs w:val="24"/>
        </w:rPr>
        <w:t xml:space="preserve">US </w:t>
      </w:r>
      <w:r w:rsidRPr="00051736">
        <w:rPr>
          <w:rFonts w:ascii="Arial" w:hAnsi="Arial" w:cs="Arial"/>
          <w:sz w:val="24"/>
          <w:szCs w:val="24"/>
        </w:rPr>
        <w:t>report, sympathetic to reform of sub-minimum wages for people with di</w:t>
      </w:r>
      <w:r w:rsidR="009974FC">
        <w:rPr>
          <w:rFonts w:ascii="Arial" w:hAnsi="Arial" w:cs="Arial"/>
          <w:sz w:val="24"/>
          <w:szCs w:val="24"/>
        </w:rPr>
        <w:t>sability, concluded that imposing rapid</w:t>
      </w:r>
      <w:r w:rsidRPr="00051736">
        <w:rPr>
          <w:rFonts w:ascii="Arial" w:hAnsi="Arial" w:cs="Arial"/>
          <w:sz w:val="24"/>
          <w:szCs w:val="24"/>
        </w:rPr>
        <w:t xml:space="preserve"> change </w:t>
      </w:r>
      <w:r w:rsidR="009974FC">
        <w:rPr>
          <w:rFonts w:ascii="Arial" w:hAnsi="Arial" w:cs="Arial"/>
          <w:sz w:val="24"/>
          <w:szCs w:val="24"/>
        </w:rPr>
        <w:t xml:space="preserve">on the sector </w:t>
      </w:r>
      <w:r w:rsidRPr="00051736">
        <w:rPr>
          <w:rFonts w:ascii="Arial" w:hAnsi="Arial" w:cs="Arial"/>
          <w:sz w:val="24"/>
          <w:szCs w:val="24"/>
        </w:rPr>
        <w:t>is counter-productive:</w:t>
      </w:r>
    </w:p>
    <w:p w:rsidR="002739EA" w:rsidRPr="00051736" w:rsidRDefault="002739EA" w:rsidP="00D63516">
      <w:pPr>
        <w:spacing w:after="0" w:line="240" w:lineRule="auto"/>
        <w:rPr>
          <w:rFonts w:ascii="Arial" w:hAnsi="Arial" w:cs="Arial"/>
          <w:sz w:val="24"/>
          <w:szCs w:val="24"/>
        </w:rPr>
      </w:pPr>
    </w:p>
    <w:p w:rsidR="002739EA" w:rsidRPr="00051736" w:rsidRDefault="002739EA" w:rsidP="007B3B98">
      <w:pPr>
        <w:spacing w:after="0" w:line="240" w:lineRule="auto"/>
        <w:ind w:left="720"/>
        <w:rPr>
          <w:rFonts w:ascii="Arial" w:hAnsi="Arial" w:cs="Arial"/>
          <w:sz w:val="24"/>
          <w:szCs w:val="24"/>
          <w:lang w:val="en-US"/>
        </w:rPr>
      </w:pPr>
      <w:r w:rsidRPr="00051736">
        <w:rPr>
          <w:rFonts w:ascii="Arial" w:hAnsi="Arial" w:cs="Arial"/>
          <w:sz w:val="24"/>
          <w:szCs w:val="24"/>
          <w:lang w:val="en-US"/>
        </w:rPr>
        <w:t xml:space="preserve">Changes to policies regarding sub-minimum wage must be integrated into a state’s overall systems change efforts and commitment to community employment at meaningful wages.  Such efforts must include improvements in the funding mechanisms for day and employment supports, as well as support to community rehabilitation providers in the form of training, technical assistance, and support for organizational change. Evidence to date indicates that implementing dramatic changes in policy regarding sub-minimum wage as the primary mechanism for systems change, is likely to result in a multitude of unintended consequences, with service providers in particular focusing on maintaining the status quo, rather than seeing this as an opportunity for change. The experiences of Arizona and British Columbia also suggest that in </w:t>
      </w:r>
      <w:r w:rsidRPr="00051736">
        <w:rPr>
          <w:rFonts w:ascii="Arial" w:hAnsi="Arial" w:cs="Arial"/>
          <w:sz w:val="24"/>
          <w:szCs w:val="24"/>
          <w:lang w:val="en-US"/>
        </w:rPr>
        <w:lastRenderedPageBreak/>
        <w:t xml:space="preserve">the absence of a clear policy intent, individuals may in fact lose the legal protections and benefits of an employer-employee relationship when activities are redefined as training or service activities rather than employment. </w:t>
      </w:r>
    </w:p>
    <w:p w:rsidR="002739EA" w:rsidRPr="00051736" w:rsidRDefault="002739EA" w:rsidP="007B3B98">
      <w:pPr>
        <w:spacing w:after="0" w:line="240" w:lineRule="auto"/>
        <w:ind w:left="1440"/>
        <w:rPr>
          <w:rFonts w:ascii="Arial" w:hAnsi="Arial" w:cs="Arial"/>
          <w:sz w:val="24"/>
          <w:szCs w:val="24"/>
          <w:lang w:val="en-US"/>
        </w:rPr>
      </w:pPr>
    </w:p>
    <w:p w:rsidR="002739EA" w:rsidRPr="00051736" w:rsidRDefault="002739EA" w:rsidP="007B3B98">
      <w:pPr>
        <w:spacing w:line="240" w:lineRule="auto"/>
        <w:ind w:left="720"/>
        <w:rPr>
          <w:rFonts w:ascii="Arial" w:hAnsi="Arial" w:cs="Arial"/>
          <w:sz w:val="24"/>
          <w:szCs w:val="24"/>
          <w:lang w:val="en-US"/>
        </w:rPr>
      </w:pPr>
      <w:r w:rsidRPr="00051736">
        <w:rPr>
          <w:rFonts w:ascii="Arial" w:hAnsi="Arial" w:cs="Arial"/>
          <w:sz w:val="24"/>
          <w:szCs w:val="24"/>
          <w:lang w:val="en-US"/>
        </w:rPr>
        <w:t>In contrast to British Columbia, Arizona and New Zealand, where changes to sub-minimum wage involved complete elimination with little notice, it may be possible to make less radical changes with an adequate period of notice so that impact can be assessed and providers can be offered the necessary technical assistance and support to determine how they will respond.</w:t>
      </w:r>
      <w:r w:rsidRPr="00051736">
        <w:rPr>
          <w:rStyle w:val="FootnoteReference"/>
          <w:rFonts w:ascii="Arial" w:hAnsi="Arial" w:cs="Arial"/>
          <w:sz w:val="24"/>
          <w:szCs w:val="24"/>
          <w:lang w:val="en-US"/>
        </w:rPr>
        <w:footnoteReference w:id="2"/>
      </w:r>
      <w:r w:rsidRPr="00051736">
        <w:rPr>
          <w:rFonts w:ascii="Arial" w:hAnsi="Arial" w:cs="Arial"/>
          <w:sz w:val="24"/>
          <w:szCs w:val="24"/>
          <w:lang w:val="en-US"/>
        </w:rPr>
        <w:t xml:space="preserve"> </w:t>
      </w:r>
    </w:p>
    <w:p w:rsidR="00D35F1B" w:rsidRPr="00051736" w:rsidRDefault="002739EA" w:rsidP="00D35F1B">
      <w:pPr>
        <w:spacing w:after="0" w:line="240" w:lineRule="auto"/>
        <w:rPr>
          <w:rFonts w:ascii="Arial" w:hAnsi="Arial" w:cs="Arial"/>
          <w:sz w:val="24"/>
          <w:szCs w:val="24"/>
        </w:rPr>
      </w:pPr>
      <w:r w:rsidRPr="00051736">
        <w:rPr>
          <w:rFonts w:ascii="Arial" w:hAnsi="Arial" w:cs="Arial"/>
          <w:sz w:val="24"/>
          <w:szCs w:val="24"/>
        </w:rPr>
        <w:t>If the capacity of ADEs to pay wages is to expand, effort, investment and time are essential</w:t>
      </w:r>
      <w:r w:rsidR="00D35F1B" w:rsidRPr="00051736">
        <w:rPr>
          <w:rFonts w:ascii="Arial" w:hAnsi="Arial" w:cs="Arial"/>
          <w:sz w:val="24"/>
          <w:szCs w:val="24"/>
        </w:rPr>
        <w:t>.</w:t>
      </w:r>
      <w:r w:rsidRPr="00051736">
        <w:rPr>
          <w:rFonts w:ascii="Arial" w:hAnsi="Arial" w:cs="Arial"/>
          <w:sz w:val="24"/>
          <w:szCs w:val="24"/>
        </w:rPr>
        <w:t xml:space="preserve"> Imposing a requirement to pay higher wages withou</w:t>
      </w:r>
      <w:r w:rsidR="00152436" w:rsidRPr="00051736">
        <w:rPr>
          <w:rFonts w:ascii="Arial" w:hAnsi="Arial" w:cs="Arial"/>
          <w:sz w:val="24"/>
          <w:szCs w:val="24"/>
        </w:rPr>
        <w:t>t a source of additional income</w:t>
      </w:r>
      <w:r w:rsidRPr="00051736">
        <w:rPr>
          <w:rFonts w:ascii="Arial" w:hAnsi="Arial" w:cs="Arial"/>
          <w:sz w:val="24"/>
          <w:szCs w:val="24"/>
        </w:rPr>
        <w:t xml:space="preserve"> would ensure the loss of jobs for people whose alternative employment options are very few.</w:t>
      </w:r>
      <w:r w:rsidR="00D35F1B" w:rsidRPr="00051736">
        <w:rPr>
          <w:rFonts w:ascii="Arial" w:hAnsi="Arial" w:cs="Arial"/>
          <w:sz w:val="24"/>
          <w:szCs w:val="24"/>
        </w:rPr>
        <w:t xml:space="preserve">  </w:t>
      </w:r>
    </w:p>
    <w:p w:rsidR="00C523B7" w:rsidRPr="00051736" w:rsidRDefault="00C523B7" w:rsidP="00D35F1B">
      <w:pPr>
        <w:spacing w:after="0" w:line="240" w:lineRule="auto"/>
        <w:rPr>
          <w:rFonts w:ascii="Arial" w:hAnsi="Arial" w:cs="Arial"/>
          <w:sz w:val="24"/>
          <w:szCs w:val="24"/>
        </w:rPr>
      </w:pPr>
    </w:p>
    <w:p w:rsidR="00C523B7" w:rsidRPr="00051736" w:rsidRDefault="00C523B7" w:rsidP="00D35F1B">
      <w:pPr>
        <w:spacing w:after="0" w:line="240" w:lineRule="auto"/>
        <w:rPr>
          <w:rFonts w:ascii="Arial" w:hAnsi="Arial" w:cs="Arial"/>
          <w:sz w:val="24"/>
          <w:szCs w:val="24"/>
        </w:rPr>
      </w:pPr>
      <w:r w:rsidRPr="00051736">
        <w:rPr>
          <w:rFonts w:ascii="Arial" w:hAnsi="Arial" w:cs="Arial"/>
          <w:sz w:val="24"/>
          <w:szCs w:val="24"/>
        </w:rPr>
        <w:t>The consultation with supported employees that informed the development of the Vision for Inclusive Employm</w:t>
      </w:r>
      <w:r w:rsidR="005E6F50">
        <w:rPr>
          <w:rFonts w:ascii="Arial" w:hAnsi="Arial" w:cs="Arial"/>
          <w:sz w:val="24"/>
          <w:szCs w:val="24"/>
        </w:rPr>
        <w:t>ent identified a desire to improve wages</w:t>
      </w:r>
      <w:r w:rsidRPr="00051736">
        <w:rPr>
          <w:rFonts w:ascii="Arial" w:hAnsi="Arial" w:cs="Arial"/>
          <w:sz w:val="24"/>
          <w:szCs w:val="24"/>
        </w:rPr>
        <w:t xml:space="preserve">, but </w:t>
      </w:r>
      <w:r w:rsidR="00152436" w:rsidRPr="00051736">
        <w:rPr>
          <w:rFonts w:ascii="Arial" w:hAnsi="Arial" w:cs="Arial"/>
          <w:sz w:val="24"/>
          <w:szCs w:val="24"/>
        </w:rPr>
        <w:t xml:space="preserve">not </w:t>
      </w:r>
      <w:r w:rsidR="005E6F50">
        <w:rPr>
          <w:rFonts w:ascii="Arial" w:hAnsi="Arial" w:cs="Arial"/>
          <w:sz w:val="24"/>
          <w:szCs w:val="24"/>
        </w:rPr>
        <w:t xml:space="preserve">a case for radical </w:t>
      </w:r>
      <w:r w:rsidR="00152436" w:rsidRPr="00051736">
        <w:rPr>
          <w:rFonts w:ascii="Arial" w:hAnsi="Arial" w:cs="Arial"/>
          <w:sz w:val="24"/>
          <w:szCs w:val="24"/>
        </w:rPr>
        <w:t xml:space="preserve">change. </w:t>
      </w:r>
      <w:r w:rsidR="003829A9" w:rsidRPr="00051736">
        <w:rPr>
          <w:rFonts w:ascii="Arial" w:hAnsi="Arial" w:cs="Arial"/>
          <w:sz w:val="24"/>
          <w:szCs w:val="24"/>
        </w:rPr>
        <w:t>The majority o</w:t>
      </w:r>
      <w:r w:rsidR="003829A9">
        <w:rPr>
          <w:rFonts w:ascii="Arial" w:hAnsi="Arial" w:cs="Arial"/>
          <w:sz w:val="24"/>
          <w:szCs w:val="24"/>
        </w:rPr>
        <w:t xml:space="preserve">f supported employees </w:t>
      </w:r>
      <w:r w:rsidR="003829A9" w:rsidRPr="00051736">
        <w:rPr>
          <w:rFonts w:ascii="Arial" w:hAnsi="Arial" w:cs="Arial"/>
          <w:sz w:val="24"/>
          <w:szCs w:val="24"/>
        </w:rPr>
        <w:t>e</w:t>
      </w:r>
      <w:r w:rsidR="003829A9">
        <w:rPr>
          <w:rFonts w:ascii="Arial" w:hAnsi="Arial" w:cs="Arial"/>
          <w:sz w:val="24"/>
          <w:szCs w:val="24"/>
        </w:rPr>
        <w:t>xpressed</w:t>
      </w:r>
      <w:r w:rsidR="003829A9" w:rsidRPr="00051736">
        <w:rPr>
          <w:rFonts w:ascii="Arial" w:hAnsi="Arial" w:cs="Arial"/>
          <w:sz w:val="24"/>
          <w:szCs w:val="24"/>
        </w:rPr>
        <w:t xml:space="preserve"> satisfaction with their work.</w:t>
      </w:r>
      <w:r w:rsidR="003829A9">
        <w:rPr>
          <w:rFonts w:ascii="Arial" w:hAnsi="Arial" w:cs="Arial"/>
          <w:sz w:val="24"/>
          <w:szCs w:val="24"/>
        </w:rPr>
        <w:t xml:space="preserve"> This underlines the fact that w</w:t>
      </w:r>
      <w:r w:rsidR="005E6F50">
        <w:rPr>
          <w:rFonts w:ascii="Arial" w:hAnsi="Arial" w:cs="Arial"/>
          <w:sz w:val="24"/>
          <w:szCs w:val="24"/>
        </w:rPr>
        <w:t xml:space="preserve">ages are only one factor in determining the level of satisfaction experienced by supported employees. Many value the dignity they gain from work, the </w:t>
      </w:r>
      <w:r w:rsidR="003829A9">
        <w:rPr>
          <w:rFonts w:ascii="Arial" w:hAnsi="Arial" w:cs="Arial"/>
          <w:sz w:val="24"/>
          <w:szCs w:val="24"/>
        </w:rPr>
        <w:t>social</w:t>
      </w:r>
      <w:r w:rsidR="005E6F50">
        <w:rPr>
          <w:rFonts w:ascii="Arial" w:hAnsi="Arial" w:cs="Arial"/>
          <w:sz w:val="24"/>
          <w:szCs w:val="24"/>
        </w:rPr>
        <w:t xml:space="preserve"> </w:t>
      </w:r>
      <w:r w:rsidR="003829A9">
        <w:rPr>
          <w:rFonts w:ascii="Arial" w:hAnsi="Arial" w:cs="Arial"/>
          <w:sz w:val="24"/>
          <w:szCs w:val="24"/>
        </w:rPr>
        <w:t xml:space="preserve">network </w:t>
      </w:r>
      <w:r w:rsidR="005E6F50">
        <w:rPr>
          <w:rFonts w:ascii="Arial" w:hAnsi="Arial" w:cs="Arial"/>
          <w:sz w:val="24"/>
          <w:szCs w:val="24"/>
        </w:rPr>
        <w:t xml:space="preserve">they have at work and the knowledge that they are producing </w:t>
      </w:r>
      <w:r w:rsidR="003829A9">
        <w:rPr>
          <w:rFonts w:ascii="Arial" w:hAnsi="Arial" w:cs="Arial"/>
          <w:sz w:val="24"/>
          <w:szCs w:val="24"/>
        </w:rPr>
        <w:t>things of worth</w:t>
      </w:r>
      <w:r w:rsidRPr="00051736">
        <w:rPr>
          <w:rFonts w:ascii="Arial" w:hAnsi="Arial" w:cs="Arial"/>
          <w:sz w:val="24"/>
          <w:szCs w:val="24"/>
        </w:rPr>
        <w:t xml:space="preserve">. </w:t>
      </w:r>
    </w:p>
    <w:p w:rsidR="00D35F1B" w:rsidRPr="00051736" w:rsidRDefault="00D35F1B" w:rsidP="00D35F1B">
      <w:pPr>
        <w:spacing w:after="0" w:line="240" w:lineRule="auto"/>
        <w:rPr>
          <w:rFonts w:ascii="Arial" w:hAnsi="Arial" w:cs="Arial"/>
          <w:sz w:val="24"/>
          <w:szCs w:val="24"/>
        </w:rPr>
      </w:pPr>
    </w:p>
    <w:p w:rsidR="00C400C9" w:rsidRPr="0036497A" w:rsidRDefault="00C400C9" w:rsidP="003B6E36">
      <w:pPr>
        <w:spacing w:after="0" w:line="240" w:lineRule="auto"/>
        <w:rPr>
          <w:rFonts w:ascii="Arial" w:hAnsi="Arial" w:cs="Arial"/>
          <w:b/>
          <w:i/>
          <w:sz w:val="24"/>
          <w:szCs w:val="24"/>
        </w:rPr>
      </w:pPr>
      <w:r w:rsidRPr="0036497A">
        <w:rPr>
          <w:rFonts w:ascii="Arial" w:hAnsi="Arial" w:cs="Arial"/>
          <w:b/>
          <w:i/>
          <w:sz w:val="24"/>
          <w:szCs w:val="24"/>
        </w:rPr>
        <w:t>Practicality</w:t>
      </w:r>
    </w:p>
    <w:p w:rsidR="00356CA6" w:rsidRPr="00051736" w:rsidRDefault="003B6E36" w:rsidP="003B6E36">
      <w:pPr>
        <w:spacing w:after="0" w:line="240" w:lineRule="auto"/>
        <w:rPr>
          <w:rFonts w:ascii="Arial" w:hAnsi="Arial" w:cs="Arial"/>
          <w:sz w:val="24"/>
          <w:szCs w:val="24"/>
        </w:rPr>
      </w:pPr>
      <w:r w:rsidRPr="00051736">
        <w:rPr>
          <w:rFonts w:ascii="Arial" w:hAnsi="Arial" w:cs="Arial"/>
          <w:sz w:val="24"/>
          <w:szCs w:val="24"/>
        </w:rPr>
        <w:t xml:space="preserve">Changing wage assessment tools </w:t>
      </w:r>
      <w:r w:rsidR="00A178F0" w:rsidRPr="00051736">
        <w:rPr>
          <w:rFonts w:ascii="Arial" w:hAnsi="Arial" w:cs="Arial"/>
          <w:sz w:val="24"/>
          <w:szCs w:val="24"/>
        </w:rPr>
        <w:t xml:space="preserve">used by ADEs </w:t>
      </w:r>
      <w:r w:rsidRPr="00051736">
        <w:rPr>
          <w:rFonts w:ascii="Arial" w:hAnsi="Arial" w:cs="Arial"/>
          <w:sz w:val="24"/>
          <w:szCs w:val="24"/>
        </w:rPr>
        <w:t>would be logistically difficult</w:t>
      </w:r>
      <w:r w:rsidR="00841524" w:rsidRPr="00051736">
        <w:rPr>
          <w:rFonts w:ascii="Arial" w:hAnsi="Arial" w:cs="Arial"/>
          <w:sz w:val="24"/>
          <w:szCs w:val="24"/>
        </w:rPr>
        <w:t xml:space="preserve"> to complete quickly</w:t>
      </w:r>
      <w:r w:rsidR="00A178F0" w:rsidRPr="00051736">
        <w:rPr>
          <w:rFonts w:ascii="Arial" w:hAnsi="Arial" w:cs="Arial"/>
          <w:sz w:val="24"/>
          <w:szCs w:val="24"/>
        </w:rPr>
        <w:t xml:space="preserve">. </w:t>
      </w:r>
      <w:r w:rsidR="00925828" w:rsidRPr="00051736">
        <w:rPr>
          <w:rFonts w:ascii="Arial" w:hAnsi="Arial" w:cs="Arial"/>
          <w:sz w:val="24"/>
          <w:szCs w:val="24"/>
        </w:rPr>
        <w:t xml:space="preserve">Re-assessing thousands of employees </w:t>
      </w:r>
      <w:r w:rsidR="00841524" w:rsidRPr="00051736">
        <w:rPr>
          <w:rFonts w:ascii="Arial" w:hAnsi="Arial" w:cs="Arial"/>
          <w:sz w:val="24"/>
          <w:szCs w:val="24"/>
        </w:rPr>
        <w:t>using</w:t>
      </w:r>
      <w:r w:rsidR="00925828" w:rsidRPr="00051736">
        <w:rPr>
          <w:rFonts w:ascii="Arial" w:hAnsi="Arial" w:cs="Arial"/>
          <w:sz w:val="24"/>
          <w:szCs w:val="24"/>
        </w:rPr>
        <w:t xml:space="preserve"> a new </w:t>
      </w:r>
      <w:r w:rsidR="00841524" w:rsidRPr="00051736">
        <w:rPr>
          <w:rFonts w:ascii="Arial" w:hAnsi="Arial" w:cs="Arial"/>
          <w:sz w:val="24"/>
          <w:szCs w:val="24"/>
        </w:rPr>
        <w:t xml:space="preserve">wage assessment </w:t>
      </w:r>
      <w:r w:rsidR="00925828" w:rsidRPr="00051736">
        <w:rPr>
          <w:rFonts w:ascii="Arial" w:hAnsi="Arial" w:cs="Arial"/>
          <w:sz w:val="24"/>
          <w:szCs w:val="24"/>
        </w:rPr>
        <w:t>tool would re</w:t>
      </w:r>
      <w:r w:rsidR="00841524" w:rsidRPr="00051736">
        <w:rPr>
          <w:rFonts w:ascii="Arial" w:hAnsi="Arial" w:cs="Arial"/>
          <w:sz w:val="24"/>
          <w:szCs w:val="24"/>
        </w:rPr>
        <w:t>quire considerable time</w:t>
      </w:r>
      <w:r w:rsidR="00356CA6" w:rsidRPr="00051736">
        <w:rPr>
          <w:rFonts w:ascii="Arial" w:hAnsi="Arial" w:cs="Arial"/>
          <w:sz w:val="24"/>
          <w:szCs w:val="24"/>
        </w:rPr>
        <w:t>, training</w:t>
      </w:r>
      <w:r w:rsidR="00841524" w:rsidRPr="00051736">
        <w:rPr>
          <w:rFonts w:ascii="Arial" w:hAnsi="Arial" w:cs="Arial"/>
          <w:sz w:val="24"/>
          <w:szCs w:val="24"/>
        </w:rPr>
        <w:t xml:space="preserve"> and resources</w:t>
      </w:r>
      <w:r w:rsidR="00925828" w:rsidRPr="00051736">
        <w:rPr>
          <w:rFonts w:ascii="Arial" w:hAnsi="Arial" w:cs="Arial"/>
          <w:sz w:val="24"/>
          <w:szCs w:val="24"/>
        </w:rPr>
        <w:t xml:space="preserve">. </w:t>
      </w:r>
      <w:r w:rsidR="00A178F0" w:rsidRPr="00051736">
        <w:rPr>
          <w:rFonts w:ascii="Arial" w:hAnsi="Arial" w:cs="Arial"/>
          <w:sz w:val="24"/>
          <w:szCs w:val="24"/>
        </w:rPr>
        <w:t>M</w:t>
      </w:r>
      <w:r w:rsidRPr="00051736">
        <w:rPr>
          <w:rFonts w:ascii="Arial" w:hAnsi="Arial" w:cs="Arial"/>
          <w:sz w:val="24"/>
          <w:szCs w:val="24"/>
        </w:rPr>
        <w:t xml:space="preserve">oving </w:t>
      </w:r>
      <w:r w:rsidR="00A178F0" w:rsidRPr="00051736">
        <w:rPr>
          <w:rFonts w:ascii="Arial" w:hAnsi="Arial" w:cs="Arial"/>
          <w:sz w:val="24"/>
          <w:szCs w:val="24"/>
        </w:rPr>
        <w:t xml:space="preserve">the ADE sector (or at least half of it) </w:t>
      </w:r>
      <w:r w:rsidRPr="00051736">
        <w:rPr>
          <w:rFonts w:ascii="Arial" w:hAnsi="Arial" w:cs="Arial"/>
          <w:sz w:val="24"/>
          <w:szCs w:val="24"/>
        </w:rPr>
        <w:t xml:space="preserve">en masse to the SWS would require a large number of SWS assessors. </w:t>
      </w:r>
      <w:r w:rsidR="00841524" w:rsidRPr="00051736">
        <w:rPr>
          <w:rFonts w:ascii="Arial" w:hAnsi="Arial" w:cs="Arial"/>
          <w:sz w:val="24"/>
          <w:szCs w:val="24"/>
        </w:rPr>
        <w:t xml:space="preserve">The necessary workforce of </w:t>
      </w:r>
      <w:r w:rsidR="00356CA6" w:rsidRPr="00051736">
        <w:rPr>
          <w:rFonts w:ascii="Arial" w:hAnsi="Arial" w:cs="Arial"/>
          <w:sz w:val="24"/>
          <w:szCs w:val="24"/>
        </w:rPr>
        <w:t xml:space="preserve">qualified </w:t>
      </w:r>
      <w:r w:rsidR="00841524" w:rsidRPr="00051736">
        <w:rPr>
          <w:rFonts w:ascii="Arial" w:hAnsi="Arial" w:cs="Arial"/>
          <w:sz w:val="24"/>
          <w:szCs w:val="24"/>
        </w:rPr>
        <w:t xml:space="preserve">assessors does not exist; assessors would need to be recruited and trained. </w:t>
      </w:r>
      <w:r w:rsidRPr="00051736">
        <w:rPr>
          <w:rFonts w:ascii="Arial" w:hAnsi="Arial" w:cs="Arial"/>
          <w:sz w:val="24"/>
          <w:szCs w:val="24"/>
        </w:rPr>
        <w:t>This would be time</w:t>
      </w:r>
      <w:r w:rsidR="00925828" w:rsidRPr="00051736">
        <w:rPr>
          <w:rFonts w:ascii="Arial" w:hAnsi="Arial" w:cs="Arial"/>
          <w:sz w:val="24"/>
          <w:szCs w:val="24"/>
        </w:rPr>
        <w:t>-</w:t>
      </w:r>
      <w:r w:rsidRPr="00051736">
        <w:rPr>
          <w:rFonts w:ascii="Arial" w:hAnsi="Arial" w:cs="Arial"/>
          <w:sz w:val="24"/>
          <w:szCs w:val="24"/>
        </w:rPr>
        <w:t>consuming</w:t>
      </w:r>
      <w:r w:rsidR="0031059C" w:rsidRPr="00051736">
        <w:rPr>
          <w:rFonts w:ascii="Arial" w:hAnsi="Arial" w:cs="Arial"/>
          <w:sz w:val="24"/>
          <w:szCs w:val="24"/>
        </w:rPr>
        <w:t xml:space="preserve"> and ensure that supported employees remained in a state of uncertainty as to the </w:t>
      </w:r>
      <w:r w:rsidR="00F37D89" w:rsidRPr="00051736">
        <w:rPr>
          <w:rFonts w:ascii="Arial" w:hAnsi="Arial" w:cs="Arial"/>
          <w:sz w:val="24"/>
          <w:szCs w:val="24"/>
        </w:rPr>
        <w:t xml:space="preserve">actual </w:t>
      </w:r>
      <w:r w:rsidR="0031059C" w:rsidRPr="00051736">
        <w:rPr>
          <w:rFonts w:ascii="Arial" w:hAnsi="Arial" w:cs="Arial"/>
          <w:sz w:val="24"/>
          <w:szCs w:val="24"/>
        </w:rPr>
        <w:t xml:space="preserve">level of their wage rates. </w:t>
      </w:r>
    </w:p>
    <w:p w:rsidR="003B6E36" w:rsidRPr="00051736" w:rsidRDefault="003B6E36" w:rsidP="003B6E36">
      <w:pPr>
        <w:spacing w:after="0" w:line="240" w:lineRule="auto"/>
        <w:rPr>
          <w:rFonts w:ascii="Arial" w:hAnsi="Arial" w:cs="Arial"/>
          <w:sz w:val="24"/>
          <w:szCs w:val="24"/>
        </w:rPr>
      </w:pPr>
    </w:p>
    <w:p w:rsidR="00652B4C" w:rsidRPr="0036497A" w:rsidRDefault="00652B4C" w:rsidP="00F37D89">
      <w:pPr>
        <w:spacing w:after="0" w:line="240" w:lineRule="auto"/>
        <w:rPr>
          <w:rFonts w:ascii="Arial" w:hAnsi="Arial" w:cs="Arial"/>
          <w:b/>
          <w:i/>
          <w:sz w:val="24"/>
          <w:szCs w:val="24"/>
        </w:rPr>
      </w:pPr>
      <w:r w:rsidRPr="0036497A">
        <w:rPr>
          <w:rFonts w:ascii="Arial" w:hAnsi="Arial" w:cs="Arial"/>
          <w:b/>
          <w:i/>
          <w:sz w:val="24"/>
          <w:szCs w:val="24"/>
        </w:rPr>
        <w:t>Complexity</w:t>
      </w:r>
    </w:p>
    <w:p w:rsidR="00925828" w:rsidRPr="00051736" w:rsidRDefault="003B6E36" w:rsidP="00F37D89">
      <w:pPr>
        <w:spacing w:after="0" w:line="240" w:lineRule="auto"/>
        <w:rPr>
          <w:rFonts w:ascii="Arial" w:hAnsi="Arial" w:cs="Arial"/>
          <w:sz w:val="24"/>
          <w:szCs w:val="24"/>
        </w:rPr>
      </w:pPr>
      <w:r w:rsidRPr="00051736">
        <w:rPr>
          <w:rFonts w:ascii="Arial" w:hAnsi="Arial" w:cs="Arial"/>
          <w:sz w:val="24"/>
          <w:szCs w:val="24"/>
        </w:rPr>
        <w:t xml:space="preserve">The process to develop the BSWAT </w:t>
      </w:r>
      <w:r w:rsidR="00841524" w:rsidRPr="00051736">
        <w:rPr>
          <w:rFonts w:ascii="Arial" w:hAnsi="Arial" w:cs="Arial"/>
          <w:sz w:val="24"/>
          <w:szCs w:val="24"/>
        </w:rPr>
        <w:t xml:space="preserve">a decade ago </w:t>
      </w:r>
      <w:r w:rsidRPr="00051736">
        <w:rPr>
          <w:rFonts w:ascii="Arial" w:hAnsi="Arial" w:cs="Arial"/>
          <w:sz w:val="24"/>
          <w:szCs w:val="24"/>
        </w:rPr>
        <w:t xml:space="preserve">was </w:t>
      </w:r>
      <w:r w:rsidR="00841524" w:rsidRPr="00051736">
        <w:rPr>
          <w:rFonts w:ascii="Arial" w:hAnsi="Arial" w:cs="Arial"/>
          <w:sz w:val="24"/>
          <w:szCs w:val="24"/>
        </w:rPr>
        <w:t xml:space="preserve">technically </w:t>
      </w:r>
      <w:r w:rsidRPr="00051736">
        <w:rPr>
          <w:rFonts w:ascii="Arial" w:hAnsi="Arial" w:cs="Arial"/>
          <w:sz w:val="24"/>
          <w:szCs w:val="24"/>
        </w:rPr>
        <w:t xml:space="preserve">complex, </w:t>
      </w:r>
      <w:r w:rsidR="00841524" w:rsidRPr="00051736">
        <w:rPr>
          <w:rFonts w:ascii="Arial" w:hAnsi="Arial" w:cs="Arial"/>
          <w:sz w:val="24"/>
          <w:szCs w:val="24"/>
        </w:rPr>
        <w:t>entailed extensive consultation</w:t>
      </w:r>
      <w:r w:rsidRPr="00051736">
        <w:rPr>
          <w:rFonts w:ascii="Arial" w:hAnsi="Arial" w:cs="Arial"/>
          <w:sz w:val="24"/>
          <w:szCs w:val="24"/>
        </w:rPr>
        <w:t xml:space="preserve"> and </w:t>
      </w:r>
      <w:r w:rsidR="00841524" w:rsidRPr="00051736">
        <w:rPr>
          <w:rFonts w:ascii="Arial" w:hAnsi="Arial" w:cs="Arial"/>
          <w:sz w:val="24"/>
          <w:szCs w:val="24"/>
        </w:rPr>
        <w:t xml:space="preserve">was </w:t>
      </w:r>
      <w:r w:rsidRPr="00051736">
        <w:rPr>
          <w:rFonts w:ascii="Arial" w:hAnsi="Arial" w:cs="Arial"/>
          <w:sz w:val="24"/>
          <w:szCs w:val="24"/>
        </w:rPr>
        <w:t>painstaking</w:t>
      </w:r>
      <w:r w:rsidR="00841524" w:rsidRPr="00051736">
        <w:rPr>
          <w:rFonts w:ascii="Arial" w:hAnsi="Arial" w:cs="Arial"/>
          <w:sz w:val="24"/>
          <w:szCs w:val="24"/>
        </w:rPr>
        <w:t>. It took several</w:t>
      </w:r>
      <w:r w:rsidR="00652B4C" w:rsidRPr="00051736">
        <w:rPr>
          <w:rFonts w:ascii="Arial" w:hAnsi="Arial" w:cs="Arial"/>
          <w:sz w:val="24"/>
          <w:szCs w:val="24"/>
        </w:rPr>
        <w:t xml:space="preserve"> </w:t>
      </w:r>
      <w:r w:rsidRPr="00051736">
        <w:rPr>
          <w:rFonts w:ascii="Arial" w:hAnsi="Arial" w:cs="Arial"/>
          <w:sz w:val="24"/>
          <w:szCs w:val="24"/>
        </w:rPr>
        <w:t xml:space="preserve">years. The process for </w:t>
      </w:r>
      <w:r w:rsidR="00F330C3" w:rsidRPr="00051736">
        <w:rPr>
          <w:rFonts w:ascii="Arial" w:hAnsi="Arial" w:cs="Arial"/>
          <w:sz w:val="24"/>
          <w:szCs w:val="24"/>
        </w:rPr>
        <w:t xml:space="preserve">amending or </w:t>
      </w:r>
      <w:r w:rsidR="00652B4C" w:rsidRPr="00051736">
        <w:rPr>
          <w:rFonts w:ascii="Arial" w:hAnsi="Arial" w:cs="Arial"/>
          <w:sz w:val="24"/>
          <w:szCs w:val="24"/>
        </w:rPr>
        <w:t>replacing the BSWAT will be</w:t>
      </w:r>
      <w:r w:rsidR="00A15434" w:rsidRPr="00051736">
        <w:rPr>
          <w:rFonts w:ascii="Arial" w:hAnsi="Arial" w:cs="Arial"/>
          <w:sz w:val="24"/>
          <w:szCs w:val="24"/>
        </w:rPr>
        <w:t xml:space="preserve"> equally complex and should be</w:t>
      </w:r>
      <w:r w:rsidR="00A22781" w:rsidRPr="00051736">
        <w:rPr>
          <w:rFonts w:ascii="Arial" w:hAnsi="Arial" w:cs="Arial"/>
          <w:sz w:val="24"/>
          <w:szCs w:val="24"/>
        </w:rPr>
        <w:t xml:space="preserve"> </w:t>
      </w:r>
      <w:r w:rsidRPr="00051736">
        <w:rPr>
          <w:rFonts w:ascii="Arial" w:hAnsi="Arial" w:cs="Arial"/>
          <w:sz w:val="24"/>
          <w:szCs w:val="24"/>
        </w:rPr>
        <w:t>thoroug</w:t>
      </w:r>
      <w:r w:rsidR="00925828" w:rsidRPr="00051736">
        <w:rPr>
          <w:rFonts w:ascii="Arial" w:hAnsi="Arial" w:cs="Arial"/>
          <w:sz w:val="24"/>
          <w:szCs w:val="24"/>
        </w:rPr>
        <w:t>h, consultative and methodical.</w:t>
      </w:r>
      <w:r w:rsidR="00A15434" w:rsidRPr="00051736">
        <w:rPr>
          <w:rFonts w:ascii="Arial" w:hAnsi="Arial" w:cs="Arial"/>
          <w:sz w:val="24"/>
          <w:szCs w:val="24"/>
        </w:rPr>
        <w:t xml:space="preserve"> </w:t>
      </w:r>
    </w:p>
    <w:p w:rsidR="00925828" w:rsidRPr="00051736" w:rsidRDefault="00925828" w:rsidP="00F37D89">
      <w:pPr>
        <w:spacing w:after="0" w:line="240" w:lineRule="auto"/>
        <w:rPr>
          <w:rFonts w:ascii="Arial" w:hAnsi="Arial" w:cs="Arial"/>
          <w:sz w:val="24"/>
          <w:szCs w:val="24"/>
        </w:rPr>
      </w:pPr>
    </w:p>
    <w:p w:rsidR="00F37D89" w:rsidRPr="00051736" w:rsidRDefault="00925828" w:rsidP="00F37D89">
      <w:pPr>
        <w:spacing w:after="0" w:line="240" w:lineRule="auto"/>
        <w:rPr>
          <w:rFonts w:ascii="Arial" w:hAnsi="Arial" w:cs="Arial"/>
          <w:sz w:val="24"/>
          <w:szCs w:val="24"/>
        </w:rPr>
      </w:pPr>
      <w:r w:rsidRPr="00051736">
        <w:rPr>
          <w:rFonts w:ascii="Arial" w:hAnsi="Arial" w:cs="Arial"/>
          <w:sz w:val="24"/>
          <w:szCs w:val="24"/>
        </w:rPr>
        <w:t xml:space="preserve">Adding to the complexity </w:t>
      </w:r>
      <w:r w:rsidR="003B6E36" w:rsidRPr="00051736">
        <w:rPr>
          <w:rFonts w:ascii="Arial" w:hAnsi="Arial" w:cs="Arial"/>
          <w:sz w:val="24"/>
          <w:szCs w:val="24"/>
        </w:rPr>
        <w:t xml:space="preserve">is that legal interpretations of the Federal Court decision differ. </w:t>
      </w:r>
      <w:r w:rsidRPr="00051736">
        <w:rPr>
          <w:rFonts w:ascii="Arial" w:hAnsi="Arial" w:cs="Arial"/>
          <w:sz w:val="24"/>
          <w:szCs w:val="24"/>
        </w:rPr>
        <w:t xml:space="preserve">Implementing change will require clarity about the change </w:t>
      </w:r>
      <w:r w:rsidR="00841524" w:rsidRPr="00051736">
        <w:rPr>
          <w:rFonts w:ascii="Arial" w:hAnsi="Arial" w:cs="Arial"/>
          <w:sz w:val="24"/>
          <w:szCs w:val="24"/>
        </w:rPr>
        <w:t xml:space="preserve">to wage setting </w:t>
      </w:r>
      <w:r w:rsidRPr="00051736">
        <w:rPr>
          <w:rFonts w:ascii="Arial" w:hAnsi="Arial" w:cs="Arial"/>
          <w:sz w:val="24"/>
          <w:szCs w:val="24"/>
        </w:rPr>
        <w:t xml:space="preserve">which the Federal Court decision requires. The best </w:t>
      </w:r>
      <w:r w:rsidR="003B6E36" w:rsidRPr="00051736">
        <w:rPr>
          <w:rFonts w:ascii="Arial" w:hAnsi="Arial" w:cs="Arial"/>
          <w:sz w:val="24"/>
          <w:szCs w:val="24"/>
        </w:rPr>
        <w:t xml:space="preserve">alternative to the </w:t>
      </w:r>
      <w:r w:rsidR="00841524" w:rsidRPr="00051736">
        <w:rPr>
          <w:rFonts w:ascii="Arial" w:hAnsi="Arial" w:cs="Arial"/>
          <w:sz w:val="24"/>
          <w:szCs w:val="24"/>
        </w:rPr>
        <w:t xml:space="preserve">BSWAT, </w:t>
      </w:r>
      <w:r w:rsidR="00F37D89" w:rsidRPr="00051736">
        <w:rPr>
          <w:rFonts w:ascii="Arial" w:hAnsi="Arial" w:cs="Arial"/>
          <w:sz w:val="24"/>
          <w:szCs w:val="24"/>
        </w:rPr>
        <w:t>at this point in time</w:t>
      </w:r>
      <w:r w:rsidR="00841524" w:rsidRPr="00051736">
        <w:rPr>
          <w:rFonts w:ascii="Arial" w:hAnsi="Arial" w:cs="Arial"/>
          <w:sz w:val="24"/>
          <w:szCs w:val="24"/>
        </w:rPr>
        <w:t>,</w:t>
      </w:r>
      <w:r w:rsidR="00F37D89" w:rsidRPr="00051736">
        <w:rPr>
          <w:rFonts w:ascii="Arial" w:hAnsi="Arial" w:cs="Arial"/>
          <w:sz w:val="24"/>
          <w:szCs w:val="24"/>
        </w:rPr>
        <w:t xml:space="preserve"> </w:t>
      </w:r>
      <w:r w:rsidR="003B6E36" w:rsidRPr="00051736">
        <w:rPr>
          <w:rFonts w:ascii="Arial" w:hAnsi="Arial" w:cs="Arial"/>
          <w:sz w:val="24"/>
          <w:szCs w:val="24"/>
        </w:rPr>
        <w:t>is not clear. Options</w:t>
      </w:r>
      <w:r w:rsidR="00841524" w:rsidRPr="00051736">
        <w:rPr>
          <w:rFonts w:ascii="Arial" w:hAnsi="Arial" w:cs="Arial"/>
          <w:sz w:val="24"/>
          <w:szCs w:val="24"/>
        </w:rPr>
        <w:t xml:space="preserve"> include </w:t>
      </w:r>
      <w:r w:rsidR="003B6E36" w:rsidRPr="00051736">
        <w:rPr>
          <w:rFonts w:ascii="Arial" w:hAnsi="Arial" w:cs="Arial"/>
          <w:sz w:val="24"/>
          <w:szCs w:val="24"/>
        </w:rPr>
        <w:t>modify</w:t>
      </w:r>
      <w:r w:rsidR="00A22781" w:rsidRPr="00051736">
        <w:rPr>
          <w:rFonts w:ascii="Arial" w:hAnsi="Arial" w:cs="Arial"/>
          <w:sz w:val="24"/>
          <w:szCs w:val="24"/>
        </w:rPr>
        <w:t xml:space="preserve">ing the BSWAT, </w:t>
      </w:r>
      <w:r w:rsidR="00841524" w:rsidRPr="00051736">
        <w:rPr>
          <w:rFonts w:ascii="Arial" w:hAnsi="Arial" w:cs="Arial"/>
          <w:sz w:val="24"/>
          <w:szCs w:val="24"/>
        </w:rPr>
        <w:t xml:space="preserve">developing a new tool </w:t>
      </w:r>
      <w:r w:rsidR="00F37D89" w:rsidRPr="00051736">
        <w:rPr>
          <w:rFonts w:ascii="Arial" w:hAnsi="Arial" w:cs="Arial"/>
          <w:sz w:val="24"/>
          <w:szCs w:val="24"/>
        </w:rPr>
        <w:t xml:space="preserve">or </w:t>
      </w:r>
      <w:r w:rsidRPr="00051736">
        <w:rPr>
          <w:rFonts w:ascii="Arial" w:hAnsi="Arial" w:cs="Arial"/>
          <w:sz w:val="24"/>
          <w:szCs w:val="24"/>
        </w:rPr>
        <w:t>moving to an</w:t>
      </w:r>
      <w:r w:rsidR="00A22781" w:rsidRPr="00051736">
        <w:rPr>
          <w:rFonts w:ascii="Arial" w:hAnsi="Arial" w:cs="Arial"/>
          <w:sz w:val="24"/>
          <w:szCs w:val="24"/>
        </w:rPr>
        <w:t xml:space="preserve">other </w:t>
      </w:r>
      <w:r w:rsidRPr="00051736">
        <w:rPr>
          <w:rFonts w:ascii="Arial" w:hAnsi="Arial" w:cs="Arial"/>
          <w:sz w:val="24"/>
          <w:szCs w:val="24"/>
        </w:rPr>
        <w:t>recognised wage assessment tool</w:t>
      </w:r>
      <w:r w:rsidR="00A22781" w:rsidRPr="00051736">
        <w:rPr>
          <w:rFonts w:ascii="Arial" w:hAnsi="Arial" w:cs="Arial"/>
          <w:sz w:val="24"/>
          <w:szCs w:val="24"/>
        </w:rPr>
        <w:t xml:space="preserve">. </w:t>
      </w:r>
    </w:p>
    <w:p w:rsidR="00AA3685" w:rsidRDefault="00AA3685" w:rsidP="00F37D89">
      <w:pPr>
        <w:spacing w:after="0" w:line="240" w:lineRule="auto"/>
        <w:rPr>
          <w:rFonts w:ascii="Arial" w:hAnsi="Arial" w:cs="Arial"/>
          <w:sz w:val="24"/>
          <w:szCs w:val="24"/>
        </w:rPr>
      </w:pPr>
    </w:p>
    <w:p w:rsidR="00925828" w:rsidRPr="00051736" w:rsidRDefault="00925828" w:rsidP="00F37D89">
      <w:pPr>
        <w:spacing w:after="0" w:line="240" w:lineRule="auto"/>
        <w:rPr>
          <w:rFonts w:ascii="Arial" w:hAnsi="Arial" w:cs="Arial"/>
          <w:sz w:val="24"/>
          <w:szCs w:val="24"/>
        </w:rPr>
      </w:pPr>
      <w:r w:rsidRPr="00051736">
        <w:rPr>
          <w:rFonts w:ascii="Arial" w:hAnsi="Arial" w:cs="Arial"/>
          <w:sz w:val="24"/>
          <w:szCs w:val="24"/>
        </w:rPr>
        <w:lastRenderedPageBreak/>
        <w:t>The BSWAT is named in the Supported Employment Services Award and any chang</w:t>
      </w:r>
      <w:r w:rsidR="00E9177D" w:rsidRPr="00051736">
        <w:rPr>
          <w:rFonts w:ascii="Arial" w:hAnsi="Arial" w:cs="Arial"/>
          <w:sz w:val="24"/>
          <w:szCs w:val="24"/>
        </w:rPr>
        <w:t>e to that Award would</w:t>
      </w:r>
      <w:r w:rsidRPr="00051736">
        <w:rPr>
          <w:rFonts w:ascii="Arial" w:hAnsi="Arial" w:cs="Arial"/>
          <w:sz w:val="24"/>
          <w:szCs w:val="24"/>
        </w:rPr>
        <w:t xml:space="preserve"> need to engage all </w:t>
      </w:r>
      <w:r w:rsidR="00841524" w:rsidRPr="00051736">
        <w:rPr>
          <w:rFonts w:ascii="Arial" w:hAnsi="Arial" w:cs="Arial"/>
          <w:sz w:val="24"/>
          <w:szCs w:val="24"/>
        </w:rPr>
        <w:t xml:space="preserve">interested </w:t>
      </w:r>
      <w:r w:rsidRPr="00051736">
        <w:rPr>
          <w:rFonts w:ascii="Arial" w:hAnsi="Arial" w:cs="Arial"/>
          <w:sz w:val="24"/>
          <w:szCs w:val="24"/>
        </w:rPr>
        <w:t xml:space="preserve">parties, including unions and employer representatives. </w:t>
      </w:r>
    </w:p>
    <w:p w:rsidR="0020560D" w:rsidRPr="00051736" w:rsidRDefault="0020560D" w:rsidP="003829A9">
      <w:pPr>
        <w:spacing w:after="0" w:line="240" w:lineRule="auto"/>
        <w:rPr>
          <w:rFonts w:ascii="Arial" w:hAnsi="Arial" w:cs="Arial"/>
          <w:sz w:val="24"/>
          <w:szCs w:val="24"/>
        </w:rPr>
      </w:pPr>
    </w:p>
    <w:p w:rsidR="00A15434" w:rsidRPr="00051736" w:rsidRDefault="0020560D" w:rsidP="003829A9">
      <w:pPr>
        <w:spacing w:line="240" w:lineRule="auto"/>
        <w:rPr>
          <w:rFonts w:ascii="Arial" w:hAnsi="Arial" w:cs="Arial"/>
          <w:sz w:val="24"/>
          <w:szCs w:val="24"/>
        </w:rPr>
      </w:pPr>
      <w:r w:rsidRPr="00051736">
        <w:rPr>
          <w:rFonts w:ascii="Arial" w:hAnsi="Arial" w:cs="Arial"/>
          <w:sz w:val="24"/>
          <w:szCs w:val="24"/>
        </w:rPr>
        <w:t>Adding to the complexity is the disability policy environment which ADEs are entering, in particular the National Disability Insurance Scheme</w:t>
      </w:r>
      <w:r w:rsidR="00870A2D">
        <w:rPr>
          <w:rFonts w:ascii="Arial" w:hAnsi="Arial" w:cs="Arial"/>
          <w:sz w:val="24"/>
          <w:szCs w:val="24"/>
        </w:rPr>
        <w:t xml:space="preserve"> (NDIS)</w:t>
      </w:r>
      <w:r w:rsidR="003829A9">
        <w:rPr>
          <w:rFonts w:ascii="Arial" w:hAnsi="Arial" w:cs="Arial"/>
          <w:sz w:val="24"/>
          <w:szCs w:val="24"/>
        </w:rPr>
        <w:t>. The NDIS is an exciting and</w:t>
      </w:r>
      <w:r w:rsidRPr="00051736">
        <w:rPr>
          <w:rFonts w:ascii="Arial" w:hAnsi="Arial" w:cs="Arial"/>
          <w:sz w:val="24"/>
          <w:szCs w:val="24"/>
        </w:rPr>
        <w:t xml:space="preserve"> promising development</w:t>
      </w:r>
      <w:r w:rsidR="00870A2D">
        <w:rPr>
          <w:rFonts w:ascii="Arial" w:hAnsi="Arial" w:cs="Arial"/>
          <w:sz w:val="24"/>
          <w:szCs w:val="24"/>
        </w:rPr>
        <w:t>,</w:t>
      </w:r>
      <w:r w:rsidRPr="00051736">
        <w:rPr>
          <w:rFonts w:ascii="Arial" w:hAnsi="Arial" w:cs="Arial"/>
          <w:sz w:val="24"/>
          <w:szCs w:val="24"/>
        </w:rPr>
        <w:t xml:space="preserve"> but one that nevertheless poses challenges for ADEs as they move into a system which is demand-driven and based on principles of </w:t>
      </w:r>
      <w:r w:rsidR="003829A9">
        <w:rPr>
          <w:rFonts w:ascii="Arial" w:hAnsi="Arial" w:cs="Arial"/>
          <w:sz w:val="24"/>
          <w:szCs w:val="24"/>
        </w:rPr>
        <w:t>participant choice and control</w:t>
      </w:r>
      <w:r w:rsidRPr="00051736">
        <w:rPr>
          <w:rFonts w:ascii="Arial" w:hAnsi="Arial" w:cs="Arial"/>
          <w:sz w:val="24"/>
          <w:szCs w:val="24"/>
        </w:rPr>
        <w:t xml:space="preserve">. Reform of wage-setting arrangements should not be </w:t>
      </w:r>
      <w:r w:rsidR="003829A9">
        <w:rPr>
          <w:rFonts w:ascii="Arial" w:hAnsi="Arial" w:cs="Arial"/>
          <w:sz w:val="24"/>
          <w:szCs w:val="24"/>
        </w:rPr>
        <w:t xml:space="preserve">tackled in isolation of </w:t>
      </w:r>
      <w:r w:rsidRPr="00051736">
        <w:rPr>
          <w:rFonts w:ascii="Arial" w:hAnsi="Arial" w:cs="Arial"/>
          <w:sz w:val="24"/>
          <w:szCs w:val="24"/>
        </w:rPr>
        <w:t xml:space="preserve">the </w:t>
      </w:r>
      <w:r w:rsidR="003829A9">
        <w:rPr>
          <w:rFonts w:ascii="Arial" w:hAnsi="Arial" w:cs="Arial"/>
          <w:sz w:val="24"/>
          <w:szCs w:val="24"/>
        </w:rPr>
        <w:t xml:space="preserve">implementation of the </w:t>
      </w:r>
      <w:r w:rsidRPr="00051736">
        <w:rPr>
          <w:rFonts w:ascii="Arial" w:hAnsi="Arial" w:cs="Arial"/>
          <w:sz w:val="24"/>
          <w:szCs w:val="24"/>
        </w:rPr>
        <w:t xml:space="preserve">NDIS.  As far as possible, preparing for the NDIS should be aligned with the introduction of revised wage-setting </w:t>
      </w:r>
      <w:r w:rsidR="00870A2D">
        <w:rPr>
          <w:rFonts w:ascii="Arial" w:hAnsi="Arial" w:cs="Arial"/>
          <w:sz w:val="24"/>
          <w:szCs w:val="24"/>
        </w:rPr>
        <w:t>arrangements</w:t>
      </w:r>
      <w:r w:rsidRPr="00051736">
        <w:rPr>
          <w:rFonts w:ascii="Arial" w:hAnsi="Arial" w:cs="Arial"/>
          <w:sz w:val="24"/>
          <w:szCs w:val="24"/>
        </w:rPr>
        <w:t>.</w:t>
      </w:r>
      <w:r w:rsidR="003829A9" w:rsidRPr="003829A9">
        <w:rPr>
          <w:rFonts w:ascii="Arial" w:hAnsi="Arial" w:cs="Arial"/>
          <w:sz w:val="24"/>
          <w:szCs w:val="24"/>
        </w:rPr>
        <w:t xml:space="preserve"> </w:t>
      </w:r>
      <w:r w:rsidR="003829A9">
        <w:rPr>
          <w:rFonts w:ascii="Arial" w:hAnsi="Arial" w:cs="Arial"/>
          <w:sz w:val="24"/>
          <w:szCs w:val="24"/>
        </w:rPr>
        <w:t xml:space="preserve">It is worth noting that </w:t>
      </w:r>
      <w:r w:rsidR="003829A9" w:rsidRPr="003829A9">
        <w:rPr>
          <w:rFonts w:ascii="Arial" w:hAnsi="Arial" w:cs="Arial"/>
          <w:sz w:val="24"/>
          <w:szCs w:val="24"/>
        </w:rPr>
        <w:t xml:space="preserve">the Vision </w:t>
      </w:r>
      <w:r w:rsidR="003829A9">
        <w:rPr>
          <w:rFonts w:ascii="Arial" w:hAnsi="Arial" w:cs="Arial"/>
          <w:sz w:val="24"/>
          <w:szCs w:val="24"/>
        </w:rPr>
        <w:t>for Inclusive Employment, which sets out high-level reform goals</w:t>
      </w:r>
      <w:r w:rsidR="003829A9" w:rsidRPr="003829A9">
        <w:rPr>
          <w:rFonts w:ascii="Arial" w:hAnsi="Arial" w:cs="Arial"/>
          <w:sz w:val="24"/>
          <w:szCs w:val="24"/>
        </w:rPr>
        <w:t xml:space="preserve"> </w:t>
      </w:r>
      <w:r w:rsidR="003829A9">
        <w:rPr>
          <w:rFonts w:ascii="Arial" w:hAnsi="Arial" w:cs="Arial"/>
          <w:sz w:val="24"/>
          <w:szCs w:val="24"/>
        </w:rPr>
        <w:t>for supported employment and recognises the</w:t>
      </w:r>
      <w:r w:rsidR="003829A9" w:rsidRPr="003829A9">
        <w:rPr>
          <w:rFonts w:ascii="Arial" w:hAnsi="Arial" w:cs="Arial"/>
          <w:sz w:val="24"/>
          <w:szCs w:val="24"/>
        </w:rPr>
        <w:t xml:space="preserve"> inter-connected</w:t>
      </w:r>
      <w:r w:rsidR="003829A9">
        <w:rPr>
          <w:rFonts w:ascii="Arial" w:hAnsi="Arial" w:cs="Arial"/>
          <w:sz w:val="24"/>
          <w:szCs w:val="24"/>
        </w:rPr>
        <w:t>ness of these goals</w:t>
      </w:r>
      <w:r w:rsidR="003829A9" w:rsidRPr="003829A9">
        <w:rPr>
          <w:rFonts w:ascii="Arial" w:hAnsi="Arial" w:cs="Arial"/>
          <w:sz w:val="24"/>
          <w:szCs w:val="24"/>
        </w:rPr>
        <w:t>, extends over ten years</w:t>
      </w:r>
      <w:r w:rsidR="003829A9">
        <w:rPr>
          <w:rFonts w:ascii="Arial" w:hAnsi="Arial" w:cs="Arial"/>
          <w:sz w:val="24"/>
          <w:szCs w:val="24"/>
        </w:rPr>
        <w:t>.</w:t>
      </w:r>
    </w:p>
    <w:p w:rsidR="00A15434" w:rsidRPr="00051736" w:rsidRDefault="00A15434" w:rsidP="00F37D89">
      <w:pPr>
        <w:spacing w:after="0" w:line="240" w:lineRule="auto"/>
        <w:rPr>
          <w:rFonts w:ascii="Arial" w:hAnsi="Arial" w:cs="Arial"/>
          <w:sz w:val="24"/>
          <w:szCs w:val="24"/>
        </w:rPr>
      </w:pPr>
      <w:r w:rsidRPr="00051736">
        <w:rPr>
          <w:rFonts w:ascii="Arial" w:hAnsi="Arial" w:cs="Arial"/>
          <w:sz w:val="24"/>
          <w:szCs w:val="24"/>
        </w:rPr>
        <w:t>To develop wage setting arrangements that fully comply with the DDA will require working through industrial, technical</w:t>
      </w:r>
      <w:r w:rsidR="0020560D" w:rsidRPr="00051736">
        <w:rPr>
          <w:rFonts w:ascii="Arial" w:hAnsi="Arial" w:cs="Arial"/>
          <w:sz w:val="24"/>
          <w:szCs w:val="24"/>
        </w:rPr>
        <w:t>, policy</w:t>
      </w:r>
      <w:r w:rsidRPr="00051736">
        <w:rPr>
          <w:rFonts w:ascii="Arial" w:hAnsi="Arial" w:cs="Arial"/>
          <w:sz w:val="24"/>
          <w:szCs w:val="24"/>
        </w:rPr>
        <w:t xml:space="preserve"> and legal issues that are complex. It is important that this process proceed at a </w:t>
      </w:r>
      <w:r w:rsidR="004906F1">
        <w:rPr>
          <w:rFonts w:ascii="Arial" w:hAnsi="Arial" w:cs="Arial"/>
          <w:sz w:val="24"/>
          <w:szCs w:val="24"/>
        </w:rPr>
        <w:t xml:space="preserve">measured </w:t>
      </w:r>
      <w:r w:rsidRPr="00051736">
        <w:rPr>
          <w:rFonts w:ascii="Arial" w:hAnsi="Arial" w:cs="Arial"/>
          <w:sz w:val="24"/>
          <w:szCs w:val="24"/>
        </w:rPr>
        <w:t>pace which enables well-informed decision-mak</w:t>
      </w:r>
      <w:r w:rsidR="004906F1">
        <w:rPr>
          <w:rFonts w:ascii="Arial" w:hAnsi="Arial" w:cs="Arial"/>
          <w:sz w:val="24"/>
          <w:szCs w:val="24"/>
        </w:rPr>
        <w:t>ing and, as far as possible, maintains</w:t>
      </w:r>
      <w:r w:rsidRPr="00051736">
        <w:rPr>
          <w:rFonts w:ascii="Arial" w:hAnsi="Arial" w:cs="Arial"/>
          <w:sz w:val="24"/>
          <w:szCs w:val="24"/>
        </w:rPr>
        <w:t xml:space="preserve"> the support of stakeholders. </w:t>
      </w:r>
    </w:p>
    <w:p w:rsidR="00B277A0" w:rsidRPr="00051736" w:rsidRDefault="00A15434" w:rsidP="00B277A0">
      <w:pPr>
        <w:spacing w:after="0" w:line="240" w:lineRule="auto"/>
        <w:rPr>
          <w:rFonts w:ascii="Arial" w:hAnsi="Arial" w:cs="Arial"/>
          <w:sz w:val="24"/>
          <w:szCs w:val="24"/>
        </w:rPr>
      </w:pPr>
      <w:r w:rsidRPr="00051736">
        <w:rPr>
          <w:rFonts w:ascii="Arial" w:hAnsi="Arial" w:cs="Arial"/>
          <w:sz w:val="24"/>
          <w:szCs w:val="24"/>
        </w:rPr>
        <w:t xml:space="preserve"> </w:t>
      </w:r>
    </w:p>
    <w:p w:rsidR="00A15434" w:rsidRPr="00870A2D" w:rsidRDefault="00A15434" w:rsidP="00B277A0">
      <w:pPr>
        <w:spacing w:after="0" w:line="240" w:lineRule="auto"/>
        <w:rPr>
          <w:rFonts w:ascii="Arial" w:hAnsi="Arial" w:cs="Arial"/>
          <w:b/>
          <w:sz w:val="28"/>
          <w:szCs w:val="28"/>
        </w:rPr>
      </w:pPr>
      <w:r w:rsidRPr="00870A2D">
        <w:rPr>
          <w:rFonts w:ascii="Arial" w:hAnsi="Arial" w:cs="Arial"/>
          <w:b/>
          <w:sz w:val="28"/>
          <w:szCs w:val="28"/>
        </w:rPr>
        <w:t>Review wage-setting arrangements</w:t>
      </w:r>
    </w:p>
    <w:p w:rsidR="00A15434" w:rsidRPr="00051736" w:rsidRDefault="00A15434" w:rsidP="00B277A0">
      <w:pPr>
        <w:spacing w:after="0" w:line="240" w:lineRule="auto"/>
        <w:rPr>
          <w:rFonts w:ascii="Arial" w:hAnsi="Arial" w:cs="Arial"/>
          <w:sz w:val="24"/>
          <w:szCs w:val="24"/>
        </w:rPr>
      </w:pPr>
    </w:p>
    <w:p w:rsidR="00DC1FDF" w:rsidRPr="00051736" w:rsidRDefault="00DC1FDF" w:rsidP="00DC1FDF">
      <w:pPr>
        <w:spacing w:after="0" w:line="240" w:lineRule="auto"/>
        <w:rPr>
          <w:rFonts w:ascii="Arial" w:hAnsi="Arial" w:cs="Arial"/>
          <w:sz w:val="24"/>
          <w:szCs w:val="24"/>
        </w:rPr>
      </w:pPr>
      <w:r w:rsidRPr="00051736">
        <w:rPr>
          <w:rFonts w:ascii="Arial" w:hAnsi="Arial" w:cs="Arial"/>
          <w:sz w:val="24"/>
          <w:szCs w:val="24"/>
        </w:rPr>
        <w:t>NDS’s view is that</w:t>
      </w:r>
      <w:r w:rsidR="00685DB1" w:rsidRPr="00051736">
        <w:rPr>
          <w:rFonts w:ascii="Arial" w:hAnsi="Arial" w:cs="Arial"/>
          <w:sz w:val="24"/>
          <w:szCs w:val="24"/>
        </w:rPr>
        <w:t>, if the exemption is granted,</w:t>
      </w:r>
      <w:r w:rsidRPr="00051736">
        <w:rPr>
          <w:rFonts w:ascii="Arial" w:hAnsi="Arial" w:cs="Arial"/>
          <w:sz w:val="24"/>
          <w:szCs w:val="24"/>
        </w:rPr>
        <w:t xml:space="preserve"> a </w:t>
      </w:r>
      <w:r w:rsidR="00685DB1" w:rsidRPr="00051736">
        <w:rPr>
          <w:rFonts w:ascii="Arial" w:hAnsi="Arial" w:cs="Arial"/>
          <w:sz w:val="24"/>
          <w:szCs w:val="24"/>
        </w:rPr>
        <w:t xml:space="preserve">review </w:t>
      </w:r>
      <w:r w:rsidRPr="00051736">
        <w:rPr>
          <w:rFonts w:ascii="Arial" w:hAnsi="Arial" w:cs="Arial"/>
          <w:sz w:val="24"/>
          <w:szCs w:val="24"/>
        </w:rPr>
        <w:t>should be esta</w:t>
      </w:r>
      <w:r w:rsidR="00CD01A0">
        <w:rPr>
          <w:rFonts w:ascii="Arial" w:hAnsi="Arial" w:cs="Arial"/>
          <w:sz w:val="24"/>
          <w:szCs w:val="24"/>
        </w:rPr>
        <w:t xml:space="preserve">blished </w:t>
      </w:r>
      <w:r w:rsidR="00685DB1" w:rsidRPr="00051736">
        <w:rPr>
          <w:rFonts w:ascii="Arial" w:hAnsi="Arial" w:cs="Arial"/>
          <w:sz w:val="24"/>
          <w:szCs w:val="24"/>
        </w:rPr>
        <w:t>to</w:t>
      </w:r>
      <w:r w:rsidRPr="00051736">
        <w:rPr>
          <w:rFonts w:ascii="Arial" w:hAnsi="Arial" w:cs="Arial"/>
          <w:sz w:val="24"/>
          <w:szCs w:val="24"/>
        </w:rPr>
        <w:t>:</w:t>
      </w:r>
    </w:p>
    <w:p w:rsidR="00DC1FDF" w:rsidRPr="00051736" w:rsidRDefault="00685DB1"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examine</w:t>
      </w:r>
      <w:r w:rsidR="00DC1FDF" w:rsidRPr="00051736">
        <w:rPr>
          <w:rFonts w:ascii="Arial" w:hAnsi="Arial" w:cs="Arial"/>
          <w:sz w:val="24"/>
          <w:szCs w:val="24"/>
        </w:rPr>
        <w:t xml:space="preserve"> exis</w:t>
      </w:r>
      <w:r w:rsidR="0066449C">
        <w:rPr>
          <w:rFonts w:ascii="Arial" w:hAnsi="Arial" w:cs="Arial"/>
          <w:sz w:val="24"/>
          <w:szCs w:val="24"/>
        </w:rPr>
        <w:t>ting wage assessment tools focu</w:t>
      </w:r>
      <w:r w:rsidR="00DC1FDF" w:rsidRPr="00051736">
        <w:rPr>
          <w:rFonts w:ascii="Arial" w:hAnsi="Arial" w:cs="Arial"/>
          <w:sz w:val="24"/>
          <w:szCs w:val="24"/>
        </w:rPr>
        <w:t>sing on their applicability to supported employment settings in the context of the Federal Court decision;</w:t>
      </w:r>
    </w:p>
    <w:p w:rsidR="00DC1FDF" w:rsidRPr="00051736" w:rsidRDefault="00DC1FDF"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 xml:space="preserve">engage a wide range of stakeholders in order to ensure that relevant expertise and opinion are considered; </w:t>
      </w:r>
    </w:p>
    <w:p w:rsidR="00DC1FDF" w:rsidRPr="00051736" w:rsidRDefault="00685DB1"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i</w:t>
      </w:r>
      <w:r w:rsidR="00DC1FDF" w:rsidRPr="00051736">
        <w:rPr>
          <w:rFonts w:ascii="Arial" w:hAnsi="Arial" w:cs="Arial"/>
          <w:sz w:val="24"/>
          <w:szCs w:val="24"/>
        </w:rPr>
        <w:t>nvestigate an alternative or alternatives to current wage-setting methods;</w:t>
      </w:r>
    </w:p>
    <w:p w:rsidR="00DC1FDF" w:rsidRPr="00051736" w:rsidRDefault="00DC1FDF"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examine the issue of a social wage for supported employees that includes welfare benefits, income tests, wages and the relationship to the minimum wage;</w:t>
      </w:r>
    </w:p>
    <w:p w:rsidR="00DC1FDF" w:rsidRPr="00051736" w:rsidRDefault="00DC1FDF"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develop strategies to ensure that ADEs have the capacity to pay wages;</w:t>
      </w:r>
    </w:p>
    <w:p w:rsidR="00DC1FDF" w:rsidRPr="00051736" w:rsidRDefault="00DC1FDF"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 xml:space="preserve">develop an implementation plan that ensures that employment opportunities of people with disability expand; </w:t>
      </w:r>
    </w:p>
    <w:p w:rsidR="00DC1FDF" w:rsidRPr="00051736" w:rsidRDefault="00DC1FDF" w:rsidP="00DC1FDF">
      <w:pPr>
        <w:pStyle w:val="ListParagraph"/>
        <w:numPr>
          <w:ilvl w:val="0"/>
          <w:numId w:val="8"/>
        </w:numPr>
        <w:spacing w:after="0" w:line="240" w:lineRule="auto"/>
        <w:rPr>
          <w:rFonts w:ascii="Arial" w:hAnsi="Arial" w:cs="Arial"/>
          <w:sz w:val="24"/>
          <w:szCs w:val="24"/>
        </w:rPr>
      </w:pPr>
      <w:r w:rsidRPr="00051736">
        <w:rPr>
          <w:rFonts w:ascii="Arial" w:hAnsi="Arial" w:cs="Arial"/>
          <w:sz w:val="24"/>
          <w:szCs w:val="24"/>
        </w:rPr>
        <w:t xml:space="preserve">make recommendations in relation to the implementation of future wage-setting arrangements in ADEs that will be fully compliant with the DDA.  </w:t>
      </w:r>
    </w:p>
    <w:p w:rsidR="00DC1FDF" w:rsidRPr="00051736" w:rsidRDefault="00DC1FDF" w:rsidP="00DC1FDF">
      <w:pPr>
        <w:spacing w:after="0" w:line="240" w:lineRule="auto"/>
        <w:rPr>
          <w:rFonts w:ascii="Arial" w:hAnsi="Arial" w:cs="Arial"/>
          <w:sz w:val="24"/>
          <w:szCs w:val="24"/>
        </w:rPr>
      </w:pPr>
    </w:p>
    <w:p w:rsidR="00DC1FDF" w:rsidRPr="00051736" w:rsidRDefault="00DC1FDF" w:rsidP="00DC1FDF">
      <w:pPr>
        <w:spacing w:after="0" w:line="240" w:lineRule="auto"/>
        <w:rPr>
          <w:rFonts w:ascii="Arial" w:hAnsi="Arial" w:cs="Arial"/>
          <w:sz w:val="24"/>
          <w:szCs w:val="24"/>
        </w:rPr>
      </w:pPr>
      <w:r w:rsidRPr="00051736">
        <w:rPr>
          <w:rFonts w:ascii="Arial" w:hAnsi="Arial" w:cs="Arial"/>
          <w:sz w:val="24"/>
          <w:szCs w:val="24"/>
        </w:rPr>
        <w:t>Stakeholders that will need to be engaged during the review process include: ADEs</w:t>
      </w:r>
      <w:r w:rsidR="00685DB1" w:rsidRPr="00051736">
        <w:rPr>
          <w:rFonts w:ascii="Arial" w:hAnsi="Arial" w:cs="Arial"/>
          <w:sz w:val="24"/>
          <w:szCs w:val="24"/>
        </w:rPr>
        <w:t>,</w:t>
      </w:r>
      <w:r w:rsidRPr="00051736">
        <w:rPr>
          <w:rFonts w:ascii="Arial" w:hAnsi="Arial" w:cs="Arial"/>
          <w:sz w:val="24"/>
          <w:szCs w:val="24"/>
        </w:rPr>
        <w:t xml:space="preserve"> supported employees and </w:t>
      </w:r>
      <w:r w:rsidR="00685DB1" w:rsidRPr="00051736">
        <w:rPr>
          <w:rFonts w:ascii="Arial" w:hAnsi="Arial" w:cs="Arial"/>
          <w:sz w:val="24"/>
          <w:szCs w:val="24"/>
        </w:rPr>
        <w:t xml:space="preserve">their </w:t>
      </w:r>
      <w:r w:rsidRPr="00051736">
        <w:rPr>
          <w:rFonts w:ascii="Arial" w:hAnsi="Arial" w:cs="Arial"/>
          <w:sz w:val="24"/>
          <w:szCs w:val="24"/>
        </w:rPr>
        <w:t>families and carers; industry and peak body representative</w:t>
      </w:r>
      <w:r w:rsidR="00685DB1" w:rsidRPr="00051736">
        <w:rPr>
          <w:rFonts w:ascii="Arial" w:hAnsi="Arial" w:cs="Arial"/>
          <w:sz w:val="24"/>
          <w:szCs w:val="24"/>
        </w:rPr>
        <w:t>s; the Fair Work Commission; u</w:t>
      </w:r>
      <w:r w:rsidRPr="00051736">
        <w:rPr>
          <w:rFonts w:ascii="Arial" w:hAnsi="Arial" w:cs="Arial"/>
          <w:sz w:val="24"/>
          <w:szCs w:val="24"/>
        </w:rPr>
        <w:t xml:space="preserve">nions; employer bodies; AHRC;  technical experts in wage assessment; legal experts </w:t>
      </w:r>
      <w:r w:rsidR="009B4306" w:rsidRPr="00051736">
        <w:rPr>
          <w:rFonts w:ascii="Arial" w:hAnsi="Arial" w:cs="Arial"/>
          <w:sz w:val="24"/>
          <w:szCs w:val="24"/>
        </w:rPr>
        <w:t xml:space="preserve">and </w:t>
      </w:r>
      <w:r w:rsidRPr="00051736">
        <w:rPr>
          <w:rFonts w:ascii="Arial" w:hAnsi="Arial" w:cs="Arial"/>
          <w:sz w:val="24"/>
          <w:szCs w:val="24"/>
        </w:rPr>
        <w:t xml:space="preserve">business analysts. </w:t>
      </w:r>
    </w:p>
    <w:p w:rsidR="00DC1FDF" w:rsidRPr="00051736" w:rsidRDefault="00DC1FDF" w:rsidP="00DC1FDF">
      <w:pPr>
        <w:spacing w:after="0" w:line="240" w:lineRule="auto"/>
        <w:rPr>
          <w:rFonts w:ascii="Arial" w:hAnsi="Arial" w:cs="Arial"/>
          <w:sz w:val="24"/>
          <w:szCs w:val="24"/>
        </w:rPr>
      </w:pPr>
    </w:p>
    <w:p w:rsidR="00DC1FDF" w:rsidRPr="00051736" w:rsidRDefault="00DC1FDF" w:rsidP="00DC1FDF">
      <w:pPr>
        <w:spacing w:after="0" w:line="240" w:lineRule="auto"/>
        <w:rPr>
          <w:rFonts w:ascii="Arial" w:hAnsi="Arial" w:cs="Arial"/>
          <w:sz w:val="24"/>
          <w:szCs w:val="24"/>
        </w:rPr>
      </w:pPr>
      <w:r w:rsidRPr="00051736">
        <w:rPr>
          <w:rFonts w:ascii="Arial" w:hAnsi="Arial" w:cs="Arial"/>
          <w:sz w:val="24"/>
          <w:szCs w:val="24"/>
        </w:rPr>
        <w:t>A set of mileston</w:t>
      </w:r>
      <w:r w:rsidR="00AA3685">
        <w:rPr>
          <w:rFonts w:ascii="Arial" w:hAnsi="Arial" w:cs="Arial"/>
          <w:sz w:val="24"/>
          <w:szCs w:val="24"/>
        </w:rPr>
        <w:t>es should be established which</w:t>
      </w:r>
      <w:r w:rsidR="009B4306" w:rsidRPr="00051736">
        <w:rPr>
          <w:rFonts w:ascii="Arial" w:hAnsi="Arial" w:cs="Arial"/>
          <w:sz w:val="24"/>
          <w:szCs w:val="24"/>
        </w:rPr>
        <w:t xml:space="preserve"> </w:t>
      </w:r>
      <w:r w:rsidRPr="00051736">
        <w:rPr>
          <w:rFonts w:ascii="Arial" w:hAnsi="Arial" w:cs="Arial"/>
          <w:sz w:val="24"/>
          <w:szCs w:val="24"/>
        </w:rPr>
        <w:t>include:</w:t>
      </w:r>
    </w:p>
    <w:p w:rsidR="00DC1FDF" w:rsidRPr="00051736" w:rsidRDefault="00AA3685" w:rsidP="00DC1FDF">
      <w:pPr>
        <w:pStyle w:val="ListParagraph"/>
        <w:numPr>
          <w:ilvl w:val="0"/>
          <w:numId w:val="9"/>
        </w:numPr>
        <w:spacing w:after="0" w:line="240" w:lineRule="auto"/>
        <w:rPr>
          <w:rFonts w:ascii="Arial" w:hAnsi="Arial" w:cs="Arial"/>
          <w:sz w:val="24"/>
          <w:szCs w:val="24"/>
        </w:rPr>
      </w:pPr>
      <w:r>
        <w:rPr>
          <w:rFonts w:ascii="Arial" w:hAnsi="Arial" w:cs="Arial"/>
          <w:sz w:val="24"/>
          <w:szCs w:val="24"/>
        </w:rPr>
        <w:t>forming</w:t>
      </w:r>
      <w:r w:rsidR="00DC1FDF" w:rsidRPr="00051736">
        <w:rPr>
          <w:rFonts w:ascii="Arial" w:hAnsi="Arial" w:cs="Arial"/>
          <w:sz w:val="24"/>
          <w:szCs w:val="24"/>
        </w:rPr>
        <w:t xml:space="preserve"> of a review reference group</w:t>
      </w:r>
      <w:r w:rsidR="00AC665A">
        <w:rPr>
          <w:rFonts w:ascii="Arial" w:hAnsi="Arial" w:cs="Arial"/>
          <w:sz w:val="24"/>
          <w:szCs w:val="24"/>
        </w:rPr>
        <w:t>;</w:t>
      </w:r>
    </w:p>
    <w:p w:rsidR="00DC1FDF" w:rsidRPr="00051736" w:rsidRDefault="00DC1FDF"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t>development of a work plan</w:t>
      </w:r>
      <w:r w:rsidR="00AC665A">
        <w:rPr>
          <w:rFonts w:ascii="Arial" w:hAnsi="Arial" w:cs="Arial"/>
          <w:sz w:val="24"/>
          <w:szCs w:val="24"/>
        </w:rPr>
        <w:t>;</w:t>
      </w:r>
    </w:p>
    <w:p w:rsidR="00DC1FDF" w:rsidRPr="00051736" w:rsidRDefault="00DC1FDF"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t>engagement of consultants to conduct the technical analysis required</w:t>
      </w:r>
      <w:r w:rsidR="00AC665A">
        <w:rPr>
          <w:rFonts w:ascii="Arial" w:hAnsi="Arial" w:cs="Arial"/>
          <w:sz w:val="24"/>
          <w:szCs w:val="24"/>
        </w:rPr>
        <w:t>;</w:t>
      </w:r>
    </w:p>
    <w:p w:rsidR="00DC1FDF" w:rsidRPr="00051736" w:rsidRDefault="009B4306"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t xml:space="preserve">a </w:t>
      </w:r>
      <w:r w:rsidR="00DC1FDF" w:rsidRPr="00051736">
        <w:rPr>
          <w:rFonts w:ascii="Arial" w:hAnsi="Arial" w:cs="Arial"/>
          <w:sz w:val="24"/>
          <w:szCs w:val="24"/>
        </w:rPr>
        <w:t>stakeholder and public consultation period addressing an identified set of parameters</w:t>
      </w:r>
      <w:r w:rsidR="00AC665A">
        <w:rPr>
          <w:rFonts w:ascii="Arial" w:hAnsi="Arial" w:cs="Arial"/>
          <w:sz w:val="24"/>
          <w:szCs w:val="24"/>
        </w:rPr>
        <w:t>;</w:t>
      </w:r>
    </w:p>
    <w:p w:rsidR="00DC1FDF" w:rsidRPr="00051736" w:rsidRDefault="00DC1FDF"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t xml:space="preserve">preparation of </w:t>
      </w:r>
      <w:r w:rsidR="009B4306" w:rsidRPr="00051736">
        <w:rPr>
          <w:rFonts w:ascii="Arial" w:hAnsi="Arial" w:cs="Arial"/>
          <w:sz w:val="24"/>
          <w:szCs w:val="24"/>
        </w:rPr>
        <w:t xml:space="preserve">a </w:t>
      </w:r>
      <w:r w:rsidRPr="00051736">
        <w:rPr>
          <w:rFonts w:ascii="Arial" w:hAnsi="Arial" w:cs="Arial"/>
          <w:sz w:val="24"/>
          <w:szCs w:val="24"/>
        </w:rPr>
        <w:t>draft report analysing all relevant ma</w:t>
      </w:r>
      <w:r w:rsidR="00AA3685">
        <w:rPr>
          <w:rFonts w:ascii="Arial" w:hAnsi="Arial" w:cs="Arial"/>
          <w:sz w:val="24"/>
          <w:szCs w:val="24"/>
        </w:rPr>
        <w:t>tters in scope</w:t>
      </w:r>
      <w:r w:rsidR="00AC665A">
        <w:rPr>
          <w:rFonts w:ascii="Arial" w:hAnsi="Arial" w:cs="Arial"/>
          <w:sz w:val="24"/>
          <w:szCs w:val="24"/>
        </w:rPr>
        <w:t>;</w:t>
      </w:r>
    </w:p>
    <w:p w:rsidR="00DC1FDF" w:rsidRPr="00051736" w:rsidRDefault="00DC1FDF"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lastRenderedPageBreak/>
        <w:t>consideration of a draft report through public consultat</w:t>
      </w:r>
      <w:r w:rsidR="009B4306" w:rsidRPr="00051736">
        <w:rPr>
          <w:rFonts w:ascii="Arial" w:hAnsi="Arial" w:cs="Arial"/>
          <w:sz w:val="24"/>
          <w:szCs w:val="24"/>
        </w:rPr>
        <w:t>ion and by</w:t>
      </w:r>
      <w:r w:rsidRPr="00051736">
        <w:rPr>
          <w:rFonts w:ascii="Arial" w:hAnsi="Arial" w:cs="Arial"/>
          <w:sz w:val="24"/>
          <w:szCs w:val="24"/>
        </w:rPr>
        <w:t xml:space="preserve"> the reference group, including consultation with Government</w:t>
      </w:r>
      <w:r w:rsidR="00AC665A">
        <w:rPr>
          <w:rFonts w:ascii="Arial" w:hAnsi="Arial" w:cs="Arial"/>
          <w:sz w:val="24"/>
          <w:szCs w:val="24"/>
        </w:rPr>
        <w:t>;</w:t>
      </w:r>
    </w:p>
    <w:p w:rsidR="00DC1FDF" w:rsidRPr="00051736" w:rsidRDefault="00DC1FDF" w:rsidP="00DC1FDF">
      <w:pPr>
        <w:pStyle w:val="ListParagraph"/>
        <w:numPr>
          <w:ilvl w:val="0"/>
          <w:numId w:val="9"/>
        </w:numPr>
        <w:spacing w:after="0" w:line="240" w:lineRule="auto"/>
        <w:rPr>
          <w:rFonts w:ascii="Arial" w:hAnsi="Arial" w:cs="Arial"/>
          <w:sz w:val="24"/>
          <w:szCs w:val="24"/>
        </w:rPr>
      </w:pPr>
      <w:r w:rsidRPr="00051736">
        <w:rPr>
          <w:rFonts w:ascii="Arial" w:hAnsi="Arial" w:cs="Arial"/>
          <w:sz w:val="24"/>
          <w:szCs w:val="24"/>
        </w:rPr>
        <w:t>release of a final report including recommendations identifying how the transition to an outcome fully compliant with the DDA will take place, the actions required and the timeframe</w:t>
      </w:r>
      <w:r w:rsidR="00AC665A">
        <w:rPr>
          <w:rFonts w:ascii="Arial" w:hAnsi="Arial" w:cs="Arial"/>
          <w:sz w:val="24"/>
          <w:szCs w:val="24"/>
        </w:rPr>
        <w:t>;</w:t>
      </w:r>
    </w:p>
    <w:p w:rsidR="00DC1FDF" w:rsidRPr="00051736" w:rsidRDefault="00ED178E" w:rsidP="00DC1FDF">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w:t>
      </w:r>
      <w:r w:rsidR="00DC1FDF" w:rsidRPr="00051736">
        <w:rPr>
          <w:rFonts w:ascii="Arial" w:hAnsi="Arial" w:cs="Arial"/>
          <w:sz w:val="24"/>
          <w:szCs w:val="24"/>
        </w:rPr>
        <w:t>implementation of a transition plan that achieves compliance with the DDA without jeopardising supported employment opportunities</w:t>
      </w:r>
      <w:r w:rsidR="00AC665A">
        <w:rPr>
          <w:rFonts w:ascii="Arial" w:hAnsi="Arial" w:cs="Arial"/>
          <w:sz w:val="24"/>
          <w:szCs w:val="24"/>
        </w:rPr>
        <w:t>.</w:t>
      </w:r>
      <w:r w:rsidR="00DC1FDF" w:rsidRPr="00051736">
        <w:rPr>
          <w:rFonts w:ascii="Arial" w:hAnsi="Arial" w:cs="Arial"/>
          <w:sz w:val="24"/>
          <w:szCs w:val="24"/>
        </w:rPr>
        <w:t xml:space="preserve"> </w:t>
      </w:r>
    </w:p>
    <w:p w:rsidR="00DC1FDF" w:rsidRPr="00051736" w:rsidRDefault="00DC1FDF" w:rsidP="00B277A0">
      <w:pPr>
        <w:spacing w:after="0" w:line="240" w:lineRule="auto"/>
        <w:rPr>
          <w:rFonts w:ascii="Arial" w:hAnsi="Arial" w:cs="Arial"/>
          <w:sz w:val="24"/>
          <w:szCs w:val="24"/>
        </w:rPr>
      </w:pPr>
    </w:p>
    <w:p w:rsidR="00B277A0" w:rsidRPr="00051736" w:rsidRDefault="009B4306" w:rsidP="00B277A0">
      <w:pPr>
        <w:spacing w:after="0" w:line="240" w:lineRule="auto"/>
        <w:rPr>
          <w:rFonts w:ascii="Arial" w:hAnsi="Arial" w:cs="Arial"/>
          <w:sz w:val="24"/>
          <w:szCs w:val="24"/>
        </w:rPr>
      </w:pPr>
      <w:r w:rsidRPr="00051736">
        <w:rPr>
          <w:rFonts w:ascii="Arial" w:hAnsi="Arial" w:cs="Arial"/>
          <w:sz w:val="24"/>
          <w:szCs w:val="24"/>
        </w:rPr>
        <w:t xml:space="preserve">The review will need to consider the characteristics of best-practice wage assessment in the context of supported employment. </w:t>
      </w:r>
      <w:r w:rsidR="00B277A0" w:rsidRPr="00051736">
        <w:rPr>
          <w:rFonts w:ascii="Arial" w:hAnsi="Arial" w:cs="Arial"/>
          <w:sz w:val="24"/>
          <w:szCs w:val="24"/>
        </w:rPr>
        <w:t>Based on NDS’</w:t>
      </w:r>
      <w:r w:rsidR="0042338A" w:rsidRPr="00051736">
        <w:rPr>
          <w:rFonts w:ascii="Arial" w:hAnsi="Arial" w:cs="Arial"/>
          <w:sz w:val="24"/>
          <w:szCs w:val="24"/>
        </w:rPr>
        <w:t xml:space="preserve">s own </w:t>
      </w:r>
      <w:r w:rsidR="00841524" w:rsidRPr="00051736">
        <w:rPr>
          <w:rFonts w:ascii="Arial" w:hAnsi="Arial" w:cs="Arial"/>
          <w:sz w:val="24"/>
          <w:szCs w:val="24"/>
        </w:rPr>
        <w:t xml:space="preserve">preliminary </w:t>
      </w:r>
      <w:r w:rsidR="0042338A" w:rsidRPr="00051736">
        <w:rPr>
          <w:rFonts w:ascii="Arial" w:hAnsi="Arial" w:cs="Arial"/>
          <w:sz w:val="24"/>
          <w:szCs w:val="24"/>
        </w:rPr>
        <w:t xml:space="preserve">research, with </w:t>
      </w:r>
      <w:r w:rsidRPr="00051736">
        <w:rPr>
          <w:rFonts w:ascii="Arial" w:hAnsi="Arial" w:cs="Arial"/>
          <w:sz w:val="24"/>
          <w:szCs w:val="24"/>
        </w:rPr>
        <w:t xml:space="preserve">input from </w:t>
      </w:r>
      <w:r w:rsidR="00841524" w:rsidRPr="00051736">
        <w:rPr>
          <w:rFonts w:ascii="Arial" w:hAnsi="Arial" w:cs="Arial"/>
          <w:sz w:val="24"/>
          <w:szCs w:val="24"/>
        </w:rPr>
        <w:t xml:space="preserve">members, </w:t>
      </w:r>
      <w:r w:rsidR="00B277A0" w:rsidRPr="00051736">
        <w:rPr>
          <w:rFonts w:ascii="Arial" w:hAnsi="Arial" w:cs="Arial"/>
          <w:sz w:val="24"/>
          <w:szCs w:val="24"/>
        </w:rPr>
        <w:t>the following features</w:t>
      </w:r>
      <w:r w:rsidRPr="00051736">
        <w:rPr>
          <w:rFonts w:ascii="Arial" w:hAnsi="Arial" w:cs="Arial"/>
          <w:sz w:val="24"/>
          <w:szCs w:val="24"/>
        </w:rPr>
        <w:t xml:space="preserve"> are important</w:t>
      </w:r>
      <w:r w:rsidR="00B277A0" w:rsidRPr="00051736">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f</w:t>
      </w:r>
      <w:r w:rsidR="00B277A0" w:rsidRPr="00051736">
        <w:rPr>
          <w:rFonts w:ascii="Arial" w:hAnsi="Arial" w:cs="Arial"/>
          <w:sz w:val="24"/>
          <w:szCs w:val="24"/>
        </w:rPr>
        <w:t xml:space="preserve">ormal industrial recognition through inclusion in the Supported Employment </w:t>
      </w:r>
      <w:r w:rsidRPr="00051736">
        <w:rPr>
          <w:rFonts w:ascii="Arial" w:hAnsi="Arial" w:cs="Arial"/>
          <w:sz w:val="24"/>
          <w:szCs w:val="24"/>
        </w:rPr>
        <w:t xml:space="preserve">Services </w:t>
      </w:r>
      <w:r w:rsidR="00B277A0" w:rsidRPr="00051736">
        <w:rPr>
          <w:rFonts w:ascii="Arial" w:hAnsi="Arial" w:cs="Arial"/>
          <w:sz w:val="24"/>
          <w:szCs w:val="24"/>
        </w:rPr>
        <w:t>Award</w:t>
      </w:r>
      <w:r w:rsidR="00ED178E">
        <w:rPr>
          <w:rFonts w:ascii="Arial" w:hAnsi="Arial" w:cs="Arial"/>
          <w:sz w:val="24"/>
          <w:szCs w:val="24"/>
        </w:rPr>
        <w:t>;</w:t>
      </w:r>
      <w:r w:rsidR="00B277A0" w:rsidRPr="00051736">
        <w:rPr>
          <w:rFonts w:ascii="Arial" w:hAnsi="Arial" w:cs="Arial"/>
          <w:sz w:val="24"/>
          <w:szCs w:val="24"/>
        </w:rPr>
        <w:t xml:space="preserve"> </w:t>
      </w:r>
    </w:p>
    <w:p w:rsidR="00B277A0" w:rsidRPr="00051736" w:rsidRDefault="00AA3685" w:rsidP="00B277A0">
      <w:pPr>
        <w:numPr>
          <w:ilvl w:val="0"/>
          <w:numId w:val="7"/>
        </w:numPr>
        <w:spacing w:after="0" w:line="240" w:lineRule="auto"/>
        <w:rPr>
          <w:rFonts w:ascii="Arial" w:hAnsi="Arial" w:cs="Arial"/>
          <w:sz w:val="24"/>
          <w:szCs w:val="24"/>
        </w:rPr>
      </w:pPr>
      <w:r>
        <w:rPr>
          <w:rFonts w:ascii="Arial" w:hAnsi="Arial" w:cs="Arial"/>
          <w:sz w:val="24"/>
          <w:szCs w:val="24"/>
        </w:rPr>
        <w:t>a mandatory minimum hourly pro-</w:t>
      </w:r>
      <w:r w:rsidR="00B277A0" w:rsidRPr="00051736">
        <w:rPr>
          <w:rFonts w:ascii="Arial" w:hAnsi="Arial" w:cs="Arial"/>
          <w:sz w:val="24"/>
          <w:szCs w:val="24"/>
        </w:rPr>
        <w:t>rata wage rate</w:t>
      </w:r>
      <w:r w:rsidR="0042338A" w:rsidRPr="00051736">
        <w:rPr>
          <w:rFonts w:ascii="Arial" w:hAnsi="Arial" w:cs="Arial"/>
          <w:sz w:val="24"/>
          <w:szCs w:val="24"/>
        </w:rPr>
        <w:t xml:space="preserve"> (expressed as a percentage of the Award rate)</w:t>
      </w:r>
      <w:r w:rsidR="00ED178E">
        <w:rPr>
          <w:rFonts w:ascii="Arial" w:hAnsi="Arial" w:cs="Arial"/>
          <w:sz w:val="24"/>
          <w:szCs w:val="24"/>
        </w:rPr>
        <w:t>;</w:t>
      </w:r>
    </w:p>
    <w:p w:rsidR="00B277A0" w:rsidRPr="00051736" w:rsidRDefault="00B277A0" w:rsidP="00B277A0">
      <w:pPr>
        <w:numPr>
          <w:ilvl w:val="0"/>
          <w:numId w:val="7"/>
        </w:numPr>
        <w:spacing w:after="0" w:line="240" w:lineRule="auto"/>
        <w:rPr>
          <w:rFonts w:ascii="Arial" w:hAnsi="Arial" w:cs="Arial"/>
          <w:sz w:val="24"/>
          <w:szCs w:val="24"/>
        </w:rPr>
      </w:pPr>
      <w:r w:rsidRPr="00051736">
        <w:rPr>
          <w:rFonts w:ascii="Arial" w:hAnsi="Arial" w:cs="Arial"/>
          <w:sz w:val="24"/>
          <w:szCs w:val="24"/>
        </w:rPr>
        <w:t>a trial period for an initial assessment (and pay a specified wage rate during this period)</w:t>
      </w:r>
      <w:r w:rsidR="00ED178E">
        <w:rPr>
          <w:rFonts w:ascii="Arial" w:hAnsi="Arial" w:cs="Arial"/>
          <w:sz w:val="24"/>
          <w:szCs w:val="24"/>
        </w:rPr>
        <w:t>;</w:t>
      </w:r>
    </w:p>
    <w:p w:rsidR="00B277A0" w:rsidRPr="00051736" w:rsidRDefault="004A18A3" w:rsidP="00B277A0">
      <w:pPr>
        <w:numPr>
          <w:ilvl w:val="0"/>
          <w:numId w:val="7"/>
        </w:numPr>
        <w:spacing w:after="0" w:line="240" w:lineRule="auto"/>
        <w:rPr>
          <w:rFonts w:ascii="Arial" w:hAnsi="Arial" w:cs="Arial"/>
          <w:sz w:val="24"/>
          <w:szCs w:val="24"/>
        </w:rPr>
      </w:pPr>
      <w:r>
        <w:rPr>
          <w:rFonts w:ascii="Arial" w:hAnsi="Arial" w:cs="Arial"/>
          <w:sz w:val="24"/>
          <w:szCs w:val="24"/>
        </w:rPr>
        <w:t>allowance</w:t>
      </w:r>
      <w:r w:rsidR="00B277A0" w:rsidRPr="00051736">
        <w:rPr>
          <w:rFonts w:ascii="Arial" w:hAnsi="Arial" w:cs="Arial"/>
          <w:sz w:val="24"/>
          <w:szCs w:val="24"/>
        </w:rPr>
        <w:t xml:space="preserve"> for the nature of an employee’s disability in the assessment process</w:t>
      </w:r>
      <w:r w:rsidR="00ED178E">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a</w:t>
      </w:r>
      <w:r w:rsidR="00B277A0" w:rsidRPr="00051736">
        <w:rPr>
          <w:rFonts w:ascii="Arial" w:hAnsi="Arial" w:cs="Arial"/>
          <w:sz w:val="24"/>
          <w:szCs w:val="24"/>
        </w:rPr>
        <w:t>ssess</w:t>
      </w:r>
      <w:r w:rsidR="00356CA6" w:rsidRPr="00051736">
        <w:rPr>
          <w:rFonts w:ascii="Arial" w:hAnsi="Arial" w:cs="Arial"/>
          <w:sz w:val="24"/>
          <w:szCs w:val="24"/>
        </w:rPr>
        <w:t>ment</w:t>
      </w:r>
      <w:r w:rsidR="00B277A0" w:rsidRPr="00051736">
        <w:rPr>
          <w:rFonts w:ascii="Arial" w:hAnsi="Arial" w:cs="Arial"/>
          <w:sz w:val="24"/>
          <w:szCs w:val="24"/>
        </w:rPr>
        <w:t xml:space="preserve"> </w:t>
      </w:r>
      <w:r w:rsidR="00356CA6" w:rsidRPr="00051736">
        <w:rPr>
          <w:rFonts w:ascii="Arial" w:hAnsi="Arial" w:cs="Arial"/>
          <w:sz w:val="24"/>
          <w:szCs w:val="24"/>
        </w:rPr>
        <w:t xml:space="preserve">of </w:t>
      </w:r>
      <w:r w:rsidR="00B277A0" w:rsidRPr="00051736">
        <w:rPr>
          <w:rFonts w:ascii="Arial" w:hAnsi="Arial" w:cs="Arial"/>
          <w:sz w:val="24"/>
          <w:szCs w:val="24"/>
        </w:rPr>
        <w:t>a range of factors (e.g. productive capacity, work skills, qualifications, overall performance) to determine the wage rate</w:t>
      </w:r>
      <w:r w:rsidR="00ED178E">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b</w:t>
      </w:r>
      <w:r w:rsidR="00B277A0" w:rsidRPr="00051736">
        <w:rPr>
          <w:rFonts w:ascii="Arial" w:hAnsi="Arial" w:cs="Arial"/>
          <w:sz w:val="24"/>
          <w:szCs w:val="24"/>
        </w:rPr>
        <w:t>e applicable to any industry or job type</w:t>
      </w:r>
      <w:r w:rsidR="00ED178E">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i</w:t>
      </w:r>
      <w:r w:rsidR="00B277A0" w:rsidRPr="00051736">
        <w:rPr>
          <w:rFonts w:ascii="Arial" w:hAnsi="Arial" w:cs="Arial"/>
          <w:sz w:val="24"/>
          <w:szCs w:val="24"/>
        </w:rPr>
        <w:t>nclude linkages to training and development activities</w:t>
      </w:r>
      <w:r w:rsidR="00ED178E">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b</w:t>
      </w:r>
      <w:r w:rsidR="00B277A0" w:rsidRPr="00051736">
        <w:rPr>
          <w:rFonts w:ascii="Arial" w:hAnsi="Arial" w:cs="Arial"/>
          <w:sz w:val="24"/>
          <w:szCs w:val="24"/>
        </w:rPr>
        <w:t>e transparent and easily understood</w:t>
      </w:r>
      <w:r w:rsidR="00ED178E">
        <w:rPr>
          <w:rFonts w:ascii="Arial" w:hAnsi="Arial" w:cs="Arial"/>
          <w:sz w:val="24"/>
          <w:szCs w:val="24"/>
        </w:rPr>
        <w:t>;</w:t>
      </w:r>
    </w:p>
    <w:p w:rsidR="00B277A0" w:rsidRPr="00051736" w:rsidRDefault="00B277A0" w:rsidP="00B277A0">
      <w:pPr>
        <w:numPr>
          <w:ilvl w:val="0"/>
          <w:numId w:val="7"/>
        </w:numPr>
        <w:spacing w:after="0" w:line="240" w:lineRule="auto"/>
        <w:rPr>
          <w:rFonts w:ascii="Arial" w:hAnsi="Arial" w:cs="Arial"/>
          <w:sz w:val="24"/>
          <w:szCs w:val="24"/>
        </w:rPr>
      </w:pPr>
      <w:r w:rsidRPr="00051736">
        <w:rPr>
          <w:rFonts w:ascii="Arial" w:hAnsi="Arial" w:cs="Arial"/>
          <w:sz w:val="24"/>
          <w:szCs w:val="24"/>
        </w:rPr>
        <w:t>wage assessments by accredited assessors over a set period of time</w:t>
      </w:r>
      <w:r w:rsidR="00ED178E">
        <w:rPr>
          <w:rFonts w:ascii="Arial" w:hAnsi="Arial" w:cs="Arial"/>
          <w:sz w:val="24"/>
          <w:szCs w:val="24"/>
        </w:rPr>
        <w:t>;</w:t>
      </w:r>
      <w:r w:rsidRPr="00051736">
        <w:rPr>
          <w:rFonts w:ascii="Arial" w:hAnsi="Arial" w:cs="Arial"/>
          <w:sz w:val="24"/>
          <w:szCs w:val="24"/>
        </w:rPr>
        <w:t xml:space="preserve"> </w:t>
      </w:r>
    </w:p>
    <w:p w:rsidR="00B277A0" w:rsidRPr="00051736" w:rsidRDefault="00B277A0" w:rsidP="00B277A0">
      <w:pPr>
        <w:numPr>
          <w:ilvl w:val="0"/>
          <w:numId w:val="7"/>
        </w:numPr>
        <w:spacing w:after="0" w:line="240" w:lineRule="auto"/>
        <w:rPr>
          <w:rFonts w:ascii="Arial" w:hAnsi="Arial" w:cs="Arial"/>
          <w:sz w:val="24"/>
          <w:szCs w:val="24"/>
        </w:rPr>
      </w:pPr>
      <w:r w:rsidRPr="00051736">
        <w:rPr>
          <w:rFonts w:ascii="Arial" w:hAnsi="Arial" w:cs="Arial"/>
          <w:sz w:val="24"/>
          <w:szCs w:val="24"/>
        </w:rPr>
        <w:t>an appeal mechanism for wage assessments, including a review</w:t>
      </w:r>
      <w:r w:rsidR="00ED178E">
        <w:rPr>
          <w:rFonts w:ascii="Arial" w:hAnsi="Arial" w:cs="Arial"/>
          <w:sz w:val="24"/>
          <w:szCs w:val="24"/>
        </w:rPr>
        <w:t>;</w:t>
      </w:r>
      <w:r w:rsidRPr="00051736">
        <w:rPr>
          <w:rFonts w:ascii="Arial" w:hAnsi="Arial" w:cs="Arial"/>
          <w:sz w:val="24"/>
          <w:szCs w:val="24"/>
        </w:rPr>
        <w:t xml:space="preserve"> </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n</w:t>
      </w:r>
      <w:r w:rsidR="00B277A0" w:rsidRPr="00051736">
        <w:rPr>
          <w:rFonts w:ascii="Arial" w:hAnsi="Arial" w:cs="Arial"/>
          <w:sz w:val="24"/>
          <w:szCs w:val="24"/>
        </w:rPr>
        <w:t>ot artificially limit earnings based on a maximum rate</w:t>
      </w:r>
      <w:r w:rsidR="00ED178E">
        <w:rPr>
          <w:rFonts w:ascii="Arial" w:hAnsi="Arial" w:cs="Arial"/>
          <w:sz w:val="24"/>
          <w:szCs w:val="24"/>
        </w:rPr>
        <w:t>;</w:t>
      </w:r>
    </w:p>
    <w:p w:rsidR="00B277A0" w:rsidRPr="00051736" w:rsidRDefault="0042338A" w:rsidP="00B277A0">
      <w:pPr>
        <w:numPr>
          <w:ilvl w:val="0"/>
          <w:numId w:val="7"/>
        </w:numPr>
        <w:spacing w:after="0" w:line="240" w:lineRule="auto"/>
        <w:rPr>
          <w:rFonts w:ascii="Arial" w:hAnsi="Arial" w:cs="Arial"/>
          <w:sz w:val="24"/>
          <w:szCs w:val="24"/>
        </w:rPr>
      </w:pPr>
      <w:r w:rsidRPr="00051736">
        <w:rPr>
          <w:rFonts w:ascii="Arial" w:hAnsi="Arial" w:cs="Arial"/>
          <w:sz w:val="24"/>
          <w:szCs w:val="24"/>
        </w:rPr>
        <w:t>a</w:t>
      </w:r>
      <w:r w:rsidR="00B277A0" w:rsidRPr="00051736">
        <w:rPr>
          <w:rFonts w:ascii="Arial" w:hAnsi="Arial" w:cs="Arial"/>
          <w:sz w:val="24"/>
          <w:szCs w:val="24"/>
        </w:rPr>
        <w:t>llow a maximum period between assessments and more frequent assessments if both employee and employer agree</w:t>
      </w:r>
      <w:r w:rsidR="00ED178E">
        <w:rPr>
          <w:rFonts w:ascii="Arial" w:hAnsi="Arial" w:cs="Arial"/>
          <w:sz w:val="24"/>
          <w:szCs w:val="24"/>
        </w:rPr>
        <w:t>.</w:t>
      </w:r>
    </w:p>
    <w:p w:rsidR="00B277A0" w:rsidRPr="00051736" w:rsidRDefault="00B277A0" w:rsidP="00B277A0">
      <w:pPr>
        <w:spacing w:after="0" w:line="240" w:lineRule="auto"/>
        <w:rPr>
          <w:rFonts w:ascii="Arial" w:hAnsi="Arial" w:cs="Arial"/>
          <w:sz w:val="24"/>
          <w:szCs w:val="24"/>
        </w:rPr>
      </w:pPr>
    </w:p>
    <w:p w:rsidR="00D82E7B" w:rsidRPr="00051736" w:rsidRDefault="009B4306" w:rsidP="00D82E7B">
      <w:pPr>
        <w:spacing w:after="0" w:line="240" w:lineRule="auto"/>
        <w:rPr>
          <w:rFonts w:ascii="Arial" w:hAnsi="Arial" w:cs="Arial"/>
          <w:sz w:val="24"/>
          <w:szCs w:val="24"/>
        </w:rPr>
      </w:pPr>
      <w:r w:rsidRPr="00051736">
        <w:rPr>
          <w:rFonts w:ascii="Arial" w:hAnsi="Arial" w:cs="Arial"/>
          <w:sz w:val="24"/>
          <w:szCs w:val="24"/>
        </w:rPr>
        <w:t>The</w:t>
      </w:r>
      <w:r w:rsidR="00D82E7B" w:rsidRPr="00051736">
        <w:rPr>
          <w:rFonts w:ascii="Arial" w:hAnsi="Arial" w:cs="Arial"/>
          <w:sz w:val="24"/>
          <w:szCs w:val="24"/>
        </w:rPr>
        <w:t xml:space="preserve"> review would </w:t>
      </w:r>
      <w:r w:rsidRPr="00051736">
        <w:rPr>
          <w:rFonts w:ascii="Arial" w:hAnsi="Arial" w:cs="Arial"/>
          <w:sz w:val="24"/>
          <w:szCs w:val="24"/>
        </w:rPr>
        <w:t>also need to take into account</w:t>
      </w:r>
      <w:r w:rsidR="00D82E7B" w:rsidRPr="00051736">
        <w:rPr>
          <w:rFonts w:ascii="Arial" w:hAnsi="Arial" w:cs="Arial"/>
          <w:sz w:val="24"/>
          <w:szCs w:val="24"/>
        </w:rPr>
        <w:t xml:space="preserve"> the original principles set out in the Guide to Good Practice Wage Determination</w:t>
      </w:r>
      <w:r w:rsidRPr="00051736">
        <w:rPr>
          <w:rFonts w:ascii="Arial" w:hAnsi="Arial" w:cs="Arial"/>
          <w:sz w:val="24"/>
          <w:szCs w:val="24"/>
        </w:rPr>
        <w:t xml:space="preserve"> (referred to in Standard 9 of the Disability Services Employment Standards):</w:t>
      </w:r>
      <w:r w:rsidR="00D82E7B" w:rsidRPr="00051736">
        <w:rPr>
          <w:rFonts w:ascii="Arial" w:hAnsi="Arial" w:cs="Arial"/>
          <w:sz w:val="24"/>
          <w:szCs w:val="24"/>
        </w:rPr>
        <w:t xml:space="preserve"> </w:t>
      </w:r>
    </w:p>
    <w:p w:rsidR="00D82E7B" w:rsidRPr="00051736" w:rsidRDefault="00D82E7B" w:rsidP="00D82E7B">
      <w:pPr>
        <w:pStyle w:val="ListParagraph"/>
        <w:numPr>
          <w:ilvl w:val="0"/>
          <w:numId w:val="5"/>
        </w:numPr>
        <w:spacing w:after="0" w:line="240" w:lineRule="auto"/>
        <w:rPr>
          <w:rFonts w:ascii="Arial" w:hAnsi="Arial" w:cs="Arial"/>
          <w:sz w:val="24"/>
          <w:szCs w:val="24"/>
        </w:rPr>
      </w:pPr>
      <w:r w:rsidRPr="00051736">
        <w:rPr>
          <w:rFonts w:ascii="Arial" w:hAnsi="Arial" w:cs="Arial"/>
          <w:sz w:val="24"/>
          <w:szCs w:val="24"/>
        </w:rPr>
        <w:t>Compliance with relevant legislation</w:t>
      </w:r>
      <w:r w:rsidR="00ED178E">
        <w:rPr>
          <w:rFonts w:ascii="Arial" w:hAnsi="Arial" w:cs="Arial"/>
          <w:sz w:val="24"/>
          <w:szCs w:val="24"/>
        </w:rPr>
        <w:t>;</w:t>
      </w:r>
    </w:p>
    <w:p w:rsidR="00D82E7B" w:rsidRPr="00051736" w:rsidRDefault="00D82E7B" w:rsidP="00D82E7B">
      <w:pPr>
        <w:numPr>
          <w:ilvl w:val="0"/>
          <w:numId w:val="4"/>
        </w:numPr>
        <w:spacing w:after="0" w:line="240" w:lineRule="auto"/>
        <w:rPr>
          <w:rFonts w:ascii="Arial" w:hAnsi="Arial" w:cs="Arial"/>
          <w:sz w:val="24"/>
          <w:szCs w:val="24"/>
          <w:lang w:val="en-US"/>
        </w:rPr>
      </w:pPr>
      <w:r w:rsidRPr="00051736">
        <w:rPr>
          <w:rFonts w:ascii="Arial" w:hAnsi="Arial" w:cs="Arial"/>
          <w:sz w:val="24"/>
          <w:szCs w:val="24"/>
          <w:lang w:val="en-US"/>
        </w:rPr>
        <w:t>Validity</w:t>
      </w:r>
      <w:r w:rsidR="00ED178E">
        <w:rPr>
          <w:rFonts w:ascii="Arial" w:hAnsi="Arial" w:cs="Arial"/>
          <w:sz w:val="24"/>
          <w:szCs w:val="24"/>
          <w:lang w:val="en-US"/>
        </w:rPr>
        <w:t>;</w:t>
      </w:r>
    </w:p>
    <w:p w:rsidR="00D82E7B" w:rsidRPr="00051736" w:rsidRDefault="00D82E7B" w:rsidP="00D82E7B">
      <w:pPr>
        <w:numPr>
          <w:ilvl w:val="0"/>
          <w:numId w:val="4"/>
        </w:numPr>
        <w:spacing w:after="0" w:line="240" w:lineRule="auto"/>
        <w:rPr>
          <w:rFonts w:ascii="Arial" w:hAnsi="Arial" w:cs="Arial"/>
          <w:sz w:val="24"/>
          <w:szCs w:val="24"/>
          <w:lang w:val="en-US"/>
        </w:rPr>
      </w:pPr>
      <w:r w:rsidRPr="00051736">
        <w:rPr>
          <w:rFonts w:ascii="Arial" w:hAnsi="Arial" w:cs="Arial"/>
          <w:sz w:val="24"/>
          <w:szCs w:val="24"/>
          <w:lang w:val="en-US"/>
        </w:rPr>
        <w:t>Reliability</w:t>
      </w:r>
      <w:r w:rsidR="00ED178E">
        <w:rPr>
          <w:rFonts w:ascii="Arial" w:hAnsi="Arial" w:cs="Arial"/>
          <w:sz w:val="24"/>
          <w:szCs w:val="24"/>
          <w:lang w:val="en-US"/>
        </w:rPr>
        <w:t>;</w:t>
      </w:r>
    </w:p>
    <w:p w:rsidR="00D82E7B" w:rsidRPr="00051736" w:rsidRDefault="00D82E7B" w:rsidP="00D82E7B">
      <w:pPr>
        <w:numPr>
          <w:ilvl w:val="0"/>
          <w:numId w:val="4"/>
        </w:numPr>
        <w:spacing w:after="0" w:line="240" w:lineRule="auto"/>
        <w:rPr>
          <w:rFonts w:ascii="Arial" w:hAnsi="Arial" w:cs="Arial"/>
          <w:sz w:val="24"/>
          <w:szCs w:val="24"/>
          <w:lang w:val="en-US"/>
        </w:rPr>
      </w:pPr>
      <w:r w:rsidRPr="00051736">
        <w:rPr>
          <w:rFonts w:ascii="Arial" w:hAnsi="Arial" w:cs="Arial"/>
          <w:sz w:val="24"/>
          <w:szCs w:val="24"/>
          <w:lang w:val="en-US"/>
        </w:rPr>
        <w:t xml:space="preserve">Wage outcome; and </w:t>
      </w:r>
    </w:p>
    <w:p w:rsidR="00D82E7B" w:rsidRPr="00051736" w:rsidRDefault="00D82E7B" w:rsidP="00D82E7B">
      <w:pPr>
        <w:numPr>
          <w:ilvl w:val="0"/>
          <w:numId w:val="4"/>
        </w:numPr>
        <w:spacing w:after="0" w:line="240" w:lineRule="auto"/>
        <w:rPr>
          <w:rFonts w:ascii="Arial" w:hAnsi="Arial" w:cs="Arial"/>
          <w:sz w:val="24"/>
          <w:szCs w:val="24"/>
          <w:lang w:val="en-US"/>
        </w:rPr>
      </w:pPr>
      <w:r w:rsidRPr="00051736">
        <w:rPr>
          <w:rFonts w:ascii="Arial" w:hAnsi="Arial" w:cs="Arial"/>
          <w:sz w:val="24"/>
          <w:szCs w:val="24"/>
          <w:lang w:val="en-US"/>
        </w:rPr>
        <w:t>Practical application of the tool</w:t>
      </w:r>
      <w:r w:rsidR="00ED178E">
        <w:rPr>
          <w:rFonts w:ascii="Arial" w:hAnsi="Arial" w:cs="Arial"/>
          <w:sz w:val="24"/>
          <w:szCs w:val="24"/>
          <w:lang w:val="en-US"/>
        </w:rPr>
        <w:t>.</w:t>
      </w:r>
      <w:r w:rsidRPr="00051736">
        <w:rPr>
          <w:rFonts w:ascii="Arial" w:hAnsi="Arial" w:cs="Arial"/>
          <w:sz w:val="24"/>
          <w:szCs w:val="24"/>
          <w:lang w:val="en-US"/>
        </w:rPr>
        <w:t xml:space="preserve"> </w:t>
      </w:r>
    </w:p>
    <w:p w:rsidR="00D82E7B" w:rsidRPr="00051736" w:rsidRDefault="00D82E7B" w:rsidP="00D82E7B">
      <w:pPr>
        <w:spacing w:after="0" w:line="240" w:lineRule="auto"/>
        <w:rPr>
          <w:rFonts w:ascii="Arial" w:hAnsi="Arial" w:cs="Arial"/>
          <w:sz w:val="24"/>
          <w:szCs w:val="24"/>
          <w:lang w:val="en-US"/>
        </w:rPr>
      </w:pPr>
    </w:p>
    <w:p w:rsidR="00D82E7B" w:rsidRPr="00051736" w:rsidRDefault="00AA3685" w:rsidP="00D82E7B">
      <w:pPr>
        <w:spacing w:after="0" w:line="240" w:lineRule="auto"/>
        <w:rPr>
          <w:rFonts w:ascii="Arial" w:hAnsi="Arial" w:cs="Arial"/>
          <w:sz w:val="24"/>
          <w:szCs w:val="24"/>
          <w:lang w:val="en-US"/>
        </w:rPr>
      </w:pPr>
      <w:r>
        <w:rPr>
          <w:rFonts w:ascii="Arial" w:hAnsi="Arial" w:cs="Arial"/>
          <w:sz w:val="24"/>
          <w:szCs w:val="24"/>
          <w:lang w:val="en-US"/>
        </w:rPr>
        <w:t>Additional factors</w:t>
      </w:r>
      <w:r w:rsidR="009B4306" w:rsidRPr="00051736">
        <w:rPr>
          <w:rFonts w:ascii="Arial" w:hAnsi="Arial" w:cs="Arial"/>
          <w:sz w:val="24"/>
          <w:szCs w:val="24"/>
          <w:lang w:val="en-US"/>
        </w:rPr>
        <w:t xml:space="preserve"> c</w:t>
      </w:r>
      <w:r w:rsidR="00D82E7B" w:rsidRPr="00051736">
        <w:rPr>
          <w:rFonts w:ascii="Arial" w:hAnsi="Arial" w:cs="Arial"/>
          <w:sz w:val="24"/>
          <w:szCs w:val="24"/>
          <w:lang w:val="en-US"/>
        </w:rPr>
        <w:t>ould include:</w:t>
      </w:r>
    </w:p>
    <w:p w:rsidR="00D82E7B" w:rsidRPr="00051736" w:rsidRDefault="00D82E7B" w:rsidP="00D82E7B">
      <w:pPr>
        <w:pStyle w:val="ListParagraph"/>
        <w:numPr>
          <w:ilvl w:val="0"/>
          <w:numId w:val="6"/>
        </w:numPr>
        <w:spacing w:after="0" w:line="240" w:lineRule="auto"/>
        <w:rPr>
          <w:rFonts w:ascii="Arial" w:hAnsi="Arial" w:cs="Arial"/>
          <w:sz w:val="24"/>
          <w:szCs w:val="24"/>
          <w:lang w:val="en-US"/>
        </w:rPr>
      </w:pPr>
      <w:r w:rsidRPr="00051736">
        <w:rPr>
          <w:rFonts w:ascii="Arial" w:hAnsi="Arial" w:cs="Arial"/>
          <w:sz w:val="24"/>
          <w:szCs w:val="24"/>
          <w:lang w:val="en-US"/>
        </w:rPr>
        <w:t>current concepts of competency and productivity</w:t>
      </w:r>
      <w:r w:rsidR="00ED178E">
        <w:rPr>
          <w:rFonts w:ascii="Arial" w:hAnsi="Arial" w:cs="Arial"/>
          <w:sz w:val="24"/>
          <w:szCs w:val="24"/>
          <w:lang w:val="en-US"/>
        </w:rPr>
        <w:t>;</w:t>
      </w:r>
    </w:p>
    <w:p w:rsidR="00D82E7B" w:rsidRPr="00051736" w:rsidRDefault="00D82E7B" w:rsidP="00D82E7B">
      <w:pPr>
        <w:pStyle w:val="ListParagraph"/>
        <w:numPr>
          <w:ilvl w:val="0"/>
          <w:numId w:val="6"/>
        </w:numPr>
        <w:spacing w:after="0" w:line="240" w:lineRule="auto"/>
        <w:rPr>
          <w:rFonts w:ascii="Arial" w:hAnsi="Arial" w:cs="Arial"/>
          <w:sz w:val="24"/>
          <w:szCs w:val="24"/>
        </w:rPr>
      </w:pPr>
      <w:r w:rsidRPr="00051736">
        <w:rPr>
          <w:rFonts w:ascii="Arial" w:hAnsi="Arial" w:cs="Arial"/>
          <w:sz w:val="24"/>
          <w:szCs w:val="24"/>
          <w:lang w:val="en-US"/>
        </w:rPr>
        <w:t xml:space="preserve">consistency </w:t>
      </w:r>
      <w:r w:rsidR="00AA3685">
        <w:rPr>
          <w:rFonts w:ascii="Arial" w:hAnsi="Arial" w:cs="Arial"/>
          <w:sz w:val="24"/>
          <w:szCs w:val="24"/>
          <w:lang w:val="en-US"/>
        </w:rPr>
        <w:t>of wage outcomes achieved by</w:t>
      </w:r>
      <w:r w:rsidRPr="00051736">
        <w:rPr>
          <w:rFonts w:ascii="Arial" w:hAnsi="Arial" w:cs="Arial"/>
          <w:sz w:val="24"/>
          <w:szCs w:val="24"/>
          <w:lang w:val="en-US"/>
        </w:rPr>
        <w:t xml:space="preserve"> tools measured across an employee control group</w:t>
      </w:r>
      <w:r w:rsidR="00ED178E">
        <w:rPr>
          <w:rFonts w:ascii="Arial" w:hAnsi="Arial" w:cs="Arial"/>
          <w:sz w:val="24"/>
          <w:szCs w:val="24"/>
          <w:lang w:val="en-US"/>
        </w:rPr>
        <w:t>;</w:t>
      </w:r>
      <w:r w:rsidRPr="00051736">
        <w:rPr>
          <w:rFonts w:ascii="Arial" w:hAnsi="Arial" w:cs="Arial"/>
          <w:sz w:val="24"/>
          <w:szCs w:val="24"/>
          <w:lang w:val="en-US"/>
        </w:rPr>
        <w:t xml:space="preserve"> </w:t>
      </w:r>
    </w:p>
    <w:p w:rsidR="00D82E7B" w:rsidRPr="00051736" w:rsidRDefault="00D82E7B" w:rsidP="00D82E7B">
      <w:pPr>
        <w:pStyle w:val="ListParagraph"/>
        <w:numPr>
          <w:ilvl w:val="0"/>
          <w:numId w:val="6"/>
        </w:numPr>
        <w:spacing w:after="0" w:line="240" w:lineRule="auto"/>
        <w:rPr>
          <w:rFonts w:ascii="Arial" w:hAnsi="Arial" w:cs="Arial"/>
          <w:sz w:val="24"/>
          <w:szCs w:val="24"/>
        </w:rPr>
      </w:pPr>
      <w:r w:rsidRPr="00051736">
        <w:rPr>
          <w:rFonts w:ascii="Arial" w:hAnsi="Arial" w:cs="Arial"/>
          <w:sz w:val="24"/>
          <w:szCs w:val="24"/>
          <w:lang w:val="en-US"/>
        </w:rPr>
        <w:t>additional assessment components that might be incorporated into wage tools to ensure fairness and equity</w:t>
      </w:r>
      <w:r w:rsidR="00ED178E">
        <w:rPr>
          <w:rFonts w:ascii="Arial" w:hAnsi="Arial" w:cs="Arial"/>
          <w:sz w:val="24"/>
          <w:szCs w:val="24"/>
          <w:lang w:val="en-US"/>
        </w:rPr>
        <w:t>;</w:t>
      </w:r>
    </w:p>
    <w:p w:rsidR="00D82E7B" w:rsidRPr="00051736" w:rsidRDefault="00D82E7B" w:rsidP="00D82E7B">
      <w:pPr>
        <w:pStyle w:val="ListParagraph"/>
        <w:numPr>
          <w:ilvl w:val="0"/>
          <w:numId w:val="6"/>
        </w:numPr>
        <w:spacing w:after="0" w:line="240" w:lineRule="auto"/>
        <w:rPr>
          <w:rFonts w:ascii="Arial" w:hAnsi="Arial" w:cs="Arial"/>
          <w:sz w:val="24"/>
          <w:szCs w:val="24"/>
        </w:rPr>
      </w:pPr>
      <w:r w:rsidRPr="00051736">
        <w:rPr>
          <w:rFonts w:ascii="Arial" w:hAnsi="Arial" w:cs="Arial"/>
          <w:sz w:val="24"/>
          <w:szCs w:val="24"/>
        </w:rPr>
        <w:t>identifying inconsistencies in assessment processes used by wage tools</w:t>
      </w:r>
      <w:r w:rsidR="00ED178E">
        <w:rPr>
          <w:rFonts w:ascii="Arial" w:hAnsi="Arial" w:cs="Arial"/>
          <w:sz w:val="24"/>
          <w:szCs w:val="24"/>
        </w:rPr>
        <w:t>.</w:t>
      </w:r>
    </w:p>
    <w:p w:rsidR="00D82E7B" w:rsidRPr="00051736" w:rsidRDefault="00D82E7B" w:rsidP="00B277A0">
      <w:pPr>
        <w:spacing w:after="0" w:line="240" w:lineRule="auto"/>
        <w:rPr>
          <w:rFonts w:ascii="Arial" w:hAnsi="Arial" w:cs="Arial"/>
          <w:sz w:val="24"/>
          <w:szCs w:val="24"/>
        </w:rPr>
      </w:pPr>
    </w:p>
    <w:p w:rsidR="002B2597" w:rsidRPr="00051736" w:rsidRDefault="0042338A" w:rsidP="00B277A0">
      <w:pPr>
        <w:spacing w:after="0" w:line="240" w:lineRule="auto"/>
        <w:rPr>
          <w:rFonts w:ascii="Arial" w:hAnsi="Arial" w:cs="Arial"/>
          <w:sz w:val="24"/>
          <w:szCs w:val="24"/>
        </w:rPr>
      </w:pPr>
      <w:r w:rsidRPr="00051736">
        <w:rPr>
          <w:rFonts w:ascii="Arial" w:hAnsi="Arial" w:cs="Arial"/>
          <w:sz w:val="24"/>
          <w:szCs w:val="24"/>
        </w:rPr>
        <w:t xml:space="preserve">The </w:t>
      </w:r>
      <w:r w:rsidR="00D82E7B" w:rsidRPr="00051736">
        <w:rPr>
          <w:rFonts w:ascii="Arial" w:hAnsi="Arial" w:cs="Arial"/>
          <w:sz w:val="24"/>
          <w:szCs w:val="24"/>
        </w:rPr>
        <w:t xml:space="preserve">review of </w:t>
      </w:r>
      <w:r w:rsidRPr="00051736">
        <w:rPr>
          <w:rFonts w:ascii="Arial" w:hAnsi="Arial" w:cs="Arial"/>
          <w:sz w:val="24"/>
          <w:szCs w:val="24"/>
        </w:rPr>
        <w:t xml:space="preserve">wage </w:t>
      </w:r>
      <w:r w:rsidR="00D82E7B" w:rsidRPr="00051736">
        <w:rPr>
          <w:rFonts w:ascii="Arial" w:hAnsi="Arial" w:cs="Arial"/>
          <w:sz w:val="24"/>
          <w:szCs w:val="24"/>
        </w:rPr>
        <w:t xml:space="preserve">assessment </w:t>
      </w:r>
      <w:r w:rsidRPr="00051736">
        <w:rPr>
          <w:rFonts w:ascii="Arial" w:hAnsi="Arial" w:cs="Arial"/>
          <w:sz w:val="24"/>
          <w:szCs w:val="24"/>
        </w:rPr>
        <w:t>tool</w:t>
      </w:r>
      <w:r w:rsidR="00D82E7B" w:rsidRPr="00051736">
        <w:rPr>
          <w:rFonts w:ascii="Arial" w:hAnsi="Arial" w:cs="Arial"/>
          <w:sz w:val="24"/>
          <w:szCs w:val="24"/>
        </w:rPr>
        <w:t xml:space="preserve">s </w:t>
      </w:r>
      <w:r w:rsidRPr="00051736">
        <w:rPr>
          <w:rFonts w:ascii="Arial" w:hAnsi="Arial" w:cs="Arial"/>
          <w:sz w:val="24"/>
          <w:szCs w:val="24"/>
        </w:rPr>
        <w:t xml:space="preserve">should consider </w:t>
      </w:r>
      <w:r w:rsidR="00D82E7B" w:rsidRPr="00051736">
        <w:rPr>
          <w:rFonts w:ascii="Arial" w:hAnsi="Arial" w:cs="Arial"/>
          <w:sz w:val="24"/>
          <w:szCs w:val="24"/>
        </w:rPr>
        <w:t>a reduction in</w:t>
      </w:r>
      <w:r w:rsidR="00841524" w:rsidRPr="00051736">
        <w:rPr>
          <w:rFonts w:ascii="Arial" w:hAnsi="Arial" w:cs="Arial"/>
          <w:sz w:val="24"/>
          <w:szCs w:val="24"/>
        </w:rPr>
        <w:t xml:space="preserve"> </w:t>
      </w:r>
      <w:r w:rsidRPr="00051736">
        <w:rPr>
          <w:rFonts w:ascii="Arial" w:hAnsi="Arial" w:cs="Arial"/>
          <w:sz w:val="24"/>
          <w:szCs w:val="24"/>
        </w:rPr>
        <w:t>the</w:t>
      </w:r>
      <w:r w:rsidR="00841524" w:rsidRPr="00051736">
        <w:rPr>
          <w:rFonts w:ascii="Arial" w:hAnsi="Arial" w:cs="Arial"/>
          <w:sz w:val="24"/>
          <w:szCs w:val="24"/>
        </w:rPr>
        <w:t xml:space="preserve"> number of </w:t>
      </w:r>
      <w:r w:rsidRPr="00051736">
        <w:rPr>
          <w:rFonts w:ascii="Arial" w:hAnsi="Arial" w:cs="Arial"/>
          <w:sz w:val="24"/>
          <w:szCs w:val="24"/>
        </w:rPr>
        <w:t>wage tools</w:t>
      </w:r>
      <w:r w:rsidR="00841524" w:rsidRPr="00051736">
        <w:rPr>
          <w:rFonts w:ascii="Arial" w:hAnsi="Arial" w:cs="Arial"/>
          <w:sz w:val="24"/>
          <w:szCs w:val="24"/>
        </w:rPr>
        <w:t xml:space="preserve"> recognise</w:t>
      </w:r>
      <w:r w:rsidR="00D82E7B" w:rsidRPr="00051736">
        <w:rPr>
          <w:rFonts w:ascii="Arial" w:hAnsi="Arial" w:cs="Arial"/>
          <w:sz w:val="24"/>
          <w:szCs w:val="24"/>
        </w:rPr>
        <w:t xml:space="preserve">d in the Award. </w:t>
      </w:r>
      <w:r w:rsidR="00841524" w:rsidRPr="00051736">
        <w:rPr>
          <w:rFonts w:ascii="Arial" w:hAnsi="Arial" w:cs="Arial"/>
          <w:sz w:val="24"/>
          <w:szCs w:val="24"/>
        </w:rPr>
        <w:t>C</w:t>
      </w:r>
      <w:r w:rsidR="00B277A0" w:rsidRPr="00051736">
        <w:rPr>
          <w:rFonts w:ascii="Arial" w:hAnsi="Arial" w:cs="Arial"/>
          <w:sz w:val="24"/>
          <w:szCs w:val="24"/>
        </w:rPr>
        <w:t xml:space="preserve">urrently, there are five wage assessment tools that are used by approximately 90% of organisations that operate ADEs and a </w:t>
      </w:r>
      <w:r w:rsidR="00B277A0" w:rsidRPr="00051736">
        <w:rPr>
          <w:rFonts w:ascii="Arial" w:hAnsi="Arial" w:cs="Arial"/>
          <w:sz w:val="24"/>
          <w:szCs w:val="24"/>
        </w:rPr>
        <w:lastRenderedPageBreak/>
        <w:t xml:space="preserve">further subset of three tools that are used by approximately 80% of those organisations. Four of the 30 tools identified in the SES Award are no longer used. Of these wage assessment tools, all but two </w:t>
      </w:r>
      <w:r w:rsidR="00DC2B66" w:rsidRPr="00051736">
        <w:rPr>
          <w:rFonts w:ascii="Arial" w:hAnsi="Arial" w:cs="Arial"/>
          <w:sz w:val="24"/>
          <w:szCs w:val="24"/>
        </w:rPr>
        <w:t xml:space="preserve">include a competency </w:t>
      </w:r>
      <w:r w:rsidR="00B277A0" w:rsidRPr="00051736">
        <w:rPr>
          <w:rFonts w:ascii="Arial" w:hAnsi="Arial" w:cs="Arial"/>
          <w:sz w:val="24"/>
          <w:szCs w:val="24"/>
        </w:rPr>
        <w:t xml:space="preserve">component. The existence of such a large number of wage tools places </w:t>
      </w:r>
      <w:r w:rsidR="00DC2B66" w:rsidRPr="00051736">
        <w:rPr>
          <w:rFonts w:ascii="Arial" w:hAnsi="Arial" w:cs="Arial"/>
          <w:sz w:val="24"/>
          <w:szCs w:val="24"/>
        </w:rPr>
        <w:t>was a factor in the Federal Court’s deliberation</w:t>
      </w:r>
      <w:r w:rsidR="008360FF" w:rsidRPr="00051736">
        <w:rPr>
          <w:rFonts w:ascii="Arial" w:hAnsi="Arial" w:cs="Arial"/>
          <w:sz w:val="24"/>
          <w:szCs w:val="24"/>
        </w:rPr>
        <w:t xml:space="preserve">s. Although all tools have been independently assessed as complying with the employment standard in the National Disability Service Standards, the existence of a large number of tools fosters the perception of inconsistent wage assessments.  </w:t>
      </w:r>
      <w:r w:rsidR="002B2597" w:rsidRPr="00051736">
        <w:rPr>
          <w:rFonts w:ascii="Arial" w:hAnsi="Arial" w:cs="Arial"/>
          <w:sz w:val="24"/>
          <w:szCs w:val="24"/>
        </w:rPr>
        <w:t xml:space="preserve">The </w:t>
      </w:r>
      <w:r w:rsidR="00B277A0" w:rsidRPr="00051736">
        <w:rPr>
          <w:rFonts w:ascii="Arial" w:hAnsi="Arial" w:cs="Arial"/>
          <w:sz w:val="24"/>
          <w:szCs w:val="24"/>
        </w:rPr>
        <w:t xml:space="preserve">designers and users of currently recognised wage tools should be </w:t>
      </w:r>
      <w:r w:rsidR="002B2597" w:rsidRPr="00051736">
        <w:rPr>
          <w:rFonts w:ascii="Arial" w:hAnsi="Arial" w:cs="Arial"/>
          <w:sz w:val="24"/>
          <w:szCs w:val="24"/>
        </w:rPr>
        <w:t>invited to</w:t>
      </w:r>
      <w:r w:rsidR="00B277A0" w:rsidRPr="00051736">
        <w:rPr>
          <w:rFonts w:ascii="Arial" w:hAnsi="Arial" w:cs="Arial"/>
          <w:sz w:val="24"/>
          <w:szCs w:val="24"/>
        </w:rPr>
        <w:t xml:space="preserve"> provide input to the </w:t>
      </w:r>
      <w:r w:rsidR="002B2597" w:rsidRPr="00051736">
        <w:rPr>
          <w:rFonts w:ascii="Arial" w:hAnsi="Arial" w:cs="Arial"/>
          <w:sz w:val="24"/>
          <w:szCs w:val="24"/>
        </w:rPr>
        <w:t>review.</w:t>
      </w:r>
    </w:p>
    <w:p w:rsidR="00414566" w:rsidRPr="00051736" w:rsidRDefault="00414566" w:rsidP="00EA1E47">
      <w:pPr>
        <w:spacing w:after="0" w:line="240" w:lineRule="auto"/>
        <w:rPr>
          <w:rFonts w:ascii="Arial" w:hAnsi="Arial" w:cs="Arial"/>
          <w:sz w:val="24"/>
          <w:szCs w:val="24"/>
        </w:rPr>
      </w:pPr>
    </w:p>
    <w:p w:rsidR="00EA1E47" w:rsidRPr="00FA0754" w:rsidRDefault="00EA1E47" w:rsidP="00EA1E47">
      <w:pPr>
        <w:spacing w:after="0" w:line="240" w:lineRule="auto"/>
        <w:rPr>
          <w:rFonts w:ascii="Arial" w:hAnsi="Arial" w:cs="Arial"/>
          <w:b/>
          <w:sz w:val="28"/>
          <w:szCs w:val="28"/>
        </w:rPr>
      </w:pPr>
      <w:r w:rsidRPr="00FA0754">
        <w:rPr>
          <w:rFonts w:ascii="Arial" w:hAnsi="Arial" w:cs="Arial"/>
          <w:b/>
          <w:sz w:val="28"/>
          <w:szCs w:val="28"/>
        </w:rPr>
        <w:t>Conclusion</w:t>
      </w:r>
    </w:p>
    <w:p w:rsidR="008D26F8" w:rsidRPr="00051736" w:rsidRDefault="008D26F8" w:rsidP="00EA1E47">
      <w:pPr>
        <w:spacing w:after="0" w:line="240" w:lineRule="auto"/>
        <w:rPr>
          <w:rFonts w:ascii="Arial" w:hAnsi="Arial" w:cs="Arial"/>
          <w:sz w:val="24"/>
          <w:szCs w:val="24"/>
        </w:rPr>
      </w:pPr>
    </w:p>
    <w:p w:rsidR="0020560D" w:rsidRPr="00051736" w:rsidRDefault="002B2597" w:rsidP="002B2597">
      <w:pPr>
        <w:spacing w:after="0" w:line="240" w:lineRule="auto"/>
        <w:rPr>
          <w:rFonts w:ascii="Arial" w:hAnsi="Arial" w:cs="Arial"/>
          <w:sz w:val="24"/>
          <w:szCs w:val="24"/>
        </w:rPr>
      </w:pPr>
      <w:r w:rsidRPr="00051736">
        <w:rPr>
          <w:rFonts w:ascii="Arial" w:hAnsi="Arial" w:cs="Arial"/>
          <w:sz w:val="24"/>
          <w:szCs w:val="24"/>
        </w:rPr>
        <w:t>The history of the deve</w:t>
      </w:r>
      <w:r w:rsidR="00CD01A0">
        <w:rPr>
          <w:rFonts w:ascii="Arial" w:hAnsi="Arial" w:cs="Arial"/>
          <w:sz w:val="24"/>
          <w:szCs w:val="24"/>
        </w:rPr>
        <w:t xml:space="preserve">lopment of the current </w:t>
      </w:r>
      <w:r w:rsidRPr="00051736">
        <w:rPr>
          <w:rFonts w:ascii="Arial" w:hAnsi="Arial" w:cs="Arial"/>
          <w:sz w:val="24"/>
          <w:szCs w:val="24"/>
        </w:rPr>
        <w:t xml:space="preserve">wage assessment tools; the technical complexities involved in ensuring that wage assessment is equitable, valid and reliable; the intersection of the industrial arena with the disability </w:t>
      </w:r>
      <w:r w:rsidR="00CD01A0">
        <w:rPr>
          <w:rFonts w:ascii="Arial" w:hAnsi="Arial" w:cs="Arial"/>
          <w:sz w:val="24"/>
          <w:szCs w:val="24"/>
        </w:rPr>
        <w:t>world; the logistics</w:t>
      </w:r>
      <w:r w:rsidRPr="00051736">
        <w:rPr>
          <w:rFonts w:ascii="Arial" w:hAnsi="Arial" w:cs="Arial"/>
          <w:sz w:val="24"/>
          <w:szCs w:val="24"/>
        </w:rPr>
        <w:t xml:space="preserve"> of moving from one system of wage assessment to another – these factors in combination argue strongly for a measured, consultative and staged approach to change.</w:t>
      </w:r>
    </w:p>
    <w:p w:rsidR="0020560D" w:rsidRPr="00051736" w:rsidRDefault="0020560D" w:rsidP="002B2597">
      <w:pPr>
        <w:spacing w:after="0" w:line="240" w:lineRule="auto"/>
        <w:rPr>
          <w:rFonts w:ascii="Arial" w:hAnsi="Arial" w:cs="Arial"/>
          <w:sz w:val="24"/>
          <w:szCs w:val="24"/>
        </w:rPr>
      </w:pPr>
    </w:p>
    <w:p w:rsidR="002B2597" w:rsidRPr="00051736" w:rsidRDefault="002B2597" w:rsidP="002B2597">
      <w:pPr>
        <w:spacing w:after="0" w:line="240" w:lineRule="auto"/>
        <w:rPr>
          <w:rFonts w:ascii="Arial" w:hAnsi="Arial" w:cs="Arial"/>
          <w:sz w:val="24"/>
          <w:szCs w:val="24"/>
        </w:rPr>
      </w:pPr>
      <w:r w:rsidRPr="00051736">
        <w:rPr>
          <w:rFonts w:ascii="Arial" w:hAnsi="Arial" w:cs="Arial"/>
          <w:sz w:val="24"/>
          <w:szCs w:val="24"/>
        </w:rPr>
        <w:t>Most important of all is avoiding the potentially devastating impact on the jobs of supported employees that would result from a sudden shift to a wage assessment method which produces higher wage costs</w:t>
      </w:r>
      <w:r w:rsidR="00CD01A0">
        <w:rPr>
          <w:rFonts w:ascii="Arial" w:hAnsi="Arial" w:cs="Arial"/>
          <w:sz w:val="24"/>
          <w:szCs w:val="24"/>
        </w:rPr>
        <w:t xml:space="preserve"> for ADEs without additional income</w:t>
      </w:r>
      <w:r w:rsidRPr="00051736">
        <w:rPr>
          <w:rFonts w:ascii="Arial" w:hAnsi="Arial" w:cs="Arial"/>
          <w:sz w:val="24"/>
          <w:szCs w:val="24"/>
        </w:rPr>
        <w:t xml:space="preserve">.       </w:t>
      </w:r>
    </w:p>
    <w:p w:rsidR="002B2597" w:rsidRPr="00051736" w:rsidRDefault="002B2597" w:rsidP="00B112B6">
      <w:pPr>
        <w:spacing w:after="0" w:line="240" w:lineRule="auto"/>
        <w:rPr>
          <w:rFonts w:ascii="Arial" w:hAnsi="Arial" w:cs="Arial"/>
          <w:sz w:val="24"/>
          <w:szCs w:val="24"/>
        </w:rPr>
      </w:pPr>
    </w:p>
    <w:p w:rsidR="00B112B6" w:rsidRPr="00051736" w:rsidRDefault="001C0EA3" w:rsidP="00B112B6">
      <w:pPr>
        <w:spacing w:after="0" w:line="240" w:lineRule="auto"/>
        <w:rPr>
          <w:rFonts w:ascii="Arial" w:hAnsi="Arial" w:cs="Arial"/>
          <w:sz w:val="24"/>
          <w:szCs w:val="24"/>
        </w:rPr>
      </w:pPr>
      <w:r w:rsidRPr="00051736">
        <w:rPr>
          <w:rFonts w:ascii="Arial" w:hAnsi="Arial" w:cs="Arial"/>
          <w:sz w:val="24"/>
          <w:szCs w:val="24"/>
        </w:rPr>
        <w:t xml:space="preserve">For the reasons set out above, </w:t>
      </w:r>
      <w:r w:rsidR="00B112B6" w:rsidRPr="00051736">
        <w:rPr>
          <w:rFonts w:ascii="Arial" w:hAnsi="Arial" w:cs="Arial"/>
          <w:sz w:val="24"/>
          <w:szCs w:val="24"/>
        </w:rPr>
        <w:t xml:space="preserve">NDS </w:t>
      </w:r>
      <w:r w:rsidRPr="00051736">
        <w:rPr>
          <w:rFonts w:ascii="Arial" w:hAnsi="Arial" w:cs="Arial"/>
          <w:sz w:val="24"/>
          <w:szCs w:val="24"/>
        </w:rPr>
        <w:t xml:space="preserve">believes that a three-year DDA exemption is essential. NDS </w:t>
      </w:r>
      <w:r w:rsidR="002B2597" w:rsidRPr="00051736">
        <w:rPr>
          <w:rFonts w:ascii="Arial" w:hAnsi="Arial" w:cs="Arial"/>
          <w:sz w:val="24"/>
          <w:szCs w:val="24"/>
        </w:rPr>
        <w:t xml:space="preserve">is committed to working with other parties to find </w:t>
      </w:r>
      <w:r w:rsidR="00B112B6" w:rsidRPr="00051736">
        <w:rPr>
          <w:rFonts w:ascii="Arial" w:hAnsi="Arial" w:cs="Arial"/>
          <w:sz w:val="24"/>
          <w:szCs w:val="24"/>
        </w:rPr>
        <w:t xml:space="preserve">a solution that is </w:t>
      </w:r>
      <w:r w:rsidR="002B2597" w:rsidRPr="00051736">
        <w:rPr>
          <w:rFonts w:ascii="Arial" w:hAnsi="Arial" w:cs="Arial"/>
          <w:sz w:val="24"/>
          <w:szCs w:val="24"/>
        </w:rPr>
        <w:t xml:space="preserve">compliant with the DDA and </w:t>
      </w:r>
      <w:r w:rsidR="00B112B6" w:rsidRPr="00051736">
        <w:rPr>
          <w:rFonts w:ascii="Arial" w:hAnsi="Arial" w:cs="Arial"/>
          <w:sz w:val="24"/>
          <w:szCs w:val="24"/>
        </w:rPr>
        <w:t xml:space="preserve">fair to supported employees but does not </w:t>
      </w:r>
      <w:r w:rsidR="00CD01A0">
        <w:rPr>
          <w:rFonts w:ascii="Arial" w:hAnsi="Arial" w:cs="Arial"/>
          <w:sz w:val="24"/>
          <w:szCs w:val="24"/>
        </w:rPr>
        <w:t>truncate</w:t>
      </w:r>
      <w:r w:rsidR="00EF44FE" w:rsidRPr="00051736">
        <w:rPr>
          <w:rFonts w:ascii="Arial" w:hAnsi="Arial" w:cs="Arial"/>
          <w:sz w:val="24"/>
          <w:szCs w:val="24"/>
        </w:rPr>
        <w:t xml:space="preserve"> their future employment opportunities by </w:t>
      </w:r>
      <w:r w:rsidR="00B112B6" w:rsidRPr="00051736">
        <w:rPr>
          <w:rFonts w:ascii="Arial" w:hAnsi="Arial" w:cs="Arial"/>
          <w:sz w:val="24"/>
          <w:szCs w:val="24"/>
        </w:rPr>
        <w:t>jeopardis</w:t>
      </w:r>
      <w:r w:rsidR="00EF44FE" w:rsidRPr="00051736">
        <w:rPr>
          <w:rFonts w:ascii="Arial" w:hAnsi="Arial" w:cs="Arial"/>
          <w:sz w:val="24"/>
          <w:szCs w:val="24"/>
        </w:rPr>
        <w:t>ing</w:t>
      </w:r>
      <w:r w:rsidR="00B112B6" w:rsidRPr="00051736">
        <w:rPr>
          <w:rFonts w:ascii="Arial" w:hAnsi="Arial" w:cs="Arial"/>
          <w:sz w:val="24"/>
          <w:szCs w:val="24"/>
        </w:rPr>
        <w:t xml:space="preserve"> the </w:t>
      </w:r>
      <w:r w:rsidR="00745043" w:rsidRPr="00051736">
        <w:rPr>
          <w:rFonts w:ascii="Arial" w:hAnsi="Arial" w:cs="Arial"/>
          <w:sz w:val="24"/>
          <w:szCs w:val="24"/>
        </w:rPr>
        <w:t xml:space="preserve">financial </w:t>
      </w:r>
      <w:r w:rsidR="00B112B6" w:rsidRPr="00051736">
        <w:rPr>
          <w:rFonts w:ascii="Arial" w:hAnsi="Arial" w:cs="Arial"/>
          <w:sz w:val="24"/>
          <w:szCs w:val="24"/>
        </w:rPr>
        <w:t xml:space="preserve">viability of their </w:t>
      </w:r>
      <w:r w:rsidR="00745043" w:rsidRPr="00051736">
        <w:rPr>
          <w:rFonts w:ascii="Arial" w:hAnsi="Arial" w:cs="Arial"/>
          <w:sz w:val="24"/>
          <w:szCs w:val="24"/>
        </w:rPr>
        <w:t>employers</w:t>
      </w:r>
      <w:r w:rsidR="00B112B6" w:rsidRPr="00051736">
        <w:rPr>
          <w:rFonts w:ascii="Arial" w:hAnsi="Arial" w:cs="Arial"/>
          <w:sz w:val="24"/>
          <w:szCs w:val="24"/>
        </w:rPr>
        <w:t>.</w:t>
      </w:r>
      <w:r w:rsidR="00015986" w:rsidRPr="00051736">
        <w:rPr>
          <w:rFonts w:ascii="Arial" w:hAnsi="Arial" w:cs="Arial"/>
          <w:sz w:val="24"/>
          <w:szCs w:val="24"/>
        </w:rPr>
        <w:t xml:space="preserve"> </w:t>
      </w:r>
    </w:p>
    <w:p w:rsidR="007362B6" w:rsidRPr="00051736" w:rsidRDefault="007362B6" w:rsidP="00B112B6">
      <w:pPr>
        <w:spacing w:after="0" w:line="240" w:lineRule="auto"/>
        <w:rPr>
          <w:rFonts w:ascii="Arial" w:hAnsi="Arial" w:cs="Arial"/>
          <w:sz w:val="24"/>
          <w:szCs w:val="24"/>
        </w:rPr>
      </w:pPr>
    </w:p>
    <w:p w:rsidR="007362B6" w:rsidRDefault="007362B6" w:rsidP="007362B6">
      <w:pPr>
        <w:pStyle w:val="NDS-BodyText1"/>
        <w:tabs>
          <w:tab w:val="left" w:pos="1134"/>
        </w:tabs>
        <w:spacing w:after="0"/>
        <w:rPr>
          <w:b/>
          <w:szCs w:val="24"/>
        </w:rPr>
      </w:pPr>
    </w:p>
    <w:p w:rsidR="00CD01A0" w:rsidRDefault="00CD01A0" w:rsidP="007362B6">
      <w:pPr>
        <w:pStyle w:val="NDS-BodyText1"/>
        <w:tabs>
          <w:tab w:val="left" w:pos="1134"/>
        </w:tabs>
        <w:spacing w:after="0"/>
        <w:rPr>
          <w:b/>
          <w:szCs w:val="24"/>
        </w:rPr>
      </w:pPr>
    </w:p>
    <w:p w:rsidR="007362B6" w:rsidRPr="00051736" w:rsidRDefault="007362B6" w:rsidP="007362B6">
      <w:pPr>
        <w:pStyle w:val="NDS-BodyText1"/>
        <w:tabs>
          <w:tab w:val="left" w:pos="1134"/>
        </w:tabs>
        <w:spacing w:after="0"/>
        <w:rPr>
          <w:szCs w:val="24"/>
        </w:rPr>
      </w:pPr>
      <w:r w:rsidRPr="00051736">
        <w:rPr>
          <w:b/>
          <w:szCs w:val="24"/>
        </w:rPr>
        <w:t>Contact:</w:t>
      </w:r>
      <w:r w:rsidRPr="00051736">
        <w:rPr>
          <w:szCs w:val="24"/>
        </w:rPr>
        <w:tab/>
        <w:t>Dr Ken Baker</w:t>
      </w:r>
    </w:p>
    <w:p w:rsidR="007362B6" w:rsidRDefault="007362B6" w:rsidP="007362B6">
      <w:pPr>
        <w:pStyle w:val="NDS-InsidePage-IndentText1"/>
        <w:rPr>
          <w:szCs w:val="24"/>
        </w:rPr>
      </w:pPr>
      <w:r w:rsidRPr="00051736">
        <w:rPr>
          <w:szCs w:val="24"/>
        </w:rPr>
        <w:t>Chief Executive</w:t>
      </w:r>
    </w:p>
    <w:p w:rsidR="00FA0754" w:rsidRPr="00051736" w:rsidRDefault="00FA0754" w:rsidP="007362B6">
      <w:pPr>
        <w:pStyle w:val="NDS-InsidePage-IndentText1"/>
        <w:rPr>
          <w:szCs w:val="24"/>
        </w:rPr>
      </w:pPr>
      <w:r>
        <w:rPr>
          <w:szCs w:val="24"/>
        </w:rPr>
        <w:t>National Disability Services</w:t>
      </w:r>
    </w:p>
    <w:p w:rsidR="007362B6" w:rsidRPr="00051736" w:rsidRDefault="007362B6" w:rsidP="0084542A">
      <w:pPr>
        <w:pStyle w:val="NDS-InsidePage-IndentText1"/>
        <w:rPr>
          <w:szCs w:val="24"/>
        </w:rPr>
      </w:pPr>
      <w:r w:rsidRPr="00051736">
        <w:rPr>
          <w:szCs w:val="24"/>
        </w:rPr>
        <w:t>Ph</w:t>
      </w:r>
      <w:r w:rsidR="00FA0754">
        <w:rPr>
          <w:szCs w:val="24"/>
        </w:rPr>
        <w:t xml:space="preserve">one: </w:t>
      </w:r>
      <w:r w:rsidRPr="00051736">
        <w:rPr>
          <w:szCs w:val="24"/>
        </w:rPr>
        <w:t xml:space="preserve"> 02 6283 3200</w:t>
      </w:r>
    </w:p>
    <w:p w:rsidR="007362B6" w:rsidRPr="00051736" w:rsidRDefault="00B326D3" w:rsidP="007362B6">
      <w:pPr>
        <w:pStyle w:val="NDS-InsidePage-IndentText2"/>
        <w:spacing w:after="0"/>
        <w:rPr>
          <w:color w:val="0000FF"/>
          <w:szCs w:val="24"/>
        </w:rPr>
      </w:pPr>
      <w:hyperlink r:id="rId12" w:history="1">
        <w:r w:rsidR="007362B6" w:rsidRPr="00051736">
          <w:rPr>
            <w:rStyle w:val="Hyperlink"/>
            <w:szCs w:val="24"/>
          </w:rPr>
          <w:t>ken.baker@nds.org.au</w:t>
        </w:r>
      </w:hyperlink>
    </w:p>
    <w:p w:rsidR="007362B6" w:rsidRPr="00051736" w:rsidRDefault="007362B6" w:rsidP="007362B6">
      <w:pPr>
        <w:pStyle w:val="NDS-InsidePage-Heading2"/>
        <w:spacing w:after="0"/>
      </w:pPr>
    </w:p>
    <w:p w:rsidR="00492D96" w:rsidRDefault="00492D96" w:rsidP="007362B6">
      <w:pPr>
        <w:pStyle w:val="NDS-InsidePage-Heading2"/>
        <w:spacing w:after="0"/>
      </w:pPr>
    </w:p>
    <w:p w:rsidR="007362B6" w:rsidRPr="00051736" w:rsidRDefault="007362B6" w:rsidP="007362B6">
      <w:pPr>
        <w:pStyle w:val="NDS-InsidePage-Heading2"/>
        <w:spacing w:after="0"/>
      </w:pPr>
      <w:r w:rsidRPr="00051736">
        <w:t>About National Disability Services</w:t>
      </w:r>
    </w:p>
    <w:p w:rsidR="00051736" w:rsidRPr="00051736" w:rsidRDefault="007362B6" w:rsidP="00FA0754">
      <w:pPr>
        <w:pStyle w:val="NDS-BodyText1"/>
        <w:spacing w:after="0"/>
        <w:rPr>
          <w:szCs w:val="24"/>
        </w:rPr>
      </w:pPr>
      <w:r w:rsidRPr="00051736">
        <w:rPr>
          <w:szCs w:val="24"/>
        </w:rPr>
        <w:t>National Disability Services is the peak industry body for non-government disability services. Its purpose is to promote and advance services for people with disability. Its Australia-wide membershi</w:t>
      </w:r>
      <w:r w:rsidR="00CD01A0">
        <w:rPr>
          <w:szCs w:val="24"/>
        </w:rPr>
        <w:t>p includes 83</w:t>
      </w:r>
      <w:r w:rsidRPr="00051736">
        <w:rPr>
          <w:szCs w:val="24"/>
        </w:rPr>
        <w:t>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51736" w:rsidRPr="0005173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CD" w:rsidRDefault="00661ECD" w:rsidP="007F5B0D">
      <w:pPr>
        <w:spacing w:after="0" w:line="240" w:lineRule="auto"/>
      </w:pPr>
      <w:r>
        <w:separator/>
      </w:r>
    </w:p>
  </w:endnote>
  <w:endnote w:type="continuationSeparator" w:id="0">
    <w:p w:rsidR="00661ECD" w:rsidRDefault="00661ECD" w:rsidP="007F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17768"/>
      <w:docPartObj>
        <w:docPartGallery w:val="Page Numbers (Bottom of Page)"/>
        <w:docPartUnique/>
      </w:docPartObj>
    </w:sdtPr>
    <w:sdtEndPr>
      <w:rPr>
        <w:rFonts w:ascii="Arial" w:hAnsi="Arial" w:cs="Arial"/>
        <w:noProof/>
        <w:sz w:val="20"/>
        <w:szCs w:val="20"/>
      </w:rPr>
    </w:sdtEndPr>
    <w:sdtContent>
      <w:p w:rsidR="00ED178E" w:rsidRPr="00ED178E" w:rsidRDefault="00ED178E">
        <w:pPr>
          <w:pStyle w:val="Footer"/>
          <w:jc w:val="right"/>
          <w:rPr>
            <w:rFonts w:ascii="Arial" w:hAnsi="Arial" w:cs="Arial"/>
            <w:sz w:val="20"/>
            <w:szCs w:val="20"/>
          </w:rPr>
        </w:pPr>
        <w:r w:rsidRPr="00ED178E">
          <w:rPr>
            <w:rFonts w:ascii="Arial" w:hAnsi="Arial" w:cs="Arial"/>
            <w:sz w:val="20"/>
            <w:szCs w:val="20"/>
          </w:rPr>
          <w:fldChar w:fldCharType="begin"/>
        </w:r>
        <w:r w:rsidRPr="00ED178E">
          <w:rPr>
            <w:rFonts w:ascii="Arial" w:hAnsi="Arial" w:cs="Arial"/>
            <w:sz w:val="20"/>
            <w:szCs w:val="20"/>
          </w:rPr>
          <w:instrText xml:space="preserve"> PAGE   \* MERGEFORMAT </w:instrText>
        </w:r>
        <w:r w:rsidRPr="00ED178E">
          <w:rPr>
            <w:rFonts w:ascii="Arial" w:hAnsi="Arial" w:cs="Arial"/>
            <w:sz w:val="20"/>
            <w:szCs w:val="20"/>
          </w:rPr>
          <w:fldChar w:fldCharType="separate"/>
        </w:r>
        <w:r w:rsidR="00B326D3">
          <w:rPr>
            <w:rFonts w:ascii="Arial" w:hAnsi="Arial" w:cs="Arial"/>
            <w:noProof/>
            <w:sz w:val="20"/>
            <w:szCs w:val="20"/>
          </w:rPr>
          <w:t>1</w:t>
        </w:r>
        <w:r w:rsidRPr="00ED178E">
          <w:rPr>
            <w:rFonts w:ascii="Arial" w:hAnsi="Arial" w:cs="Arial"/>
            <w:noProof/>
            <w:sz w:val="20"/>
            <w:szCs w:val="20"/>
          </w:rPr>
          <w:fldChar w:fldCharType="end"/>
        </w:r>
      </w:p>
    </w:sdtContent>
  </w:sdt>
  <w:p w:rsidR="0066449C" w:rsidRDefault="0066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CD" w:rsidRDefault="00661ECD" w:rsidP="007F5B0D">
      <w:pPr>
        <w:spacing w:after="0" w:line="240" w:lineRule="auto"/>
      </w:pPr>
      <w:r>
        <w:separator/>
      </w:r>
    </w:p>
  </w:footnote>
  <w:footnote w:type="continuationSeparator" w:id="0">
    <w:p w:rsidR="00661ECD" w:rsidRDefault="00661ECD" w:rsidP="007F5B0D">
      <w:pPr>
        <w:spacing w:after="0" w:line="240" w:lineRule="auto"/>
      </w:pPr>
      <w:r>
        <w:continuationSeparator/>
      </w:r>
    </w:p>
  </w:footnote>
  <w:footnote w:id="1">
    <w:p w:rsidR="0066449C" w:rsidRPr="004A20F3" w:rsidRDefault="0066449C" w:rsidP="00D35F1B">
      <w:pPr>
        <w:pStyle w:val="FootnoteText"/>
        <w:rPr>
          <w:rFonts w:ascii="Arial" w:hAnsi="Arial" w:cs="Arial"/>
          <w:sz w:val="16"/>
          <w:szCs w:val="16"/>
        </w:rPr>
      </w:pPr>
      <w:r w:rsidRPr="004A20F3">
        <w:rPr>
          <w:rStyle w:val="FootnoteReference"/>
          <w:rFonts w:ascii="Arial" w:hAnsi="Arial" w:cs="Arial"/>
          <w:sz w:val="16"/>
          <w:szCs w:val="16"/>
        </w:rPr>
        <w:footnoteRef/>
      </w:r>
      <w:r w:rsidRPr="004A20F3">
        <w:rPr>
          <w:rFonts w:ascii="Arial" w:hAnsi="Arial" w:cs="Arial"/>
          <w:sz w:val="16"/>
          <w:szCs w:val="16"/>
        </w:rPr>
        <w:t xml:space="preserve"> </w:t>
      </w:r>
      <w:r w:rsidRPr="004A20F3">
        <w:rPr>
          <w:rStyle w:val="apple-converted-space"/>
          <w:rFonts w:ascii="Arial" w:hAnsi="Arial" w:cs="Arial"/>
          <w:color w:val="000000"/>
          <w:sz w:val="16"/>
          <w:szCs w:val="16"/>
          <w:shd w:val="clear" w:color="auto" w:fill="FFFFFF"/>
        </w:rPr>
        <w:t> </w:t>
      </w:r>
      <w:r w:rsidRPr="004A20F3">
        <w:rPr>
          <w:rFonts w:ascii="Arial" w:hAnsi="Arial" w:cs="Arial"/>
          <w:color w:val="000000"/>
          <w:sz w:val="16"/>
          <w:szCs w:val="16"/>
          <w:shd w:val="clear" w:color="auto" w:fill="FFFFFF"/>
        </w:rPr>
        <w:t>In 2009, those aged 15-64 years with moderate or mild disability had a participation rate of 53%, while those with profound or severe disability had a labour force participation rate of 31%.</w:t>
      </w:r>
      <w:r w:rsidRPr="004A20F3">
        <w:rPr>
          <w:rStyle w:val="apple-converted-space"/>
          <w:rFonts w:ascii="Arial" w:hAnsi="Arial" w:cs="Arial"/>
          <w:color w:val="000000"/>
          <w:sz w:val="16"/>
          <w:szCs w:val="16"/>
          <w:shd w:val="clear" w:color="auto" w:fill="FFFFFF"/>
        </w:rPr>
        <w:t> </w:t>
      </w:r>
      <w:r>
        <w:rPr>
          <w:rStyle w:val="apple-converted-space"/>
          <w:rFonts w:ascii="Arial" w:hAnsi="Arial" w:cs="Arial"/>
          <w:color w:val="000000"/>
          <w:sz w:val="16"/>
          <w:szCs w:val="16"/>
          <w:shd w:val="clear" w:color="auto" w:fill="FFFFFF"/>
        </w:rPr>
        <w:t>Source:</w:t>
      </w:r>
      <w:r w:rsidRPr="00F37D89">
        <w:t xml:space="preserve"> </w:t>
      </w:r>
      <w:r w:rsidRPr="00F37D89">
        <w:rPr>
          <w:rStyle w:val="apple-converted-space"/>
          <w:rFonts w:ascii="Arial" w:hAnsi="Arial" w:cs="Arial"/>
          <w:color w:val="000000"/>
          <w:sz w:val="16"/>
          <w:szCs w:val="16"/>
          <w:shd w:val="clear" w:color="auto" w:fill="FFFFFF"/>
        </w:rPr>
        <w:t>ABS 2009 Survey of Disability, Ageing and Carers (SDAC) (cat. no. 4430.0)</w:t>
      </w:r>
      <w:r>
        <w:rPr>
          <w:rStyle w:val="apple-converted-space"/>
          <w:rFonts w:ascii="Arial" w:hAnsi="Arial" w:cs="Arial"/>
          <w:color w:val="000000"/>
          <w:sz w:val="16"/>
          <w:szCs w:val="16"/>
          <w:shd w:val="clear" w:color="auto" w:fill="FFFFFF"/>
        </w:rPr>
        <w:t xml:space="preserve"> </w:t>
      </w:r>
    </w:p>
  </w:footnote>
  <w:footnote w:id="2">
    <w:p w:rsidR="0066449C" w:rsidRDefault="0066449C">
      <w:pPr>
        <w:pStyle w:val="FootnoteText"/>
      </w:pPr>
      <w:r>
        <w:rPr>
          <w:rStyle w:val="FootnoteReference"/>
        </w:rPr>
        <w:footnoteRef/>
      </w:r>
      <w:r>
        <w:t xml:space="preserve"> J Butterworth, A Hall, D Hoff, A Miglioe, ‘State and International Efforts to Reform or Eliminate the Use of Sub-Minimum Wage for Persons with Disabilities’, Institute for Community Inclusion, University of Massachusetts Boston, November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9D"/>
    <w:multiLevelType w:val="hybridMultilevel"/>
    <w:tmpl w:val="90D47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F95E48"/>
    <w:multiLevelType w:val="hybridMultilevel"/>
    <w:tmpl w:val="6B80AD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681099B"/>
    <w:multiLevelType w:val="hybridMultilevel"/>
    <w:tmpl w:val="51C4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9D3CDD"/>
    <w:multiLevelType w:val="hybridMultilevel"/>
    <w:tmpl w:val="4B4E7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7800FE"/>
    <w:multiLevelType w:val="hybridMultilevel"/>
    <w:tmpl w:val="67663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10E1D9F"/>
    <w:multiLevelType w:val="hybridMultilevel"/>
    <w:tmpl w:val="208E35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3B42267"/>
    <w:multiLevelType w:val="hybridMultilevel"/>
    <w:tmpl w:val="FE861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D44E74"/>
    <w:multiLevelType w:val="hybridMultilevel"/>
    <w:tmpl w:val="07EC2A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7EE03A60"/>
    <w:multiLevelType w:val="hybridMultilevel"/>
    <w:tmpl w:val="860AD37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04"/>
    <w:rsid w:val="000117DF"/>
    <w:rsid w:val="00015986"/>
    <w:rsid w:val="000361BA"/>
    <w:rsid w:val="00046242"/>
    <w:rsid w:val="00051736"/>
    <w:rsid w:val="00080D46"/>
    <w:rsid w:val="000A1945"/>
    <w:rsid w:val="000F5AE7"/>
    <w:rsid w:val="000F7140"/>
    <w:rsid w:val="00100460"/>
    <w:rsid w:val="00142043"/>
    <w:rsid w:val="00152436"/>
    <w:rsid w:val="00172C07"/>
    <w:rsid w:val="00190C58"/>
    <w:rsid w:val="001C0EA3"/>
    <w:rsid w:val="001D3B15"/>
    <w:rsid w:val="0020456E"/>
    <w:rsid w:val="0020560D"/>
    <w:rsid w:val="0024454E"/>
    <w:rsid w:val="00256060"/>
    <w:rsid w:val="002625F3"/>
    <w:rsid w:val="002739EA"/>
    <w:rsid w:val="00274043"/>
    <w:rsid w:val="00285D88"/>
    <w:rsid w:val="002B2597"/>
    <w:rsid w:val="002B6DAF"/>
    <w:rsid w:val="002F274B"/>
    <w:rsid w:val="002F386C"/>
    <w:rsid w:val="003007ED"/>
    <w:rsid w:val="0031059C"/>
    <w:rsid w:val="00317DD7"/>
    <w:rsid w:val="003372BD"/>
    <w:rsid w:val="00347585"/>
    <w:rsid w:val="00356CA6"/>
    <w:rsid w:val="0036497A"/>
    <w:rsid w:val="00381804"/>
    <w:rsid w:val="003829A9"/>
    <w:rsid w:val="0039763B"/>
    <w:rsid w:val="003B2F1E"/>
    <w:rsid w:val="003B6E36"/>
    <w:rsid w:val="003E3EB8"/>
    <w:rsid w:val="003F22E6"/>
    <w:rsid w:val="0040034B"/>
    <w:rsid w:val="00414566"/>
    <w:rsid w:val="00416D1D"/>
    <w:rsid w:val="00423276"/>
    <w:rsid w:val="0042338A"/>
    <w:rsid w:val="004574BE"/>
    <w:rsid w:val="00475201"/>
    <w:rsid w:val="004837FD"/>
    <w:rsid w:val="004906F1"/>
    <w:rsid w:val="00492D96"/>
    <w:rsid w:val="00492FF4"/>
    <w:rsid w:val="004A18A3"/>
    <w:rsid w:val="004A20F3"/>
    <w:rsid w:val="004C2366"/>
    <w:rsid w:val="004D5477"/>
    <w:rsid w:val="00533C09"/>
    <w:rsid w:val="005B5E4C"/>
    <w:rsid w:val="005C5BDD"/>
    <w:rsid w:val="005D3F0E"/>
    <w:rsid w:val="005E5CEB"/>
    <w:rsid w:val="005E6F50"/>
    <w:rsid w:val="00603286"/>
    <w:rsid w:val="00652B4C"/>
    <w:rsid w:val="00661ECD"/>
    <w:rsid w:val="0066449C"/>
    <w:rsid w:val="00677326"/>
    <w:rsid w:val="00680784"/>
    <w:rsid w:val="00685DB1"/>
    <w:rsid w:val="00695480"/>
    <w:rsid w:val="006B6666"/>
    <w:rsid w:val="006E52AA"/>
    <w:rsid w:val="006F5321"/>
    <w:rsid w:val="0070584C"/>
    <w:rsid w:val="00720F0E"/>
    <w:rsid w:val="00723907"/>
    <w:rsid w:val="00731E17"/>
    <w:rsid w:val="00732837"/>
    <w:rsid w:val="007334F8"/>
    <w:rsid w:val="007362B6"/>
    <w:rsid w:val="00745043"/>
    <w:rsid w:val="00760AB2"/>
    <w:rsid w:val="007958BD"/>
    <w:rsid w:val="007A41A5"/>
    <w:rsid w:val="007A751D"/>
    <w:rsid w:val="007B307F"/>
    <w:rsid w:val="007B3B98"/>
    <w:rsid w:val="007D5708"/>
    <w:rsid w:val="007F5B0D"/>
    <w:rsid w:val="007F63D9"/>
    <w:rsid w:val="00821D76"/>
    <w:rsid w:val="008360FF"/>
    <w:rsid w:val="00841524"/>
    <w:rsid w:val="0084542A"/>
    <w:rsid w:val="00864F4B"/>
    <w:rsid w:val="00870A2D"/>
    <w:rsid w:val="0087772E"/>
    <w:rsid w:val="008A0B50"/>
    <w:rsid w:val="008A2FA4"/>
    <w:rsid w:val="008D26F8"/>
    <w:rsid w:val="008F0454"/>
    <w:rsid w:val="0092537A"/>
    <w:rsid w:val="00925828"/>
    <w:rsid w:val="00927645"/>
    <w:rsid w:val="00936490"/>
    <w:rsid w:val="00953BC7"/>
    <w:rsid w:val="009643BF"/>
    <w:rsid w:val="009963C8"/>
    <w:rsid w:val="009974FC"/>
    <w:rsid w:val="009A4D9A"/>
    <w:rsid w:val="009B3E84"/>
    <w:rsid w:val="009B4306"/>
    <w:rsid w:val="009C5A56"/>
    <w:rsid w:val="009C7BE7"/>
    <w:rsid w:val="009E3082"/>
    <w:rsid w:val="009F3AE4"/>
    <w:rsid w:val="00A15434"/>
    <w:rsid w:val="00A178F0"/>
    <w:rsid w:val="00A22781"/>
    <w:rsid w:val="00A401C0"/>
    <w:rsid w:val="00A95D48"/>
    <w:rsid w:val="00AA3685"/>
    <w:rsid w:val="00AB2733"/>
    <w:rsid w:val="00AC1ABB"/>
    <w:rsid w:val="00AC665A"/>
    <w:rsid w:val="00AD3331"/>
    <w:rsid w:val="00B072C7"/>
    <w:rsid w:val="00B112B6"/>
    <w:rsid w:val="00B277A0"/>
    <w:rsid w:val="00B326D3"/>
    <w:rsid w:val="00BB2295"/>
    <w:rsid w:val="00BB63CD"/>
    <w:rsid w:val="00BC43E2"/>
    <w:rsid w:val="00BE4A42"/>
    <w:rsid w:val="00BF0524"/>
    <w:rsid w:val="00BF3E5D"/>
    <w:rsid w:val="00C00838"/>
    <w:rsid w:val="00C02883"/>
    <w:rsid w:val="00C108CF"/>
    <w:rsid w:val="00C15531"/>
    <w:rsid w:val="00C171A6"/>
    <w:rsid w:val="00C25999"/>
    <w:rsid w:val="00C400C9"/>
    <w:rsid w:val="00C523B7"/>
    <w:rsid w:val="00CC4F52"/>
    <w:rsid w:val="00CC7654"/>
    <w:rsid w:val="00CD01A0"/>
    <w:rsid w:val="00CD78D0"/>
    <w:rsid w:val="00CE2BF4"/>
    <w:rsid w:val="00D12165"/>
    <w:rsid w:val="00D33FC9"/>
    <w:rsid w:val="00D34019"/>
    <w:rsid w:val="00D35F1B"/>
    <w:rsid w:val="00D445FA"/>
    <w:rsid w:val="00D63516"/>
    <w:rsid w:val="00D70BA5"/>
    <w:rsid w:val="00D82E7B"/>
    <w:rsid w:val="00DC1FDF"/>
    <w:rsid w:val="00DC2B66"/>
    <w:rsid w:val="00DF63B9"/>
    <w:rsid w:val="00E17E02"/>
    <w:rsid w:val="00E40F44"/>
    <w:rsid w:val="00E82AD8"/>
    <w:rsid w:val="00E9177D"/>
    <w:rsid w:val="00E92728"/>
    <w:rsid w:val="00EA1E47"/>
    <w:rsid w:val="00EA440E"/>
    <w:rsid w:val="00EC405A"/>
    <w:rsid w:val="00ED178E"/>
    <w:rsid w:val="00EE0EE8"/>
    <w:rsid w:val="00EF44FE"/>
    <w:rsid w:val="00F01DF4"/>
    <w:rsid w:val="00F02EB8"/>
    <w:rsid w:val="00F24289"/>
    <w:rsid w:val="00F330C3"/>
    <w:rsid w:val="00F37D89"/>
    <w:rsid w:val="00F60F57"/>
    <w:rsid w:val="00F63FD1"/>
    <w:rsid w:val="00F7434E"/>
    <w:rsid w:val="00F8394B"/>
    <w:rsid w:val="00FA0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7F63D9"/>
    <w:pPr>
      <w:spacing w:before="360" w:line="360" w:lineRule="auto"/>
      <w:outlineLvl w:val="0"/>
    </w:pPr>
    <w:rPr>
      <w:rFonts w:ascii="Arial" w:eastAsia="Times New Roman" w:hAnsi="Arial" w:cs="Arial"/>
      <w:b/>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B0D"/>
  </w:style>
  <w:style w:type="paragraph" w:styleId="Footer">
    <w:name w:val="footer"/>
    <w:basedOn w:val="Normal"/>
    <w:link w:val="FooterChar"/>
    <w:uiPriority w:val="99"/>
    <w:unhideWhenUsed/>
    <w:rsid w:val="007F5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0D"/>
  </w:style>
  <w:style w:type="paragraph" w:styleId="ListParagraph">
    <w:name w:val="List Paragraph"/>
    <w:basedOn w:val="Normal"/>
    <w:uiPriority w:val="34"/>
    <w:qFormat/>
    <w:rsid w:val="00317DD7"/>
    <w:pPr>
      <w:ind w:left="720"/>
      <w:contextualSpacing/>
    </w:pPr>
  </w:style>
  <w:style w:type="paragraph" w:styleId="FootnoteText">
    <w:name w:val="footnote text"/>
    <w:basedOn w:val="Normal"/>
    <w:link w:val="FootnoteTextChar"/>
    <w:uiPriority w:val="99"/>
    <w:semiHidden/>
    <w:unhideWhenUsed/>
    <w:rsid w:val="004A2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0F3"/>
    <w:rPr>
      <w:sz w:val="20"/>
      <w:szCs w:val="20"/>
    </w:rPr>
  </w:style>
  <w:style w:type="character" w:styleId="FootnoteReference">
    <w:name w:val="footnote reference"/>
    <w:basedOn w:val="DefaultParagraphFont"/>
    <w:uiPriority w:val="99"/>
    <w:semiHidden/>
    <w:unhideWhenUsed/>
    <w:rsid w:val="004A20F3"/>
    <w:rPr>
      <w:vertAlign w:val="superscript"/>
    </w:rPr>
  </w:style>
  <w:style w:type="character" w:customStyle="1" w:styleId="apple-converted-space">
    <w:name w:val="apple-converted-space"/>
    <w:basedOn w:val="DefaultParagraphFont"/>
    <w:rsid w:val="004A20F3"/>
  </w:style>
  <w:style w:type="character" w:styleId="Hyperlink">
    <w:name w:val="Hyperlink"/>
    <w:basedOn w:val="DefaultParagraphFont"/>
    <w:uiPriority w:val="99"/>
    <w:unhideWhenUsed/>
    <w:rsid w:val="00652B4C"/>
    <w:rPr>
      <w:color w:val="0000FF" w:themeColor="hyperlink"/>
      <w:u w:val="single"/>
    </w:rPr>
  </w:style>
  <w:style w:type="paragraph" w:customStyle="1" w:styleId="NDS-BodyText1">
    <w:name w:val="NDS-BodyText1"/>
    <w:basedOn w:val="Normal"/>
    <w:qFormat/>
    <w:rsid w:val="007362B6"/>
    <w:pPr>
      <w:spacing w:after="240" w:line="240" w:lineRule="auto"/>
    </w:pPr>
    <w:rPr>
      <w:rFonts w:ascii="Arial" w:eastAsia="Times New Roman" w:hAnsi="Arial" w:cs="Arial"/>
      <w:sz w:val="24"/>
      <w:lang w:val="en" w:eastAsia="en-AU"/>
    </w:rPr>
  </w:style>
  <w:style w:type="paragraph" w:customStyle="1" w:styleId="NDS-InsidePage-Heading2">
    <w:name w:val="NDS-InsidePage-Heading2"/>
    <w:basedOn w:val="Normal"/>
    <w:qFormat/>
    <w:rsid w:val="007362B6"/>
    <w:pPr>
      <w:spacing w:after="120" w:line="240" w:lineRule="auto"/>
    </w:pPr>
    <w:rPr>
      <w:rFonts w:ascii="Arial" w:eastAsia="MS Mincho" w:hAnsi="Arial" w:cs="Times New Roman"/>
      <w:b/>
      <w:sz w:val="24"/>
      <w:szCs w:val="24"/>
      <w:lang w:eastAsia="ja-JP"/>
    </w:rPr>
  </w:style>
  <w:style w:type="paragraph" w:customStyle="1" w:styleId="NDS-InsidePage-Heading1">
    <w:name w:val="NDS-InsidePage-Heading1"/>
    <w:basedOn w:val="NDS-InsidePage-Heading2"/>
    <w:qFormat/>
    <w:rsid w:val="007362B6"/>
    <w:pPr>
      <w:spacing w:before="360" w:after="240"/>
    </w:pPr>
  </w:style>
  <w:style w:type="paragraph" w:customStyle="1" w:styleId="NDS-InsidePage-IndentText1">
    <w:name w:val="NDS-InsidePage-IndentText1"/>
    <w:basedOn w:val="NDS-BodyText1"/>
    <w:qFormat/>
    <w:rsid w:val="007362B6"/>
    <w:pPr>
      <w:spacing w:after="0"/>
      <w:ind w:left="1134"/>
    </w:pPr>
  </w:style>
  <w:style w:type="paragraph" w:customStyle="1" w:styleId="NDS-InsidePage-IndentText2">
    <w:name w:val="NDS-InsidePage-IndentText2"/>
    <w:basedOn w:val="NDS-BodyText1"/>
    <w:qFormat/>
    <w:rsid w:val="007362B6"/>
    <w:pPr>
      <w:spacing w:after="360"/>
      <w:ind w:left="1134"/>
    </w:pPr>
  </w:style>
  <w:style w:type="character" w:customStyle="1" w:styleId="Heading1Char">
    <w:name w:val="Heading 1 Char"/>
    <w:basedOn w:val="DefaultParagraphFont"/>
    <w:link w:val="Heading1"/>
    <w:rsid w:val="007F63D9"/>
    <w:rPr>
      <w:rFonts w:ascii="Arial" w:eastAsia="Times New Roman" w:hAnsi="Arial" w:cs="Arial"/>
      <w:b/>
      <w:color w:val="000000"/>
      <w:sz w:val="36"/>
      <w:szCs w:val="32"/>
    </w:rPr>
  </w:style>
  <w:style w:type="paragraph" w:styleId="Title">
    <w:name w:val="Title"/>
    <w:basedOn w:val="Normal"/>
    <w:next w:val="Normal"/>
    <w:link w:val="TitleChar"/>
    <w:qFormat/>
    <w:rsid w:val="007F63D9"/>
    <w:pPr>
      <w:spacing w:after="360" w:line="360" w:lineRule="auto"/>
    </w:pPr>
    <w:rPr>
      <w:rFonts w:ascii="Arial" w:eastAsia="Times New Roman" w:hAnsi="Arial" w:cs="Arial"/>
      <w:b/>
      <w:bCs/>
      <w:color w:val="000000"/>
      <w:sz w:val="44"/>
      <w:szCs w:val="44"/>
      <w:lang w:val="en-US"/>
    </w:rPr>
  </w:style>
  <w:style w:type="character" w:customStyle="1" w:styleId="TitleChar">
    <w:name w:val="Title Char"/>
    <w:basedOn w:val="DefaultParagraphFont"/>
    <w:link w:val="Title"/>
    <w:rsid w:val="007F63D9"/>
    <w:rPr>
      <w:rFonts w:ascii="Arial" w:eastAsia="Times New Roman" w:hAnsi="Arial" w:cs="Arial"/>
      <w:b/>
      <w:bCs/>
      <w:color w:val="000000"/>
      <w:sz w:val="44"/>
      <w:szCs w:val="44"/>
      <w:lang w:val="en-US"/>
    </w:rPr>
  </w:style>
  <w:style w:type="paragraph" w:styleId="BodyText">
    <w:name w:val="Body Text"/>
    <w:basedOn w:val="Normal"/>
    <w:link w:val="BodyTextChar"/>
    <w:uiPriority w:val="99"/>
    <w:semiHidden/>
    <w:unhideWhenUsed/>
    <w:rsid w:val="007F63D9"/>
    <w:pPr>
      <w:spacing w:after="120"/>
    </w:pPr>
  </w:style>
  <w:style w:type="character" w:customStyle="1" w:styleId="BodyTextChar">
    <w:name w:val="Body Text Char"/>
    <w:basedOn w:val="DefaultParagraphFont"/>
    <w:link w:val="BodyText"/>
    <w:uiPriority w:val="99"/>
    <w:semiHidden/>
    <w:rsid w:val="007F63D9"/>
  </w:style>
  <w:style w:type="paragraph" w:styleId="BalloonText">
    <w:name w:val="Balloon Text"/>
    <w:basedOn w:val="Normal"/>
    <w:link w:val="BalloonTextChar"/>
    <w:uiPriority w:val="99"/>
    <w:semiHidden/>
    <w:unhideWhenUsed/>
    <w:rsid w:val="0005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7F63D9"/>
    <w:pPr>
      <w:spacing w:before="360" w:line="360" w:lineRule="auto"/>
      <w:outlineLvl w:val="0"/>
    </w:pPr>
    <w:rPr>
      <w:rFonts w:ascii="Arial" w:eastAsia="Times New Roman" w:hAnsi="Arial" w:cs="Arial"/>
      <w:b/>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B0D"/>
  </w:style>
  <w:style w:type="paragraph" w:styleId="Footer">
    <w:name w:val="footer"/>
    <w:basedOn w:val="Normal"/>
    <w:link w:val="FooterChar"/>
    <w:uiPriority w:val="99"/>
    <w:unhideWhenUsed/>
    <w:rsid w:val="007F5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0D"/>
  </w:style>
  <w:style w:type="paragraph" w:styleId="ListParagraph">
    <w:name w:val="List Paragraph"/>
    <w:basedOn w:val="Normal"/>
    <w:uiPriority w:val="34"/>
    <w:qFormat/>
    <w:rsid w:val="00317DD7"/>
    <w:pPr>
      <w:ind w:left="720"/>
      <w:contextualSpacing/>
    </w:pPr>
  </w:style>
  <w:style w:type="paragraph" w:styleId="FootnoteText">
    <w:name w:val="footnote text"/>
    <w:basedOn w:val="Normal"/>
    <w:link w:val="FootnoteTextChar"/>
    <w:uiPriority w:val="99"/>
    <w:semiHidden/>
    <w:unhideWhenUsed/>
    <w:rsid w:val="004A2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0F3"/>
    <w:rPr>
      <w:sz w:val="20"/>
      <w:szCs w:val="20"/>
    </w:rPr>
  </w:style>
  <w:style w:type="character" w:styleId="FootnoteReference">
    <w:name w:val="footnote reference"/>
    <w:basedOn w:val="DefaultParagraphFont"/>
    <w:uiPriority w:val="99"/>
    <w:semiHidden/>
    <w:unhideWhenUsed/>
    <w:rsid w:val="004A20F3"/>
    <w:rPr>
      <w:vertAlign w:val="superscript"/>
    </w:rPr>
  </w:style>
  <w:style w:type="character" w:customStyle="1" w:styleId="apple-converted-space">
    <w:name w:val="apple-converted-space"/>
    <w:basedOn w:val="DefaultParagraphFont"/>
    <w:rsid w:val="004A20F3"/>
  </w:style>
  <w:style w:type="character" w:styleId="Hyperlink">
    <w:name w:val="Hyperlink"/>
    <w:basedOn w:val="DefaultParagraphFont"/>
    <w:uiPriority w:val="99"/>
    <w:unhideWhenUsed/>
    <w:rsid w:val="00652B4C"/>
    <w:rPr>
      <w:color w:val="0000FF" w:themeColor="hyperlink"/>
      <w:u w:val="single"/>
    </w:rPr>
  </w:style>
  <w:style w:type="paragraph" w:customStyle="1" w:styleId="NDS-BodyText1">
    <w:name w:val="NDS-BodyText1"/>
    <w:basedOn w:val="Normal"/>
    <w:qFormat/>
    <w:rsid w:val="007362B6"/>
    <w:pPr>
      <w:spacing w:after="240" w:line="240" w:lineRule="auto"/>
    </w:pPr>
    <w:rPr>
      <w:rFonts w:ascii="Arial" w:eastAsia="Times New Roman" w:hAnsi="Arial" w:cs="Arial"/>
      <w:sz w:val="24"/>
      <w:lang w:val="en" w:eastAsia="en-AU"/>
    </w:rPr>
  </w:style>
  <w:style w:type="paragraph" w:customStyle="1" w:styleId="NDS-InsidePage-Heading2">
    <w:name w:val="NDS-InsidePage-Heading2"/>
    <w:basedOn w:val="Normal"/>
    <w:qFormat/>
    <w:rsid w:val="007362B6"/>
    <w:pPr>
      <w:spacing w:after="120" w:line="240" w:lineRule="auto"/>
    </w:pPr>
    <w:rPr>
      <w:rFonts w:ascii="Arial" w:eastAsia="MS Mincho" w:hAnsi="Arial" w:cs="Times New Roman"/>
      <w:b/>
      <w:sz w:val="24"/>
      <w:szCs w:val="24"/>
      <w:lang w:eastAsia="ja-JP"/>
    </w:rPr>
  </w:style>
  <w:style w:type="paragraph" w:customStyle="1" w:styleId="NDS-InsidePage-Heading1">
    <w:name w:val="NDS-InsidePage-Heading1"/>
    <w:basedOn w:val="NDS-InsidePage-Heading2"/>
    <w:qFormat/>
    <w:rsid w:val="007362B6"/>
    <w:pPr>
      <w:spacing w:before="360" w:after="240"/>
    </w:pPr>
  </w:style>
  <w:style w:type="paragraph" w:customStyle="1" w:styleId="NDS-InsidePage-IndentText1">
    <w:name w:val="NDS-InsidePage-IndentText1"/>
    <w:basedOn w:val="NDS-BodyText1"/>
    <w:qFormat/>
    <w:rsid w:val="007362B6"/>
    <w:pPr>
      <w:spacing w:after="0"/>
      <w:ind w:left="1134"/>
    </w:pPr>
  </w:style>
  <w:style w:type="paragraph" w:customStyle="1" w:styleId="NDS-InsidePage-IndentText2">
    <w:name w:val="NDS-InsidePage-IndentText2"/>
    <w:basedOn w:val="NDS-BodyText1"/>
    <w:qFormat/>
    <w:rsid w:val="007362B6"/>
    <w:pPr>
      <w:spacing w:after="360"/>
      <w:ind w:left="1134"/>
    </w:pPr>
  </w:style>
  <w:style w:type="character" w:customStyle="1" w:styleId="Heading1Char">
    <w:name w:val="Heading 1 Char"/>
    <w:basedOn w:val="DefaultParagraphFont"/>
    <w:link w:val="Heading1"/>
    <w:rsid w:val="007F63D9"/>
    <w:rPr>
      <w:rFonts w:ascii="Arial" w:eastAsia="Times New Roman" w:hAnsi="Arial" w:cs="Arial"/>
      <w:b/>
      <w:color w:val="000000"/>
      <w:sz w:val="36"/>
      <w:szCs w:val="32"/>
    </w:rPr>
  </w:style>
  <w:style w:type="paragraph" w:styleId="Title">
    <w:name w:val="Title"/>
    <w:basedOn w:val="Normal"/>
    <w:next w:val="Normal"/>
    <w:link w:val="TitleChar"/>
    <w:qFormat/>
    <w:rsid w:val="007F63D9"/>
    <w:pPr>
      <w:spacing w:after="360" w:line="360" w:lineRule="auto"/>
    </w:pPr>
    <w:rPr>
      <w:rFonts w:ascii="Arial" w:eastAsia="Times New Roman" w:hAnsi="Arial" w:cs="Arial"/>
      <w:b/>
      <w:bCs/>
      <w:color w:val="000000"/>
      <w:sz w:val="44"/>
      <w:szCs w:val="44"/>
      <w:lang w:val="en-US"/>
    </w:rPr>
  </w:style>
  <w:style w:type="character" w:customStyle="1" w:styleId="TitleChar">
    <w:name w:val="Title Char"/>
    <w:basedOn w:val="DefaultParagraphFont"/>
    <w:link w:val="Title"/>
    <w:rsid w:val="007F63D9"/>
    <w:rPr>
      <w:rFonts w:ascii="Arial" w:eastAsia="Times New Roman" w:hAnsi="Arial" w:cs="Arial"/>
      <w:b/>
      <w:bCs/>
      <w:color w:val="000000"/>
      <w:sz w:val="44"/>
      <w:szCs w:val="44"/>
      <w:lang w:val="en-US"/>
    </w:rPr>
  </w:style>
  <w:style w:type="paragraph" w:styleId="BodyText">
    <w:name w:val="Body Text"/>
    <w:basedOn w:val="Normal"/>
    <w:link w:val="BodyTextChar"/>
    <w:uiPriority w:val="99"/>
    <w:semiHidden/>
    <w:unhideWhenUsed/>
    <w:rsid w:val="007F63D9"/>
    <w:pPr>
      <w:spacing w:after="120"/>
    </w:pPr>
  </w:style>
  <w:style w:type="character" w:customStyle="1" w:styleId="BodyTextChar">
    <w:name w:val="Body Text Char"/>
    <w:basedOn w:val="DefaultParagraphFont"/>
    <w:link w:val="BodyText"/>
    <w:uiPriority w:val="99"/>
    <w:semiHidden/>
    <w:rsid w:val="007F63D9"/>
  </w:style>
  <w:style w:type="paragraph" w:styleId="BalloonText">
    <w:name w:val="Balloon Text"/>
    <w:basedOn w:val="Normal"/>
    <w:link w:val="BalloonTextChar"/>
    <w:uiPriority w:val="99"/>
    <w:semiHidden/>
    <w:unhideWhenUsed/>
    <w:rsid w:val="0005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1745">
      <w:bodyDiv w:val="1"/>
      <w:marLeft w:val="0"/>
      <w:marRight w:val="0"/>
      <w:marTop w:val="0"/>
      <w:marBottom w:val="0"/>
      <w:divBdr>
        <w:top w:val="none" w:sz="0" w:space="0" w:color="auto"/>
        <w:left w:val="none" w:sz="0" w:space="0" w:color="auto"/>
        <w:bottom w:val="none" w:sz="0" w:space="0" w:color="auto"/>
        <w:right w:val="none" w:sz="0" w:space="0" w:color="auto"/>
      </w:divBdr>
    </w:div>
    <w:div w:id="18534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n.baker@n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consol_act/dsa1986213/s6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lii.edu.au/au/legis/cth/consol_act/dsa1986213/s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2B73-B190-4C56-A4D2-8F184B5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Musso</dc:creator>
  <cp:lastModifiedBy>Lara Emery</cp:lastModifiedBy>
  <cp:revision>2</cp:revision>
  <cp:lastPrinted>2013-11-01T05:08:00Z</cp:lastPrinted>
  <dcterms:created xsi:type="dcterms:W3CDTF">2013-11-01T05:08:00Z</dcterms:created>
  <dcterms:modified xsi:type="dcterms:W3CDTF">2013-11-01T05:08:00Z</dcterms:modified>
</cp:coreProperties>
</file>