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41" w:rsidRDefault="009F169D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margin-left:15.1pt;margin-top:54pt;width:494pt;height:75.15pt;z-index:-251662336;mso-wrap-distance-left:0;mso-wrap-distance-right:0;mso-position-horizontal-relative:page;mso-position-vertical-relative:page" filled="f" stroked="f">
            <v:textbox inset="0,0,0,0">
              <w:txbxContent>
                <w:p w:rsidR="00BB7441" w:rsidRDefault="009F169D">
                  <w:pPr>
                    <w:spacing w:before="14" w:after="322"/>
                    <w:ind w:left="4800" w:right="3668"/>
                    <w:textAlignment w:val="baseline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896620" cy="74104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6620" cy="741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15.1pt;margin-top:129.15pt;width:494pt;height:705.85pt;z-index:-251661312;mso-wrap-distance-left:0;mso-wrap-distance-right:0;mso-position-horizontal-relative:page;mso-position-vertical-relative:page" filled="f" stroked="f">
            <v:textbox inset="0,0,0,0">
              <w:txbxContent>
                <w:p w:rsidR="00BB7441" w:rsidRDefault="009F169D">
                  <w:pPr>
                    <w:spacing w:line="291" w:lineRule="exact"/>
                    <w:ind w:left="2520" w:right="1440" w:firstLine="720"/>
                    <w:textAlignment w:val="baseline"/>
                    <w:rPr>
                      <w:rFonts w:eastAsia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>SENATOR THE HON MITCH FIFIELD ASSISTANT MINISTER FOR SOCIAL SERVICES</w:t>
                  </w:r>
                </w:p>
                <w:p w:rsidR="00BB7441" w:rsidRDefault="009F169D">
                  <w:pPr>
                    <w:tabs>
                      <w:tab w:val="right" w:pos="9864"/>
                    </w:tabs>
                    <w:spacing w:before="185" w:line="202" w:lineRule="exact"/>
                    <w:ind w:left="1152"/>
                    <w:textAlignment w:val="baseline"/>
                    <w:rPr>
                      <w:rFonts w:ascii="Arial" w:eastAsia="Arial" w:hAnsi="Arial"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7"/>
                    </w:rPr>
                    <w:t>PARLIAMENT HOUSE</w:t>
                  </w:r>
                  <w:r>
                    <w:rPr>
                      <w:rFonts w:ascii="Arial" w:eastAsia="Arial" w:hAnsi="Arial"/>
                      <w:color w:val="000000"/>
                      <w:sz w:val="17"/>
                    </w:rPr>
                    <w:tab/>
                    <w:t xml:space="preserve">TELEPHONE: </w:t>
                  </w:r>
                  <w:r>
                    <w:rPr>
                      <w:rFonts w:ascii="Arial" w:eastAsia="Arial" w:hAnsi="Arial"/>
                      <w:color w:val="000000"/>
                      <w:sz w:val="19"/>
                    </w:rPr>
                    <w:t>(02) 6277 7280</w:t>
                  </w:r>
                </w:p>
                <w:p w:rsidR="00BB7441" w:rsidRDefault="009F169D">
                  <w:pPr>
                    <w:tabs>
                      <w:tab w:val="right" w:pos="9864"/>
                    </w:tabs>
                    <w:spacing w:line="202" w:lineRule="exact"/>
                    <w:ind w:left="1152"/>
                    <w:textAlignment w:val="baseline"/>
                    <w:rPr>
                      <w:rFonts w:ascii="Arial" w:eastAsia="Arial" w:hAnsi="Arial"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7"/>
                    </w:rPr>
                    <w:t xml:space="preserve">CANBERRA ACT </w:t>
                  </w:r>
                  <w:r>
                    <w:rPr>
                      <w:rFonts w:ascii="Arial" w:eastAsia="Arial" w:hAnsi="Arial"/>
                      <w:color w:val="000000"/>
                      <w:sz w:val="19"/>
                    </w:rPr>
                    <w:t>2600</w:t>
                  </w:r>
                  <w:r>
                    <w:rPr>
                      <w:rFonts w:ascii="Arial" w:eastAsia="Arial" w:hAnsi="Arial"/>
                      <w:color w:val="000000"/>
                      <w:sz w:val="19"/>
                    </w:rPr>
                    <w:tab/>
                  </w:r>
                  <w:r>
                    <w:rPr>
                      <w:rFonts w:ascii="Arial" w:eastAsia="Arial" w:hAnsi="Arial"/>
                      <w:color w:val="000000"/>
                      <w:sz w:val="17"/>
                    </w:rPr>
                    <w:t xml:space="preserve">FACSIMILE: (02) </w:t>
                  </w:r>
                  <w:r>
                    <w:rPr>
                      <w:rFonts w:ascii="Arial" w:eastAsia="Arial" w:hAnsi="Arial"/>
                      <w:color w:val="000000"/>
                      <w:sz w:val="19"/>
                    </w:rPr>
                    <w:t>6273 4138</w:t>
                  </w:r>
                </w:p>
                <w:p w:rsidR="00BB7441" w:rsidRDefault="009F169D">
                  <w:pPr>
                    <w:spacing w:before="553" w:line="265" w:lineRule="exact"/>
                    <w:ind w:left="1152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z w:val="23"/>
                    </w:rPr>
                    <w:t>MN13-001982</w:t>
                  </w:r>
                </w:p>
                <w:p w:rsidR="00BB7441" w:rsidRDefault="009F169D">
                  <w:pPr>
                    <w:spacing w:before="524" w:line="265" w:lineRule="exact"/>
                    <w:ind w:left="1152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z w:val="23"/>
                    </w:rPr>
                    <w:t>Mr Graeme Innes AM</w:t>
                  </w:r>
                </w:p>
                <w:p w:rsidR="00BB7441" w:rsidRDefault="009F169D">
                  <w:pPr>
                    <w:spacing w:before="1" w:line="265" w:lineRule="exact"/>
                    <w:ind w:left="1152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z w:val="23"/>
                    </w:rPr>
                    <w:t>Disability Discrimination Commissioner</w:t>
                  </w:r>
                </w:p>
                <w:p w:rsidR="00BB7441" w:rsidRDefault="009F169D">
                  <w:pPr>
                    <w:spacing w:line="264" w:lineRule="exact"/>
                    <w:ind w:left="1152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3"/>
                    </w:rPr>
                    <w:t>GPO Box 5218</w:t>
                  </w:r>
                </w:p>
                <w:p w:rsidR="00BB7441" w:rsidRDefault="009F169D">
                  <w:pPr>
                    <w:spacing w:before="4" w:line="265" w:lineRule="exact"/>
                    <w:ind w:left="1152"/>
                    <w:textAlignment w:val="baseline"/>
                    <w:rPr>
                      <w:rFonts w:eastAsia="Times New Roman"/>
                      <w:color w:val="000000"/>
                      <w:spacing w:val="4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4"/>
                      <w:sz w:val="23"/>
                    </w:rPr>
                    <w:t>SYDNEY NSW 2001</w:t>
                  </w:r>
                </w:p>
                <w:p w:rsidR="00BB7441" w:rsidRDefault="009F169D">
                  <w:pPr>
                    <w:spacing w:before="531" w:line="265" w:lineRule="exact"/>
                    <w:ind w:left="1152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z w:val="23"/>
                    </w:rPr>
                    <w:t>Dear Mr limes</w:t>
                  </w:r>
                </w:p>
                <w:p w:rsidR="00BB7441" w:rsidRDefault="009F169D">
                  <w:pPr>
                    <w:spacing w:before="276" w:line="265" w:lineRule="exact"/>
                    <w:ind w:left="1152" w:right="72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z w:val="23"/>
                    </w:rPr>
                    <w:t xml:space="preserve">As the new Minister responsible for disability issues, I have sought briefings from the Department of Social Services (the Department) about the outcomes of the Federal Court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3"/>
                    </w:rPr>
                    <w:t>judgement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3"/>
                    </w:rPr>
                    <w:t xml:space="preserve"> </w:t>
                  </w:r>
                  <w:r>
                    <w:rPr>
                      <w:rFonts w:eastAsia="Times New Roman"/>
                      <w:i/>
                      <w:color w:val="000000"/>
                      <w:sz w:val="23"/>
                    </w:rPr>
                    <w:t>Nojin &amp; Prior v Commonwealth [20121 FCAFC</w:t>
                  </w:r>
                  <w:r>
                    <w:rPr>
                      <w:rFonts w:eastAsia="Times New Roman"/>
                      <w:i/>
                      <w:color w:val="000000"/>
                      <w:sz w:val="23"/>
                    </w:rPr>
                    <w:t xml:space="preserve"> 192 </w:t>
                  </w:r>
                  <w:r>
                    <w:rPr>
                      <w:rFonts w:eastAsia="Times New Roman"/>
                      <w:color w:val="000000"/>
                      <w:sz w:val="23"/>
                    </w:rPr>
                    <w:t xml:space="preserve">and the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3"/>
                    </w:rPr>
                    <w:t>lodgement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3"/>
                    </w:rPr>
                    <w:t xml:space="preserve"> of the application for an exemption from sections 15, 24 and 29 of the </w:t>
                  </w:r>
                  <w:r>
                    <w:rPr>
                      <w:rFonts w:eastAsia="Times New Roman"/>
                      <w:i/>
                      <w:color w:val="000000"/>
                      <w:sz w:val="23"/>
                    </w:rPr>
                    <w:t xml:space="preserve">Disability Discrimination Act 1992 </w:t>
                  </w:r>
                  <w:r>
                    <w:rPr>
                      <w:rFonts w:eastAsia="Times New Roman"/>
                      <w:color w:val="000000"/>
                      <w:sz w:val="23"/>
                    </w:rPr>
                    <w:t>(DDA) by the former Department of Families, Community Services and Indigenous Affairs (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3"/>
                    </w:rPr>
                    <w:t>FaHCSIA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3"/>
                    </w:rPr>
                    <w:t>), The advice I have received has</w:t>
                  </w:r>
                  <w:r>
                    <w:rPr>
                      <w:rFonts w:eastAsia="Times New Roman"/>
                      <w:color w:val="000000"/>
                      <w:sz w:val="23"/>
                    </w:rPr>
                    <w:t xml:space="preserve"> confirmed that this issue is complex and will take some time to address. The Australian Government is committed to ensuring this matter is addressed as quickly as possible and in a fair and equitable manner which is consistent with the DDA.</w:t>
                  </w:r>
                </w:p>
                <w:p w:rsidR="00BB7441" w:rsidRDefault="009F169D">
                  <w:pPr>
                    <w:spacing w:before="261" w:line="265" w:lineRule="exact"/>
                    <w:ind w:left="1152" w:right="72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z w:val="23"/>
                    </w:rPr>
                    <w:t>The Government</w:t>
                  </w:r>
                  <w:r>
                    <w:rPr>
                      <w:rFonts w:eastAsia="Times New Roman"/>
                      <w:color w:val="000000"/>
                      <w:sz w:val="23"/>
                    </w:rPr>
                    <w:t xml:space="preserve"> supports this application. The Government believes it is important that there is time to ensure an orderly transition to a new wage assessment process which is compliant with the DDA. However, an immediate move to a new wage setting model will likely see </w:t>
                  </w:r>
                  <w:r>
                    <w:rPr>
                      <w:rFonts w:eastAsia="Times New Roman"/>
                      <w:color w:val="000000"/>
                      <w:sz w:val="23"/>
                    </w:rPr>
                    <w:t>the closure of some ADEs, resulting in workers with a disability being left without employment, The Government is very keen to avoid this outcome, Enabling ADEs to resume wage assessments using the BSWAT temporarily will allow time to develop a new approac</w:t>
                  </w:r>
                  <w:r>
                    <w:rPr>
                      <w:rFonts w:eastAsia="Times New Roman"/>
                      <w:color w:val="000000"/>
                      <w:sz w:val="23"/>
                    </w:rPr>
                    <w:t>h to wage setting in close consultation with the sector and people with a disability,</w:t>
                  </w:r>
                </w:p>
                <w:p w:rsidR="00BB7441" w:rsidRDefault="009F169D">
                  <w:pPr>
                    <w:spacing w:before="262" w:line="265" w:lineRule="exact"/>
                    <w:ind w:left="1152" w:right="216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z w:val="23"/>
                    </w:rPr>
                    <w:t>The DDA exemption application provides a clear commitment to developing a plan that will result in the transition to a new wage assessment model. The plan will be a prior</w:t>
                  </w:r>
                  <w:r>
                    <w:rPr>
                      <w:rFonts w:eastAsia="Times New Roman"/>
                      <w:color w:val="000000"/>
                      <w:sz w:val="23"/>
                    </w:rPr>
                    <w:t>ity for the Department.</w:t>
                  </w:r>
                </w:p>
                <w:p w:rsidR="00BB7441" w:rsidRDefault="009F169D">
                  <w:pPr>
                    <w:spacing w:before="255" w:after="2583" w:line="265" w:lineRule="exact"/>
                    <w:ind w:left="1152" w:right="360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z w:val="23"/>
                    </w:rPr>
                    <w:t>The Department will then move to swiftly implement that action plan, and provide ongoing reports on progress every six months. I have directed the Department that issues around wage setting and sector viability must be addressed wit</w:t>
                  </w:r>
                  <w:r>
                    <w:rPr>
                      <w:rFonts w:eastAsia="Times New Roman"/>
                      <w:color w:val="000000"/>
                      <w:sz w:val="23"/>
                    </w:rPr>
                    <w:t>hin three years, and it is my strong preference that if possible this be completed in an earlier timeframe,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1" style="position:absolute;z-index:251659264;mso-position-horizontal-relative:page;mso-position-vertical-relative:page" from="15.1pt,834pt" to="93.4pt,834pt" strokeweight=".25pt">
            <w10:wrap anchorx="page" anchory="page"/>
          </v:line>
        </w:pict>
      </w:r>
    </w:p>
    <w:p w:rsidR="00BB7441" w:rsidRDefault="00BB7441">
      <w:pPr>
        <w:sectPr w:rsidR="00BB7441">
          <w:pgSz w:w="11914" w:h="16848"/>
          <w:pgMar w:top="792" w:right="1732" w:bottom="44" w:left="302" w:header="720" w:footer="720" w:gutter="0"/>
          <w:cols w:space="720"/>
        </w:sectPr>
      </w:pPr>
    </w:p>
    <w:p w:rsidR="00BB7441" w:rsidRDefault="009F169D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30" type="#_x0000_t202" style="position:absolute;margin-left:53.75pt;margin-top:22pt;width:450pt;height:191.35pt;z-index:-251660288;mso-wrap-distance-left:0;mso-wrap-distance-right:0;mso-position-horizontal-relative:page;mso-position-vertical-relative:page" filled="f" stroked="f">
            <v:textbox inset="0,0,0,0">
              <w:txbxContent>
                <w:p w:rsidR="00BB7441" w:rsidRDefault="009F169D">
                  <w:pPr>
                    <w:spacing w:before="890" w:line="276" w:lineRule="exact"/>
                    <w:jc w:val="center"/>
                    <w:textAlignment w:val="baseline"/>
                    <w:rPr>
                      <w:rFonts w:eastAsia="Times New Roman"/>
                      <w:color w:val="000000"/>
                      <w:spacing w:val="55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55"/>
                      <w:sz w:val="24"/>
                    </w:rPr>
                    <w:t>-2</w:t>
                  </w:r>
                </w:p>
                <w:p w:rsidR="00BB7441" w:rsidRDefault="009F169D">
                  <w:pPr>
                    <w:spacing w:before="1049" w:after="292" w:line="263" w:lineRule="exact"/>
                    <w:ind w:left="432" w:right="72"/>
                    <w:textAlignment w:val="baseline"/>
                    <w:rPr>
                      <w:rFonts w:eastAsia="Times New Roman"/>
                      <w:color w:val="000000"/>
                      <w:spacing w:val="-6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6"/>
                      <w:sz w:val="24"/>
                    </w:rPr>
                    <w:t xml:space="preserve">As outlined in the application, the Department is committed to ongoing engagement. I also remain committed to consulting and involving people with disability, their families and </w:t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-6"/>
                      <w:sz w:val="24"/>
                    </w:rPr>
                    <w:t>carers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-6"/>
                      <w:sz w:val="24"/>
                    </w:rPr>
                    <w:t>, peak bodies and other stakeholders on the issues affecting ADEs and th</w:t>
                  </w:r>
                  <w:r>
                    <w:rPr>
                      <w:rFonts w:eastAsia="Times New Roman"/>
                      <w:color w:val="000000"/>
                      <w:spacing w:val="-6"/>
                      <w:sz w:val="24"/>
                    </w:rPr>
                    <w:t>eir employees. My intention is to conduct the next round of consultations once the Government has had the opportunity to develop a plan for long term resolution of these important matters.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53.75pt;margin-top:213.35pt;width:208.8pt;height:137.3pt;z-index:-251659264;mso-wrap-distance-left:0;mso-wrap-distance-right:0;mso-position-horizontal-relative:page;mso-position-vertical-relative:page" filled="f" stroked="f">
            <v:textbox inset="0,0,0,0">
              <w:txbxContent>
                <w:p w:rsidR="00BB7441" w:rsidRDefault="009F169D">
                  <w:pPr>
                    <w:textAlignment w:val="baseline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2651760" cy="1743710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1760" cy="1743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75.35pt;margin-top:213.35pt;width:66.25pt;height:9.35pt;z-index:-251658240;mso-wrap-distance-left:0;mso-wrap-distance-right:0;mso-position-horizontal-relative:page;mso-position-vertical-relative:page" stroked="f">
            <v:textbox inset="0,0,0,0">
              <w:txbxContent>
                <w:p w:rsidR="00BB7441" w:rsidRDefault="009F169D">
                  <w:pPr>
                    <w:spacing w:line="182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  <w:sz w:val="24"/>
                    </w:rPr>
                    <w:t xml:space="preserve">Yours </w:t>
                  </w:r>
                  <w:proofErr w:type="spellStart"/>
                  <w:r>
                    <w:rPr>
                      <w:rFonts w:eastAsia="Times New Roman"/>
                      <w:color w:val="000000"/>
                      <w:spacing w:val="-12"/>
                      <w:sz w:val="24"/>
                    </w:rPr>
                    <w:t>sincerel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line id="_x0000_s1027" style="position:absolute;z-index:251660288;mso-position-horizontal-relative:page;mso-position-vertical-relative:page" from="570pt,22.8pt" to="570pt,189.15pt" strokeweight=".5pt">
            <w10:wrap anchorx="page" anchory="page"/>
          </v:line>
        </w:pict>
      </w:r>
      <w:r>
        <w:pict>
          <v:line id="_x0000_s1026" style="position:absolute;z-index:251661312;mso-position-horizontal-relative:page;mso-position-vertical-relative:page" from="568.3pt,677.5pt" to="568.3pt,825.9pt" strokeweight=".7pt">
            <w10:wrap anchorx="page" anchory="page"/>
          </v:line>
        </w:pict>
      </w:r>
    </w:p>
    <w:sectPr w:rsidR="00BB7441">
      <w:pgSz w:w="11914" w:h="16848"/>
      <w:pgMar w:top="152" w:right="1839" w:bottom="134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B7441"/>
    <w:rsid w:val="009F169D"/>
    <w:rsid w:val="00B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Emery</dc:creator>
  <cp:lastModifiedBy>Lara Emery</cp:lastModifiedBy>
  <cp:revision>2</cp:revision>
  <dcterms:created xsi:type="dcterms:W3CDTF">2013-12-03T05:05:00Z</dcterms:created>
  <dcterms:modified xsi:type="dcterms:W3CDTF">2013-12-03T05:05:00Z</dcterms:modified>
</cp:coreProperties>
</file>