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  <w:sz w:val="32"/>
        </w:rPr>
      </w:pPr>
      <w:r w:rsidRPr="005208CD">
        <w:rPr>
          <w:rFonts w:cs="Arial"/>
          <w:b/>
          <w:color w:val="000000"/>
          <w:sz w:val="32"/>
        </w:rPr>
        <w:t>Violence</w:t>
      </w:r>
    </w:p>
    <w:p w:rsidR="005208CD" w:rsidRP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  <w:sz w:val="32"/>
        </w:rPr>
      </w:pPr>
    </w:p>
    <w:p w:rsidR="005208CD" w:rsidRP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5208CD">
        <w:rPr>
          <w:rFonts w:cs="Arial"/>
          <w:b/>
          <w:color w:val="000000"/>
        </w:rPr>
        <w:t xml:space="preserve">People with disability do not enjoy </w:t>
      </w:r>
      <w:r w:rsidRPr="005208CD">
        <w:rPr>
          <w:rFonts w:cs="Arial"/>
          <w:b/>
          <w:color w:val="000000"/>
        </w:rPr>
        <w:t xml:space="preserve">their right to be safe and free </w:t>
      </w:r>
      <w:r w:rsidRPr="005208CD">
        <w:rPr>
          <w:rFonts w:cs="Arial"/>
          <w:b/>
          <w:color w:val="000000"/>
        </w:rPr>
        <w:t>from violence and are at high risk of experiencing violence, abuse and neglect: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Lack of access to information about rights, complaints processes and</w:t>
      </w:r>
      <w:r w:rsidRPr="005208CD">
        <w:rPr>
          <w:rFonts w:cs="Arial"/>
          <w:color w:val="000000"/>
        </w:rPr>
        <w:t xml:space="preserve"> effective independent advocacy </w:t>
      </w:r>
      <w:r w:rsidRPr="005208CD">
        <w:rPr>
          <w:rFonts w:cs="Arial"/>
          <w:color w:val="000000"/>
        </w:rPr>
        <w:t>prevents people with disability from recognising when their rights are not being upheld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Violence against people with disability is often difficult to detect, investigate and prosecute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Women with disability experience significantly higher levels of all forms of violence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People with disability are subject to many other fo</w:t>
      </w:r>
      <w:r w:rsidRPr="005208CD">
        <w:rPr>
          <w:rFonts w:cs="Arial"/>
          <w:color w:val="000000"/>
        </w:rPr>
        <w:t xml:space="preserve">rms of violence that others may not experience, </w:t>
      </w:r>
      <w:r w:rsidRPr="005208CD">
        <w:rPr>
          <w:rFonts w:cs="Arial"/>
          <w:color w:val="000000"/>
        </w:rPr>
        <w:t>including forced sterilisation, violence in institutions, sexual and reproductive</w:t>
      </w:r>
      <w:r w:rsidRPr="005208CD">
        <w:rPr>
          <w:rFonts w:cs="Arial"/>
          <w:color w:val="000000"/>
        </w:rPr>
        <w:t xml:space="preserve"> rights violations, restrictive </w:t>
      </w:r>
      <w:r w:rsidRPr="005208CD">
        <w:rPr>
          <w:rFonts w:cs="Arial"/>
          <w:color w:val="000000"/>
        </w:rPr>
        <w:t>practices, seclusion and restraint and deprivation of liberty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Quality and safeguarding mechanisms for the NDIS only provide pro</w:t>
      </w:r>
      <w:r w:rsidRPr="005208CD">
        <w:rPr>
          <w:rFonts w:cs="Arial"/>
          <w:color w:val="000000"/>
        </w:rPr>
        <w:t xml:space="preserve">tection for NDIS participants – </w:t>
      </w:r>
      <w:r w:rsidRPr="005208CD">
        <w:rPr>
          <w:rFonts w:cs="Arial"/>
          <w:color w:val="000000"/>
        </w:rPr>
        <w:t>projected to be around 10% of the disability population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Complaints processes are often inaccessible and ineffective</w:t>
      </w:r>
    </w:p>
    <w:p w:rsidR="005208CD" w:rsidRPr="005208CD" w:rsidRDefault="005208CD" w:rsidP="005208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Mainstream domestic violence services for wome</w:t>
      </w:r>
      <w:r w:rsidRPr="005208CD">
        <w:rPr>
          <w:rFonts w:cs="Arial"/>
          <w:color w:val="000000"/>
        </w:rPr>
        <w:t xml:space="preserve">n are currently not equipped to meet the needs of </w:t>
      </w:r>
      <w:r w:rsidRPr="005208CD">
        <w:rPr>
          <w:rFonts w:cs="Arial"/>
          <w:color w:val="000000"/>
        </w:rPr>
        <w:t>women with disability</w:t>
      </w:r>
    </w:p>
    <w:p w:rsidR="005208CD" w:rsidRP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color w:val="FFFFFF"/>
        </w:rPr>
      </w:pPr>
      <w:r w:rsidRPr="005208CD">
        <w:rPr>
          <w:rFonts w:cs="Arial"/>
          <w:color w:val="FFFFFF"/>
        </w:rPr>
        <w:t>www.humanrights.gov.au</w:t>
      </w:r>
    </w:p>
    <w:p w:rsidR="005208CD" w:rsidRP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5208CD">
        <w:rPr>
          <w:rFonts w:cs="Arial"/>
          <w:b/>
          <w:color w:val="000000"/>
        </w:rPr>
        <w:t>Things that work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Peer-led programs that allow people with disability to talk about abuse, their right to safety and avenues</w:t>
      </w:r>
      <w:r>
        <w:rPr>
          <w:rFonts w:cs="Arial"/>
          <w:color w:val="000000"/>
        </w:rPr>
        <w:t xml:space="preserve"> </w:t>
      </w:r>
      <w:r w:rsidRPr="005208CD">
        <w:rPr>
          <w:rFonts w:cs="Arial"/>
          <w:color w:val="000000"/>
        </w:rPr>
        <w:t>for reporting and talking about their experiences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Accessible and responsive counselling services that are tailored to individual needs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Witness intermediary schemes that assist people with disability to give evidence about their experiences</w:t>
      </w:r>
      <w:r>
        <w:rPr>
          <w:rFonts w:cs="Arial"/>
          <w:color w:val="000000"/>
        </w:rPr>
        <w:t xml:space="preserve"> </w:t>
      </w:r>
      <w:r w:rsidRPr="005208CD">
        <w:rPr>
          <w:rFonts w:cs="Arial"/>
          <w:color w:val="000000"/>
        </w:rPr>
        <w:t>of violence, abuse and neglect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Independent advocacy support and programs to build self-advocacy skills</w:t>
      </w:r>
    </w:p>
    <w:p w:rsid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5208CD" w:rsidRP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5208CD">
        <w:rPr>
          <w:rFonts w:cs="Arial"/>
          <w:b/>
          <w:color w:val="000000"/>
        </w:rPr>
        <w:t>We will know that the people with disability are enjoying their right to be safe</w:t>
      </w:r>
      <w:r>
        <w:rPr>
          <w:rFonts w:cs="Arial"/>
          <w:b/>
          <w:color w:val="000000"/>
        </w:rPr>
        <w:t xml:space="preserve"> and free </w:t>
      </w:r>
      <w:bookmarkStart w:id="0" w:name="_GoBack"/>
      <w:bookmarkEnd w:id="0"/>
      <w:r w:rsidRPr="005208CD">
        <w:rPr>
          <w:rFonts w:cs="Arial"/>
          <w:b/>
          <w:color w:val="000000"/>
        </w:rPr>
        <w:t>from violence when: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People with disability can access appropriate, high quality services if they are unsafe or at risk of violence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Police, legal professionals, judges, court staff and all involved in the criminal justice system have the</w:t>
      </w:r>
      <w:r>
        <w:rPr>
          <w:rFonts w:cs="Arial"/>
          <w:color w:val="000000"/>
        </w:rPr>
        <w:t xml:space="preserve"> </w:t>
      </w:r>
      <w:r w:rsidRPr="005208CD">
        <w:rPr>
          <w:rFonts w:cs="Arial"/>
          <w:color w:val="000000"/>
        </w:rPr>
        <w:t>training, skills and knowledge to respond to experiences of violence and abuse by people with disability,</w:t>
      </w:r>
      <w:r>
        <w:rPr>
          <w:rFonts w:cs="Arial"/>
          <w:color w:val="000000"/>
        </w:rPr>
        <w:t xml:space="preserve"> </w:t>
      </w:r>
      <w:r w:rsidRPr="005208CD">
        <w:rPr>
          <w:rFonts w:cs="Arial"/>
          <w:color w:val="000000"/>
        </w:rPr>
        <w:t>including gender-based violence</w:t>
      </w:r>
    </w:p>
    <w:p w:rsidR="005208CD" w:rsidRPr="005208CD" w:rsidRDefault="005208CD" w:rsidP="005208C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Policy and practice of mainstream violence services are responsive to the unique needs of people with</w:t>
      </w:r>
      <w:r>
        <w:rPr>
          <w:rFonts w:cs="Arial"/>
          <w:color w:val="000000"/>
        </w:rPr>
        <w:t xml:space="preserve"> </w:t>
      </w:r>
      <w:r w:rsidRPr="005208CD">
        <w:rPr>
          <w:rFonts w:cs="Arial"/>
          <w:color w:val="000000"/>
        </w:rPr>
        <w:t>disability</w:t>
      </w:r>
    </w:p>
    <w:p w:rsid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8A2AF7" w:rsidRPr="005208CD" w:rsidRDefault="005208CD" w:rsidP="005208CD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5208CD">
        <w:rPr>
          <w:rFonts w:cs="Arial"/>
          <w:color w:val="000000"/>
        </w:rPr>
        <w:t>National policy and practice supports all people with disab</w:t>
      </w:r>
      <w:r>
        <w:rPr>
          <w:rFonts w:cs="Arial"/>
          <w:color w:val="000000"/>
        </w:rPr>
        <w:t xml:space="preserve">ility, regardless of their age, </w:t>
      </w:r>
      <w:r w:rsidRPr="005208CD">
        <w:rPr>
          <w:rFonts w:cs="Arial"/>
          <w:color w:val="000000"/>
        </w:rPr>
        <w:t xml:space="preserve">gender, cultural, Indigenous and/or linguistic background </w:t>
      </w:r>
      <w:r>
        <w:rPr>
          <w:rFonts w:cs="Arial"/>
          <w:color w:val="000000"/>
        </w:rPr>
        <w:t xml:space="preserve">to be free from violence, abuse </w:t>
      </w:r>
      <w:r w:rsidRPr="005208CD">
        <w:rPr>
          <w:rFonts w:cs="Arial"/>
          <w:color w:val="000000"/>
        </w:rPr>
        <w:t>and neglect, advocate for their rights and access justice when rights have not been upheld.</w:t>
      </w:r>
    </w:p>
    <w:sectPr w:rsidR="008A2AF7" w:rsidRPr="005208CD" w:rsidSect="00CE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5208CD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5F0A8E" w:rsidRPr="008D1634" w:rsidTr="00C9241D">
      <w:trPr>
        <w:trHeight w:val="1603"/>
      </w:trPr>
      <w:tc>
        <w:tcPr>
          <w:tcW w:w="4077" w:type="dxa"/>
        </w:tcPr>
        <w:p w:rsidR="005F0A8E" w:rsidRPr="008D1634" w:rsidRDefault="005F0A8E" w:rsidP="005F0A8E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43B53727" wp14:editId="1A11AFEF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5F0A8E" w:rsidRPr="008D1634" w:rsidRDefault="005F0A8E" w:rsidP="005F0A8E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5F0A8E" w:rsidRPr="008D1634" w:rsidRDefault="005F0A8E" w:rsidP="005F0A8E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5F0A8E" w:rsidRDefault="005F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93F30"/>
    <w:multiLevelType w:val="hybridMultilevel"/>
    <w:tmpl w:val="AA8E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BA1EDE"/>
    <w:multiLevelType w:val="hybridMultilevel"/>
    <w:tmpl w:val="E43E9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164BD"/>
    <w:multiLevelType w:val="hybridMultilevel"/>
    <w:tmpl w:val="94062BEA"/>
    <w:lvl w:ilvl="0" w:tplc="806AEF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F18C1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E4A4464"/>
    <w:multiLevelType w:val="hybridMultilevel"/>
    <w:tmpl w:val="8E946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F24FC"/>
    <w:multiLevelType w:val="hybridMultilevel"/>
    <w:tmpl w:val="29027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20"/>
  </w:num>
  <w:num w:numId="13">
    <w:abstractNumId w:val="15"/>
  </w:num>
  <w:num w:numId="14">
    <w:abstractNumId w:val="23"/>
  </w:num>
  <w:num w:numId="15">
    <w:abstractNumId w:val="16"/>
  </w:num>
  <w:num w:numId="16">
    <w:abstractNumId w:val="10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11"/>
  </w:num>
  <w:num w:numId="29">
    <w:abstractNumId w:val="25"/>
  </w:num>
  <w:num w:numId="30">
    <w:abstractNumId w:val="27"/>
  </w:num>
  <w:num w:numId="31">
    <w:abstractNumId w:val="14"/>
  </w:num>
  <w:num w:numId="3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E7BAC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01E7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08CD"/>
    <w:rsid w:val="00522CED"/>
    <w:rsid w:val="00554C04"/>
    <w:rsid w:val="0059502A"/>
    <w:rsid w:val="005B7515"/>
    <w:rsid w:val="005C1654"/>
    <w:rsid w:val="005D04F4"/>
    <w:rsid w:val="005D1F34"/>
    <w:rsid w:val="005F0A8E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C15B4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503B27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5F0A8E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52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3</cp:revision>
  <dcterms:created xsi:type="dcterms:W3CDTF">2017-04-04T00:46:00Z</dcterms:created>
  <dcterms:modified xsi:type="dcterms:W3CDTF">2017-04-04T01:19:00Z</dcterms:modified>
</cp:coreProperties>
</file>