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4F2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530"/>
      </w:tblGrid>
      <w:tr w:rsidR="00124C12" w:rsidTr="00124C12">
        <w:trPr>
          <w:tblCellSpacing w:w="0" w:type="dxa"/>
        </w:trPr>
        <w:tc>
          <w:tcPr>
            <w:tcW w:w="0" w:type="auto"/>
            <w:shd w:val="clear" w:color="auto" w:fill="E4F2F9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Unit 306, 2 Elliot Street,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Ashwood.  3147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October 2013 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Legal Section,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Australian Human Rights Commission,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GPO Box 5218,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Sydney. NSW  2001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Dear Sir /Madam,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I am Ian Vlasveld, a 34 year old Disability Pensioner who has been employed at Oakleigh Centre Industries since August 2012.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I was assessed using the BSWAT in November last year.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Since then I have gained more confidence and ability in doing many other jobs and accepted more responsibility in the workplace.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I request that the Australian Human Rights Commission allows the continuation of the BSWAT assessment for a limited time of three years while another way of assessment is investigated. If so, this will mean that I can be re-assessed soon and my hourly rate can be adjusted to acknowledge my improvement in my work since the first assessment. If not, I will be disadvantaged by being paid at the lower level than my improved ability for however long to find a new way of assessment.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Thank you for reading this.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Arial" w:hAnsi="Arial" w:cs="Arial"/>
                <w:color w:val="1A577B"/>
              </w:rPr>
              <w:t> 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Sincerely,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Ian D. Vlasveld</w:t>
            </w:r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</w:rPr>
                <w:t>ivlasveld@bigpond.com</w:t>
              </w:r>
            </w:hyperlink>
          </w:p>
          <w:p w:rsidR="00124C12" w:rsidRDefault="00124C12">
            <w:pPr>
              <w:pStyle w:val="NoSpacing"/>
              <w:spacing w:before="0" w:beforeAutospacing="0" w:after="0" w:afterAutospacing="0"/>
              <w:rPr>
                <w:rFonts w:ascii="Arial" w:hAnsi="Arial" w:cs="Arial"/>
                <w:color w:val="1A577B"/>
              </w:rPr>
            </w:pPr>
            <w:r>
              <w:rPr>
                <w:rFonts w:ascii="Calibri" w:hAnsi="Calibri" w:cs="Calibri"/>
                <w:color w:val="000000"/>
              </w:rPr>
              <w:t>0412 676 118</w:t>
            </w:r>
          </w:p>
        </w:tc>
        <w:tc>
          <w:tcPr>
            <w:tcW w:w="15" w:type="dxa"/>
            <w:shd w:val="clear" w:color="auto" w:fill="E4F2F9"/>
            <w:vAlign w:val="bottom"/>
            <w:hideMark/>
          </w:tcPr>
          <w:p w:rsidR="00124C12" w:rsidRDefault="00124C1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71550" cy="3086100"/>
                  <wp:effectExtent l="0" t="0" r="0" b="0"/>
                  <wp:docPr id="2" name="Picture 2" descr="cid:0168987B-1D2C-441A-BC34-F5B6276F27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0168987B-1D2C-441A-BC34-F5B6276F27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C12" w:rsidRDefault="00124C12" w:rsidP="00124C12">
      <w:pPr>
        <w:rPr>
          <w:rFonts w:eastAsia="Times New Roman"/>
        </w:rPr>
      </w:pPr>
    </w:p>
    <w:p w:rsidR="008A2AF7" w:rsidRPr="00124C12" w:rsidRDefault="008A2AF7" w:rsidP="00124C12">
      <w:bookmarkStart w:id="0" w:name="_GoBack"/>
      <w:bookmarkEnd w:id="0"/>
    </w:p>
    <w:sectPr w:rsidR="008A2AF7" w:rsidRPr="00124C12" w:rsidSect="00CE7182">
      <w:footerReference w:type="default" r:id="rId11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7A" w:rsidRDefault="00814E7A" w:rsidP="00F14C6D">
      <w:r>
        <w:separator/>
      </w:r>
    </w:p>
  </w:endnote>
  <w:endnote w:type="continuationSeparator" w:id="0">
    <w:p w:rsidR="00814E7A" w:rsidRDefault="00814E7A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124C12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7A" w:rsidRDefault="00814E7A" w:rsidP="00F14C6D">
      <w:r>
        <w:separator/>
      </w:r>
    </w:p>
  </w:footnote>
  <w:footnote w:type="continuationSeparator" w:id="0">
    <w:p w:rsidR="00814E7A" w:rsidRDefault="00814E7A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7A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24C12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60A05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D2B65"/>
    <w:rsid w:val="004F53EF"/>
    <w:rsid w:val="00503E04"/>
    <w:rsid w:val="00504B28"/>
    <w:rsid w:val="00513540"/>
    <w:rsid w:val="00522CED"/>
    <w:rsid w:val="005320D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7E70EC"/>
    <w:rsid w:val="00810ABF"/>
    <w:rsid w:val="008125EE"/>
    <w:rsid w:val="00814E7A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4E7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260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A05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24C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4E7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uiPriority w:val="22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260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A05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24C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lasveld@bigpon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0168987B-1D2C-441A-BC34-F5B6276F27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2013-11-28T23:22:00Z</cp:lastPrinted>
  <dcterms:created xsi:type="dcterms:W3CDTF">2013-11-28T23:25:00Z</dcterms:created>
  <dcterms:modified xsi:type="dcterms:W3CDTF">2013-11-28T23:25:00Z</dcterms:modified>
</cp:coreProperties>
</file>