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6E75D" w14:textId="77777777" w:rsidR="00AB732E" w:rsidRPr="00AB732E" w:rsidRDefault="00AB732E" w:rsidP="004B4484">
      <w:pPr>
        <w:tabs>
          <w:tab w:val="left" w:pos="3014"/>
        </w:tabs>
        <w:spacing w:before="0" w:after="0"/>
        <w:rPr>
          <w:rFonts w:cs="Arial"/>
          <w:b/>
          <w:color w:val="0070C0"/>
          <w:sz w:val="32"/>
          <w:szCs w:val="32"/>
        </w:rPr>
      </w:pPr>
      <w:r w:rsidRPr="00AB732E">
        <w:rPr>
          <w:rFonts w:cs="Arial"/>
          <w:noProof/>
        </w:rPr>
        <mc:AlternateContent>
          <mc:Choice Requires="wps">
            <w:drawing>
              <wp:anchor distT="0" distB="0" distL="114300" distR="114300" simplePos="0" relativeHeight="251656704" behindDoc="0" locked="0" layoutInCell="1" allowOverlap="1" wp14:anchorId="5175D2A8" wp14:editId="5CC235BE">
                <wp:simplePos x="0" y="0"/>
                <wp:positionH relativeFrom="column">
                  <wp:posOffset>1414145</wp:posOffset>
                </wp:positionH>
                <wp:positionV relativeFrom="paragraph">
                  <wp:posOffset>5715</wp:posOffset>
                </wp:positionV>
                <wp:extent cx="4354195" cy="19526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54195" cy="1952625"/>
                        </a:xfrm>
                        <a:prstGeom prst="rect">
                          <a:avLst/>
                        </a:prstGeom>
                        <a:noFill/>
                        <a:ln w="6350">
                          <a:noFill/>
                        </a:ln>
                        <a:effectLst/>
                      </wps:spPr>
                      <wps:txbx>
                        <w:txbxContent>
                          <w:p w14:paraId="33EE18BA" w14:textId="02AA0E34" w:rsidR="00D22756" w:rsidRPr="000D298E" w:rsidRDefault="00126534" w:rsidP="00D22756">
                            <w:pPr>
                              <w:pStyle w:val="MainTitle"/>
                              <w:rPr>
                                <w:b/>
                              </w:rPr>
                            </w:pPr>
                            <w:r w:rsidRPr="00C3346E">
                              <w:rPr>
                                <w:b/>
                              </w:rPr>
                              <w:t>T</w:t>
                            </w:r>
                            <w:r w:rsidR="00D22756">
                              <w:rPr>
                                <w:b/>
                              </w:rPr>
                              <w:t>argeted recruitment of Aboriginal and Torres Strait Islander people</w:t>
                            </w:r>
                          </w:p>
                          <w:p w14:paraId="7F7B969E" w14:textId="159577B3" w:rsidR="000D298E" w:rsidRPr="000D298E" w:rsidRDefault="000D298E" w:rsidP="00677072">
                            <w:pPr>
                              <w:pStyle w:val="MainTitle"/>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5D2A8" id="_x0000_t202" coordsize="21600,21600" o:spt="202" path="m,l,21600r21600,l21600,xe">
                <v:stroke joinstyle="miter"/>
                <v:path gradientshapeok="t" o:connecttype="rect"/>
              </v:shapetype>
              <v:shape id="Text Box 1" o:spid="_x0000_s1026" type="#_x0000_t202" style="position:absolute;margin-left:111.35pt;margin-top:.45pt;width:342.85pt;height:15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" filled="f" stroked="f" strokeweight=".5pt">
                <v:path arrowok="t"/>
                <v:textbox>
                  <w:txbxContent>
                    <w:p w14:paraId="33EE18BA" w14:textId="02AA0E34" w:rsidR="00D22756" w:rsidRPr="000D298E" w:rsidRDefault="00126534" w:rsidP="00D22756">
                      <w:pPr>
                        <w:pStyle w:val="MainTitle"/>
                        <w:rPr>
                          <w:b/>
                        </w:rPr>
                      </w:pPr>
                      <w:r w:rsidRPr="00C3346E">
                        <w:rPr>
                          <w:b/>
                        </w:rPr>
                        <w:t>T</w:t>
                      </w:r>
                      <w:r w:rsidR="00D22756">
                        <w:rPr>
                          <w:b/>
                        </w:rPr>
                        <w:t>argeted recruitment of Aboriginal and Torres Strait Islander people</w:t>
                      </w:r>
                    </w:p>
                    <w:p w14:paraId="7F7B969E" w14:textId="159577B3" w:rsidR="000D298E" w:rsidRPr="000D298E" w:rsidRDefault="000D298E" w:rsidP="00677072">
                      <w:pPr>
                        <w:pStyle w:val="MainTitle"/>
                        <w:rPr>
                          <w:b/>
                        </w:rPr>
                      </w:pPr>
                    </w:p>
                  </w:txbxContent>
                </v:textbox>
              </v:shape>
            </w:pict>
          </mc:Fallback>
        </mc:AlternateContent>
      </w:r>
    </w:p>
    <w:p w14:paraId="13E6AFFB" w14:textId="77777777" w:rsidR="00AB732E" w:rsidRPr="00AB732E" w:rsidRDefault="00AB732E" w:rsidP="004B4484">
      <w:pPr>
        <w:tabs>
          <w:tab w:val="left" w:pos="3014"/>
        </w:tabs>
        <w:spacing w:before="0" w:after="0"/>
        <w:rPr>
          <w:rFonts w:cs="Arial"/>
          <w:b/>
          <w:color w:val="0070C0"/>
          <w:sz w:val="32"/>
          <w:szCs w:val="32"/>
        </w:rPr>
      </w:pPr>
    </w:p>
    <w:p w14:paraId="13F9F7D1" w14:textId="77777777" w:rsidR="00AB732E" w:rsidRPr="00AB732E" w:rsidRDefault="00AB732E" w:rsidP="004B4484">
      <w:pPr>
        <w:tabs>
          <w:tab w:val="left" w:pos="3014"/>
        </w:tabs>
        <w:spacing w:before="0" w:after="0"/>
        <w:rPr>
          <w:rFonts w:cs="Arial"/>
          <w:b/>
          <w:color w:val="0070C0"/>
          <w:sz w:val="32"/>
          <w:szCs w:val="32"/>
        </w:rPr>
      </w:pPr>
    </w:p>
    <w:p w14:paraId="77A4D946" w14:textId="77777777" w:rsidR="00AB732E" w:rsidRPr="00AB732E" w:rsidRDefault="00AB732E" w:rsidP="004B4484">
      <w:pPr>
        <w:tabs>
          <w:tab w:val="left" w:pos="3014"/>
        </w:tabs>
        <w:spacing w:before="0" w:after="0"/>
        <w:rPr>
          <w:rFonts w:cs="Arial"/>
          <w:b/>
          <w:color w:val="0070C0"/>
          <w:sz w:val="32"/>
          <w:szCs w:val="32"/>
        </w:rPr>
      </w:pPr>
    </w:p>
    <w:p w14:paraId="0A305628" w14:textId="77777777" w:rsidR="00D4303A" w:rsidRDefault="00D4303A" w:rsidP="00F548AF">
      <w:pPr>
        <w:tabs>
          <w:tab w:val="left" w:pos="3014"/>
        </w:tabs>
        <w:spacing w:before="0" w:after="0"/>
        <w:rPr>
          <w:rFonts w:cs="Arial"/>
          <w:b/>
          <w:color w:val="0070C0"/>
          <w:sz w:val="32"/>
          <w:szCs w:val="32"/>
        </w:rPr>
      </w:pPr>
      <w:bookmarkStart w:id="0" w:name="_Toc209316062"/>
      <w:bookmarkEnd w:id="0"/>
    </w:p>
    <w:p w14:paraId="7B65FC97" w14:textId="77777777" w:rsidR="00D4303A" w:rsidRDefault="00D4303A" w:rsidP="00F548AF">
      <w:pPr>
        <w:tabs>
          <w:tab w:val="left" w:pos="3014"/>
        </w:tabs>
        <w:spacing w:before="0" w:after="0"/>
        <w:rPr>
          <w:rFonts w:cs="Arial"/>
          <w:b/>
          <w:color w:val="0070C0"/>
          <w:sz w:val="32"/>
          <w:szCs w:val="32"/>
        </w:rPr>
      </w:pPr>
    </w:p>
    <w:p w14:paraId="129838AD" w14:textId="77777777" w:rsidR="00D4303A" w:rsidRDefault="00D4303A" w:rsidP="00F548AF">
      <w:pPr>
        <w:tabs>
          <w:tab w:val="left" w:pos="3014"/>
        </w:tabs>
        <w:spacing w:before="0" w:after="0"/>
        <w:rPr>
          <w:rFonts w:cs="Arial"/>
          <w:b/>
          <w:color w:val="0070C0"/>
          <w:sz w:val="32"/>
          <w:szCs w:val="32"/>
        </w:rPr>
      </w:pPr>
    </w:p>
    <w:p w14:paraId="74C2F639" w14:textId="77777777" w:rsidR="0004753B" w:rsidRDefault="0004753B" w:rsidP="000E030A">
      <w:pPr>
        <w:rPr>
          <w:lang w:val="en"/>
        </w:rPr>
      </w:pPr>
    </w:p>
    <w:p w14:paraId="1724C138" w14:textId="77777777" w:rsidR="009A61F9" w:rsidRPr="009A61F9" w:rsidRDefault="009A61F9" w:rsidP="009A61F9">
      <w:pPr>
        <w:ind w:right="-569"/>
        <w:rPr>
          <w:lang w:val="en"/>
        </w:rPr>
      </w:pPr>
      <w:r w:rsidRPr="009A61F9">
        <w:rPr>
          <w:lang w:val="en"/>
        </w:rPr>
        <w:t xml:space="preserve">Despite efforts to ‘close the gap’ in Indigenous disadvantage, the disparity between employment of Aboriginal and Torres Strait Islander people and non-Indigenous Australians has increased in recent years. </w:t>
      </w:r>
    </w:p>
    <w:p w14:paraId="78154946" w14:textId="3DA9F0F1" w:rsidR="009A61F9" w:rsidRPr="009A61F9" w:rsidRDefault="009A61F9" w:rsidP="009A61F9">
      <w:pPr>
        <w:ind w:right="-569"/>
        <w:rPr>
          <w:lang w:val="en"/>
        </w:rPr>
      </w:pPr>
      <w:r w:rsidRPr="009A61F9">
        <w:rPr>
          <w:lang w:val="en"/>
        </w:rPr>
        <w:t xml:space="preserve">According to the most recent </w:t>
      </w:r>
      <w:r w:rsidRPr="009A61F9">
        <w:rPr>
          <w:i/>
          <w:lang w:val="en"/>
        </w:rPr>
        <w:t>Closing the Gap</w:t>
      </w:r>
      <w:r w:rsidRPr="009A61F9">
        <w:rPr>
          <w:lang w:val="en"/>
        </w:rPr>
        <w:t xml:space="preserve"> report less than half of Aboriginal and Torres Strait Islander people are employed, compared to over three quarters of non-Indigenous Australians.</w:t>
      </w:r>
      <w:r w:rsidRPr="009A61F9">
        <w:rPr>
          <w:vertAlign w:val="superscript"/>
          <w:lang w:val="en"/>
        </w:rPr>
        <w:endnoteReference w:id="1"/>
      </w:r>
      <w:r w:rsidRPr="009A61F9">
        <w:rPr>
          <w:lang w:val="en"/>
        </w:rPr>
        <w:t xml:space="preserve"> </w:t>
      </w:r>
    </w:p>
    <w:p w14:paraId="7F1535A3" w14:textId="48A1CCE2" w:rsidR="00AA394C" w:rsidRDefault="00B93A5E" w:rsidP="000E030A">
      <w:pPr>
        <w:rPr>
          <w:lang w:val="en"/>
        </w:rPr>
      </w:pPr>
      <w:r>
        <w:t xml:space="preserve">Increasingly, employers are seeking to create employment opportunities for Aboriginal and Torres Strait Islander people </w:t>
      </w:r>
      <w:r w:rsidRPr="00194FD9">
        <w:t xml:space="preserve">through </w:t>
      </w:r>
      <w:r w:rsidRPr="00194FD9">
        <w:rPr>
          <w:b/>
        </w:rPr>
        <w:t xml:space="preserve">targeted recruitment strategies.  </w:t>
      </w:r>
    </w:p>
    <w:p w14:paraId="15DDE70B" w14:textId="3D59F14A" w:rsidR="00C474DF" w:rsidRPr="00C474DF" w:rsidRDefault="00C474DF" w:rsidP="00C474DF">
      <w:pPr>
        <w:pStyle w:val="SubmissionNormal"/>
        <w:numPr>
          <w:ilvl w:val="0"/>
          <w:numId w:val="0"/>
        </w:numPr>
        <w:spacing w:after="120"/>
        <w:ind w:right="113"/>
        <w:rPr>
          <w:rFonts w:cs="Arial"/>
          <w:color w:val="000000" w:themeColor="text1"/>
          <w:lang w:val="en"/>
        </w:rPr>
      </w:pPr>
      <w:r>
        <w:rPr>
          <w:rFonts w:cs="Arial"/>
          <w:color w:val="000000" w:themeColor="text1"/>
          <w:lang w:val="en"/>
        </w:rPr>
        <w:t>Targeted recruitment strategies</w:t>
      </w:r>
      <w:r w:rsidRPr="00C474DF">
        <w:rPr>
          <w:rFonts w:cs="Arial"/>
          <w:color w:val="000000" w:themeColor="text1"/>
          <w:lang w:val="en"/>
        </w:rPr>
        <w:t xml:space="preserve"> for Aboriginal and Torres Strait Islander people may include:</w:t>
      </w:r>
    </w:p>
    <w:p w14:paraId="7CF5424C" w14:textId="77777777" w:rsidR="00C474DF" w:rsidRPr="00C474DF" w:rsidRDefault="00C474DF" w:rsidP="00DA1DA1">
      <w:pPr>
        <w:pStyle w:val="SubmissionNormal"/>
        <w:numPr>
          <w:ilvl w:val="0"/>
          <w:numId w:val="16"/>
        </w:numPr>
        <w:spacing w:before="120" w:after="120"/>
        <w:ind w:left="426" w:right="113" w:hanging="284"/>
        <w:rPr>
          <w:rFonts w:cs="Arial"/>
          <w:color w:val="000000" w:themeColor="text1"/>
          <w:lang w:val="en"/>
        </w:rPr>
      </w:pPr>
      <w:r w:rsidRPr="00C474DF">
        <w:rPr>
          <w:rFonts w:cs="Arial"/>
          <w:color w:val="000000" w:themeColor="text1"/>
          <w:lang w:val="en"/>
        </w:rPr>
        <w:t>reserving certain positions for Aboriginal and Torres Strait Islander applicants</w:t>
      </w:r>
    </w:p>
    <w:p w14:paraId="67FD4B61" w14:textId="77777777" w:rsidR="00C474DF" w:rsidRPr="00C474DF" w:rsidRDefault="00C474DF" w:rsidP="00DA1DA1">
      <w:pPr>
        <w:pStyle w:val="SubmissionNormal"/>
        <w:numPr>
          <w:ilvl w:val="0"/>
          <w:numId w:val="16"/>
        </w:numPr>
        <w:spacing w:before="120" w:after="120"/>
        <w:ind w:left="426" w:right="113" w:hanging="284"/>
        <w:rPr>
          <w:rFonts w:cs="Arial"/>
          <w:color w:val="000000" w:themeColor="text1"/>
          <w:lang w:val="en"/>
        </w:rPr>
      </w:pPr>
      <w:r w:rsidRPr="00C474DF">
        <w:rPr>
          <w:rFonts w:cs="Arial"/>
          <w:color w:val="000000" w:themeColor="text1"/>
          <w:lang w:val="en"/>
        </w:rPr>
        <w:t>guaranteed interview schemes</w:t>
      </w:r>
    </w:p>
    <w:p w14:paraId="7B41A61F" w14:textId="77777777" w:rsidR="00C474DF" w:rsidRPr="00C474DF" w:rsidRDefault="00C474DF" w:rsidP="00DA1DA1">
      <w:pPr>
        <w:pStyle w:val="SubmissionNormal"/>
        <w:numPr>
          <w:ilvl w:val="0"/>
          <w:numId w:val="16"/>
        </w:numPr>
        <w:spacing w:before="120" w:after="120"/>
        <w:ind w:left="426" w:right="113" w:hanging="284"/>
        <w:rPr>
          <w:rFonts w:cs="Arial"/>
          <w:color w:val="000000" w:themeColor="text1"/>
          <w:lang w:val="en"/>
        </w:rPr>
      </w:pPr>
      <w:r w:rsidRPr="00C474DF">
        <w:rPr>
          <w:rFonts w:cs="Arial"/>
          <w:color w:val="000000" w:themeColor="text1"/>
          <w:lang w:val="en"/>
        </w:rPr>
        <w:t>work placements, traineeships or mentoring programs</w:t>
      </w:r>
    </w:p>
    <w:p w14:paraId="43672C20" w14:textId="3A85C9EB" w:rsidR="005851DF" w:rsidRPr="00C474DF" w:rsidRDefault="00C474DF" w:rsidP="00DA1DA1">
      <w:pPr>
        <w:pStyle w:val="ListParagraph"/>
        <w:numPr>
          <w:ilvl w:val="0"/>
          <w:numId w:val="16"/>
        </w:numPr>
        <w:ind w:left="426" w:right="113" w:hanging="284"/>
        <w:rPr>
          <w:rFonts w:ascii="Arial" w:eastAsia="Calibri" w:hAnsi="Arial" w:cs="Arial"/>
          <w:color w:val="000000" w:themeColor="text1"/>
          <w:sz w:val="24"/>
          <w:szCs w:val="24"/>
        </w:rPr>
      </w:pPr>
      <w:proofErr w:type="gramStart"/>
      <w:r w:rsidRPr="00C474DF">
        <w:rPr>
          <w:rFonts w:ascii="Arial" w:hAnsi="Arial" w:cs="Arial"/>
          <w:color w:val="000000" w:themeColor="text1"/>
          <w:sz w:val="24"/>
          <w:szCs w:val="24"/>
        </w:rPr>
        <w:t>engaging</w:t>
      </w:r>
      <w:proofErr w:type="gramEnd"/>
      <w:r w:rsidRPr="00C474DF">
        <w:rPr>
          <w:rFonts w:ascii="Arial" w:hAnsi="Arial" w:cs="Arial"/>
          <w:color w:val="000000" w:themeColor="text1"/>
          <w:sz w:val="24"/>
          <w:szCs w:val="24"/>
        </w:rPr>
        <w:t xml:space="preserve"> an Indigenous Recruitment Service to hire trainees, graduates and fill other roles.</w:t>
      </w:r>
    </w:p>
    <w:p w14:paraId="19551213" w14:textId="33C6E7C7" w:rsidR="009A61F9" w:rsidRPr="00B46B57" w:rsidRDefault="009A61F9" w:rsidP="00B46B57">
      <w:pPr>
        <w:pStyle w:val="Heading1"/>
        <w:tabs>
          <w:tab w:val="clear" w:pos="851"/>
          <w:tab w:val="num" w:pos="426"/>
        </w:tabs>
        <w:rPr>
          <w:color w:val="237BBC"/>
        </w:rPr>
      </w:pPr>
      <w:r w:rsidRPr="00B46B57">
        <w:rPr>
          <w:color w:val="237BBC"/>
        </w:rPr>
        <w:t>Are exemptions necessary?</w:t>
      </w:r>
    </w:p>
    <w:p w14:paraId="22389421" w14:textId="77777777" w:rsidR="0081260D" w:rsidRPr="00C83A23" w:rsidRDefault="0081260D" w:rsidP="0081260D">
      <w:pPr>
        <w:ind w:right="-569"/>
        <w:rPr>
          <w:b/>
          <w:i/>
        </w:rPr>
      </w:pPr>
      <w:r>
        <w:t xml:space="preserve">Some employers are concerned that implementing such strategies may breach discrimination laws and believe that they need to apply for exemptions from those laws in order to target employment opportunities to Aboriginal and Torres Strait Islander people. </w:t>
      </w:r>
      <w:r w:rsidRPr="00A47634">
        <w:rPr>
          <w:b/>
        </w:rPr>
        <w:t xml:space="preserve">This is </w:t>
      </w:r>
      <w:r>
        <w:rPr>
          <w:b/>
        </w:rPr>
        <w:t xml:space="preserve">generally </w:t>
      </w:r>
      <w:r w:rsidRPr="00A47634">
        <w:rPr>
          <w:b/>
        </w:rPr>
        <w:t>not the case.</w:t>
      </w:r>
      <w:r>
        <w:t xml:space="preserve"> </w:t>
      </w:r>
    </w:p>
    <w:p w14:paraId="6F978256" w14:textId="77777777" w:rsidR="0081260D" w:rsidRDefault="0081260D" w:rsidP="0081260D">
      <w:pPr>
        <w:ind w:right="-569"/>
      </w:pPr>
      <w:r>
        <w:t>Australian d</w:t>
      </w:r>
      <w:r w:rsidRPr="006C3EF5">
        <w:t>iscrimination laws recognise that some groups</w:t>
      </w:r>
      <w:r>
        <w:t>, including particular racial groups,</w:t>
      </w:r>
      <w:r w:rsidRPr="006C3EF5">
        <w:t xml:space="preserve"> have </w:t>
      </w:r>
      <w:r>
        <w:t>experienced</w:t>
      </w:r>
      <w:r w:rsidRPr="006C3EF5">
        <w:t xml:space="preserve"> historical disadvantage </w:t>
      </w:r>
      <w:r>
        <w:t xml:space="preserve">that means they </w:t>
      </w:r>
      <w:r w:rsidRPr="006C3EF5">
        <w:t xml:space="preserve">do not enjoy their human rights equally with others. </w:t>
      </w:r>
    </w:p>
    <w:p w14:paraId="303BBE32" w14:textId="7FA56281" w:rsidR="00AA394C" w:rsidRPr="000E030A" w:rsidRDefault="0081260D" w:rsidP="0081260D">
      <w:pPr>
        <w:spacing w:before="0" w:after="0"/>
        <w:ind w:right="281"/>
        <w:sectPr w:rsidR="00AA394C" w:rsidRPr="000E030A" w:rsidSect="00B24B1D">
          <w:headerReference w:type="even" r:id="rId8"/>
          <w:headerReference w:type="default" r:id="rId9"/>
          <w:footerReference w:type="default" r:id="rId10"/>
          <w:headerReference w:type="first" r:id="rId11"/>
          <w:endnotePr>
            <w:numFmt w:val="decimal"/>
          </w:endnotePr>
          <w:type w:val="continuous"/>
          <w:pgSz w:w="11906" w:h="16838" w:code="9"/>
          <w:pgMar w:top="228" w:right="1700" w:bottom="1134" w:left="1418" w:header="277" w:footer="415" w:gutter="0"/>
          <w:cols w:space="708"/>
          <w:titlePg/>
          <w:docGrid w:linePitch="360"/>
        </w:sectPr>
      </w:pPr>
      <w:r w:rsidRPr="0081260D">
        <w:t>Most</w:t>
      </w:r>
      <w:r>
        <w:t xml:space="preserve"> </w:t>
      </w:r>
      <w:r>
        <w:rPr>
          <w:rFonts w:cs="Arial"/>
        </w:rPr>
        <w:t xml:space="preserve">Australian discrimination laws which prohibit discrimination on the basis of race </w:t>
      </w:r>
      <w:r>
        <w:t>allow</w:t>
      </w:r>
      <w:r w:rsidRPr="006C3EF5">
        <w:t xml:space="preserve"> </w:t>
      </w:r>
      <w:r>
        <w:t xml:space="preserve">employers to adopt </w:t>
      </w:r>
      <w:r w:rsidRPr="00A47634">
        <w:rPr>
          <w:b/>
        </w:rPr>
        <w:t>‘special measures’</w:t>
      </w:r>
      <w:r>
        <w:t>, including targeted recruitment strategies,</w:t>
      </w:r>
      <w:r w:rsidRPr="006C3EF5">
        <w:t xml:space="preserve"> to assist disadvantaged racial groups</w:t>
      </w:r>
      <w:r w:rsidR="00953BAC">
        <w:t>.</w:t>
      </w:r>
    </w:p>
    <w:p w14:paraId="0C634F04" w14:textId="3E3CAF7E" w:rsidR="005918F9" w:rsidRPr="00597505" w:rsidRDefault="005918F9" w:rsidP="00597505">
      <w:pPr>
        <w:ind w:right="-569"/>
        <w:rPr>
          <w:rFonts w:cs="Arial"/>
        </w:rPr>
      </w:pPr>
      <w:r w:rsidRPr="00BE538F">
        <w:lastRenderedPageBreak/>
        <w:t>As long as a targeted recruitment strategy for Aborig</w:t>
      </w:r>
      <w:r>
        <w:t>inal and Torres Strait Islander people</w:t>
      </w:r>
      <w:r w:rsidRPr="00BE538F">
        <w:t xml:space="preserve"> meets the requirements of a special measure, it is </w:t>
      </w:r>
      <w:r>
        <w:t>not un</w:t>
      </w:r>
      <w:r w:rsidRPr="00BE538F">
        <w:t xml:space="preserve">lawful </w:t>
      </w:r>
      <w:r>
        <w:t xml:space="preserve">and, except in New South Wales, does not require an exemption. </w:t>
      </w:r>
    </w:p>
    <w:p w14:paraId="1AFB3F77" w14:textId="77777777" w:rsidR="00597505" w:rsidRPr="00B46B57" w:rsidRDefault="00597505" w:rsidP="00B46B57">
      <w:pPr>
        <w:pStyle w:val="Heading1"/>
        <w:tabs>
          <w:tab w:val="clear" w:pos="851"/>
          <w:tab w:val="num" w:pos="426"/>
        </w:tabs>
        <w:rPr>
          <w:color w:val="237BBC"/>
        </w:rPr>
      </w:pPr>
      <w:r w:rsidRPr="00B46B57">
        <w:rPr>
          <w:color w:val="237BBC"/>
        </w:rPr>
        <w:t xml:space="preserve">What is a ‘special measure’? </w:t>
      </w:r>
    </w:p>
    <w:p w14:paraId="2DF430DF" w14:textId="0BCAF343" w:rsidR="00597505" w:rsidRPr="008E4868" w:rsidRDefault="00597505" w:rsidP="008E4868">
      <w:pPr>
        <w:pStyle w:val="NormalWeb"/>
        <w:spacing w:before="120" w:after="120"/>
        <w:ind w:right="113"/>
        <w:rPr>
          <w:rFonts w:ascii="Arial" w:hAnsi="Arial"/>
        </w:rPr>
      </w:pPr>
      <w:r w:rsidRPr="00597505">
        <w:rPr>
          <w:rFonts w:ascii="Arial" w:hAnsi="Arial"/>
        </w:rPr>
        <w:t>A special measure is an action taken to address disadvantage by providing a benefit to a particular racial group, so that members of that group may enjoy their rights equally with other groups. Special measures support groups of people who face, or have faced, entrenched discrimination so they can have similar access to opportunities as others in the community.</w:t>
      </w:r>
    </w:p>
    <w:p w14:paraId="7AC07836" w14:textId="33BE7DFD" w:rsidR="005918F9" w:rsidRPr="00B46B57" w:rsidRDefault="005918F9" w:rsidP="00B46B57">
      <w:pPr>
        <w:pStyle w:val="Heading1"/>
        <w:tabs>
          <w:tab w:val="clear" w:pos="851"/>
          <w:tab w:val="num" w:pos="426"/>
        </w:tabs>
        <w:rPr>
          <w:color w:val="237BBC"/>
        </w:rPr>
      </w:pPr>
      <w:r w:rsidRPr="00B46B57">
        <w:rPr>
          <w:color w:val="237BBC"/>
        </w:rPr>
        <w:t>Elements of a special measure</w:t>
      </w:r>
    </w:p>
    <w:p w14:paraId="0FC0FFEA" w14:textId="77777777" w:rsidR="00BC21B9" w:rsidRDefault="00BC21B9" w:rsidP="00BC21B9">
      <w:pPr>
        <w:ind w:right="-569"/>
      </w:pPr>
      <w:r>
        <w:t xml:space="preserve">The </w:t>
      </w:r>
      <w:r w:rsidRPr="006C3EF5">
        <w:t xml:space="preserve">elements of a special measure are essentially the same under </w:t>
      </w:r>
      <w:r>
        <w:t>federal</w:t>
      </w:r>
      <w:r w:rsidRPr="006C3EF5">
        <w:t xml:space="preserve">, state and territory discrimination laws. </w:t>
      </w:r>
    </w:p>
    <w:p w14:paraId="58DB05C6" w14:textId="0A32D569" w:rsidR="005918F9" w:rsidRDefault="00BC21B9" w:rsidP="00DB31FE">
      <w:r>
        <w:t>To meet the test for a ‘special measure’ in all jurisdictions, an employer must be able to</w:t>
      </w:r>
      <w:r>
        <w:t xml:space="preserve"> show that a targeted recruitment</w:t>
      </w:r>
      <w:r w:rsidR="00DA1DA1">
        <w:t xml:space="preserve"> strategy meets 5 requirements:</w:t>
      </w:r>
    </w:p>
    <w:p w14:paraId="68DED741" w14:textId="77777777" w:rsidR="00DA1DA1" w:rsidRPr="00DA1DA1" w:rsidRDefault="00AF68C9" w:rsidP="00DA1DA1">
      <w:pPr>
        <w:pStyle w:val="ListParagraph"/>
        <w:numPr>
          <w:ilvl w:val="0"/>
          <w:numId w:val="17"/>
        </w:numPr>
        <w:spacing w:before="120"/>
        <w:ind w:left="714" w:hanging="357"/>
        <w:rPr>
          <w:rFonts w:ascii="Arial" w:hAnsi="Arial" w:cs="Arial"/>
          <w:sz w:val="24"/>
          <w:szCs w:val="24"/>
        </w:rPr>
      </w:pPr>
      <w:r w:rsidRPr="00DA1DA1">
        <w:rPr>
          <w:rFonts w:ascii="Arial" w:hAnsi="Arial" w:cs="Arial"/>
          <w:sz w:val="24"/>
          <w:szCs w:val="24"/>
        </w:rPr>
        <w:t xml:space="preserve">Is </w:t>
      </w:r>
      <w:r w:rsidRPr="00DA1DA1">
        <w:rPr>
          <w:rFonts w:ascii="Arial" w:hAnsi="Arial" w:cs="Arial"/>
          <w:b/>
          <w:bCs/>
          <w:sz w:val="24"/>
          <w:szCs w:val="24"/>
        </w:rPr>
        <w:t>necessary</w:t>
      </w:r>
      <w:r w:rsidRPr="00DA1DA1">
        <w:rPr>
          <w:rFonts w:ascii="Arial" w:hAnsi="Arial" w:cs="Arial"/>
          <w:sz w:val="24"/>
          <w:szCs w:val="24"/>
        </w:rPr>
        <w:t xml:space="preserve"> because members of a racial group are </w:t>
      </w:r>
      <w:r w:rsidRPr="00DA1DA1">
        <w:rPr>
          <w:rFonts w:ascii="Arial" w:hAnsi="Arial" w:cs="Arial"/>
          <w:b/>
          <w:bCs/>
          <w:sz w:val="24"/>
          <w:szCs w:val="24"/>
        </w:rPr>
        <w:t>disadvantaged because of their</w:t>
      </w:r>
      <w:r w:rsidRPr="00DA1DA1">
        <w:rPr>
          <w:rFonts w:ascii="Arial" w:hAnsi="Arial" w:cs="Arial"/>
          <w:b/>
          <w:bCs/>
          <w:sz w:val="24"/>
          <w:szCs w:val="24"/>
        </w:rPr>
        <w:t xml:space="preserve"> race</w:t>
      </w:r>
    </w:p>
    <w:p w14:paraId="61E776F7" w14:textId="77777777" w:rsidR="00DA1DA1" w:rsidRPr="00DA1DA1" w:rsidRDefault="00AF68C9" w:rsidP="00DA1DA1">
      <w:pPr>
        <w:pStyle w:val="ListParagraph"/>
        <w:numPr>
          <w:ilvl w:val="0"/>
          <w:numId w:val="17"/>
        </w:numPr>
        <w:spacing w:before="120"/>
        <w:ind w:left="714" w:hanging="357"/>
        <w:rPr>
          <w:rFonts w:ascii="Arial" w:hAnsi="Arial" w:cs="Arial"/>
          <w:sz w:val="24"/>
          <w:szCs w:val="24"/>
        </w:rPr>
      </w:pPr>
      <w:r w:rsidRPr="00DA1DA1">
        <w:rPr>
          <w:rFonts w:ascii="Arial" w:hAnsi="Arial" w:cs="Arial"/>
          <w:sz w:val="24"/>
          <w:szCs w:val="24"/>
        </w:rPr>
        <w:t xml:space="preserve">Will </w:t>
      </w:r>
      <w:r w:rsidRPr="00DA1DA1">
        <w:rPr>
          <w:rFonts w:ascii="Arial" w:hAnsi="Arial" w:cs="Arial"/>
          <w:b/>
          <w:bCs/>
          <w:sz w:val="24"/>
          <w:szCs w:val="24"/>
        </w:rPr>
        <w:t xml:space="preserve">promote equal opportunity </w:t>
      </w:r>
      <w:r w:rsidRPr="00DA1DA1">
        <w:rPr>
          <w:rFonts w:ascii="Arial" w:hAnsi="Arial" w:cs="Arial"/>
          <w:sz w:val="24"/>
          <w:szCs w:val="24"/>
        </w:rPr>
        <w:t xml:space="preserve">for members of that </w:t>
      </w:r>
      <w:r w:rsidR="00DA1DA1" w:rsidRPr="00DA1DA1">
        <w:rPr>
          <w:rFonts w:ascii="Arial" w:hAnsi="Arial" w:cs="Arial"/>
          <w:b/>
          <w:bCs/>
          <w:sz w:val="24"/>
          <w:szCs w:val="24"/>
        </w:rPr>
        <w:t>racial group</w:t>
      </w:r>
    </w:p>
    <w:p w14:paraId="5C05B5B2" w14:textId="77777777" w:rsidR="00DA1DA1" w:rsidRPr="00DA1DA1" w:rsidRDefault="00AF68C9" w:rsidP="00DA1DA1">
      <w:pPr>
        <w:pStyle w:val="ListParagraph"/>
        <w:numPr>
          <w:ilvl w:val="0"/>
          <w:numId w:val="17"/>
        </w:numPr>
        <w:spacing w:before="120"/>
        <w:ind w:left="714" w:hanging="357"/>
        <w:rPr>
          <w:rFonts w:ascii="Arial" w:hAnsi="Arial" w:cs="Arial"/>
          <w:sz w:val="24"/>
          <w:szCs w:val="24"/>
        </w:rPr>
      </w:pPr>
      <w:r w:rsidRPr="00DA1DA1">
        <w:rPr>
          <w:rFonts w:ascii="Arial" w:hAnsi="Arial" w:cs="Arial"/>
          <w:sz w:val="24"/>
          <w:szCs w:val="24"/>
        </w:rPr>
        <w:t xml:space="preserve">Has the </w:t>
      </w:r>
      <w:r w:rsidRPr="00DA1DA1">
        <w:rPr>
          <w:rFonts w:ascii="Arial" w:hAnsi="Arial" w:cs="Arial"/>
          <w:b/>
          <w:bCs/>
          <w:sz w:val="24"/>
          <w:szCs w:val="24"/>
        </w:rPr>
        <w:t xml:space="preserve">sole purpose </w:t>
      </w:r>
      <w:r w:rsidRPr="00DA1DA1">
        <w:rPr>
          <w:rFonts w:ascii="Arial" w:hAnsi="Arial" w:cs="Arial"/>
          <w:sz w:val="24"/>
          <w:szCs w:val="24"/>
        </w:rPr>
        <w:t xml:space="preserve">of promoting equal opportunity (and will be done in </w:t>
      </w:r>
      <w:r w:rsidRPr="00DA1DA1">
        <w:rPr>
          <w:rFonts w:ascii="Arial" w:hAnsi="Arial" w:cs="Arial"/>
          <w:b/>
          <w:bCs/>
          <w:sz w:val="24"/>
          <w:szCs w:val="24"/>
        </w:rPr>
        <w:t>good faith</w:t>
      </w:r>
      <w:r w:rsidRPr="00DA1DA1">
        <w:rPr>
          <w:rFonts w:ascii="Arial" w:hAnsi="Arial" w:cs="Arial"/>
          <w:sz w:val="24"/>
          <w:szCs w:val="24"/>
        </w:rPr>
        <w:t>)</w:t>
      </w:r>
    </w:p>
    <w:p w14:paraId="4DE5287C" w14:textId="77777777" w:rsidR="00DA1DA1" w:rsidRPr="00DA1DA1" w:rsidRDefault="00AF68C9" w:rsidP="00DA1DA1">
      <w:pPr>
        <w:pStyle w:val="ListParagraph"/>
        <w:numPr>
          <w:ilvl w:val="0"/>
          <w:numId w:val="17"/>
        </w:numPr>
        <w:spacing w:before="120"/>
        <w:ind w:left="714" w:hanging="357"/>
        <w:rPr>
          <w:rFonts w:ascii="Arial" w:hAnsi="Arial" w:cs="Arial"/>
          <w:sz w:val="24"/>
          <w:szCs w:val="24"/>
        </w:rPr>
      </w:pPr>
      <w:r w:rsidRPr="00DA1DA1">
        <w:rPr>
          <w:rFonts w:ascii="Arial" w:hAnsi="Arial" w:cs="Arial"/>
          <w:sz w:val="24"/>
          <w:szCs w:val="24"/>
        </w:rPr>
        <w:t xml:space="preserve">Is </w:t>
      </w:r>
      <w:r w:rsidRPr="00DA1DA1">
        <w:rPr>
          <w:rFonts w:ascii="Arial" w:hAnsi="Arial" w:cs="Arial"/>
          <w:b/>
          <w:bCs/>
          <w:sz w:val="24"/>
          <w:szCs w:val="24"/>
        </w:rPr>
        <w:t>reasonable</w:t>
      </w:r>
      <w:r w:rsidRPr="00DA1DA1">
        <w:rPr>
          <w:rFonts w:ascii="Arial" w:hAnsi="Arial" w:cs="Arial"/>
          <w:sz w:val="24"/>
          <w:szCs w:val="24"/>
        </w:rPr>
        <w:t xml:space="preserve"> and </w:t>
      </w:r>
      <w:r w:rsidRPr="00DA1DA1">
        <w:rPr>
          <w:rFonts w:ascii="Arial" w:hAnsi="Arial" w:cs="Arial"/>
          <w:b/>
          <w:bCs/>
          <w:sz w:val="24"/>
          <w:szCs w:val="24"/>
        </w:rPr>
        <w:t>proportionate</w:t>
      </w:r>
      <w:r w:rsidRPr="00DA1DA1">
        <w:rPr>
          <w:rFonts w:ascii="Arial" w:hAnsi="Arial" w:cs="Arial"/>
          <w:sz w:val="24"/>
          <w:szCs w:val="24"/>
        </w:rPr>
        <w:t xml:space="preserve"> (including </w:t>
      </w:r>
      <w:r w:rsidRPr="00DA1DA1">
        <w:rPr>
          <w:rFonts w:ascii="Arial" w:hAnsi="Arial" w:cs="Arial"/>
          <w:b/>
          <w:bCs/>
          <w:sz w:val="24"/>
          <w:szCs w:val="24"/>
        </w:rPr>
        <w:t>reasonably likely, appropriate and adapte</w:t>
      </w:r>
      <w:r w:rsidRPr="00DA1DA1">
        <w:rPr>
          <w:rFonts w:ascii="Arial" w:hAnsi="Arial" w:cs="Arial"/>
          <w:b/>
          <w:bCs/>
          <w:sz w:val="24"/>
          <w:szCs w:val="24"/>
        </w:rPr>
        <w:t xml:space="preserve">d </w:t>
      </w:r>
      <w:r w:rsidRPr="00DA1DA1">
        <w:rPr>
          <w:rFonts w:ascii="Arial" w:hAnsi="Arial" w:cs="Arial"/>
          <w:sz w:val="24"/>
          <w:szCs w:val="24"/>
        </w:rPr>
        <w:t>to achieve its purpose)</w:t>
      </w:r>
    </w:p>
    <w:p w14:paraId="273DF255" w14:textId="22F91948" w:rsidR="00DA1DA1" w:rsidRPr="005B4EA0" w:rsidRDefault="00AF68C9" w:rsidP="005B4EA0">
      <w:pPr>
        <w:pStyle w:val="ListParagraph"/>
        <w:numPr>
          <w:ilvl w:val="0"/>
          <w:numId w:val="17"/>
        </w:numPr>
        <w:spacing w:before="120"/>
        <w:ind w:left="714" w:hanging="357"/>
        <w:rPr>
          <w:rFonts w:ascii="Arial" w:hAnsi="Arial" w:cs="Arial"/>
          <w:sz w:val="24"/>
          <w:szCs w:val="24"/>
        </w:rPr>
      </w:pPr>
      <w:r w:rsidRPr="00DA1DA1">
        <w:rPr>
          <w:rFonts w:ascii="Arial" w:hAnsi="Arial" w:cs="Arial"/>
          <w:sz w:val="24"/>
          <w:szCs w:val="24"/>
        </w:rPr>
        <w:t>W</w:t>
      </w:r>
      <w:r w:rsidRPr="00DA1DA1">
        <w:rPr>
          <w:rFonts w:ascii="Arial" w:hAnsi="Arial" w:cs="Arial"/>
          <w:b/>
          <w:bCs/>
          <w:sz w:val="24"/>
          <w:szCs w:val="24"/>
        </w:rPr>
        <w:t>ill</w:t>
      </w:r>
      <w:r w:rsidRPr="00DA1DA1">
        <w:rPr>
          <w:rFonts w:ascii="Arial" w:hAnsi="Arial" w:cs="Arial"/>
          <w:sz w:val="24"/>
          <w:szCs w:val="24"/>
        </w:rPr>
        <w:t xml:space="preserve"> </w:t>
      </w:r>
      <w:r w:rsidRPr="00DA1DA1">
        <w:rPr>
          <w:rFonts w:ascii="Arial" w:hAnsi="Arial" w:cs="Arial"/>
          <w:b/>
          <w:bCs/>
          <w:sz w:val="24"/>
          <w:szCs w:val="24"/>
        </w:rPr>
        <w:t>stop</w:t>
      </w:r>
      <w:r w:rsidRPr="00DA1DA1">
        <w:rPr>
          <w:rFonts w:ascii="Arial" w:hAnsi="Arial" w:cs="Arial"/>
          <w:sz w:val="24"/>
          <w:szCs w:val="24"/>
        </w:rPr>
        <w:t xml:space="preserve"> once its purpose has been achieved</w:t>
      </w:r>
      <w:r w:rsidR="00DA1DA1" w:rsidRPr="00DA1DA1">
        <w:rPr>
          <w:rFonts w:ascii="Arial" w:hAnsi="Arial" w:cs="Arial"/>
          <w:sz w:val="24"/>
          <w:szCs w:val="24"/>
        </w:rPr>
        <w:t>.</w:t>
      </w:r>
    </w:p>
    <w:p w14:paraId="17FC9900" w14:textId="77777777" w:rsidR="00832F1C" w:rsidRPr="00DE70D8" w:rsidRDefault="00832F1C" w:rsidP="00DE70D8">
      <w:pPr>
        <w:pStyle w:val="Heading1"/>
        <w:tabs>
          <w:tab w:val="clear" w:pos="851"/>
          <w:tab w:val="num" w:pos="426"/>
        </w:tabs>
        <w:rPr>
          <w:color w:val="237BBC"/>
        </w:rPr>
      </w:pPr>
      <w:r w:rsidRPr="00DE70D8">
        <w:rPr>
          <w:color w:val="237BBC"/>
        </w:rPr>
        <w:t>Targeted recruitment and Reconciliation Action Plans</w:t>
      </w:r>
    </w:p>
    <w:p w14:paraId="60AF7D0C" w14:textId="77777777" w:rsidR="00325D9D" w:rsidRDefault="00325D9D" w:rsidP="00325D9D">
      <w:pPr>
        <w:pStyle w:val="Heading2"/>
        <w:numPr>
          <w:ilvl w:val="0"/>
          <w:numId w:val="0"/>
        </w:numPr>
        <w:rPr>
          <w:b w:val="0"/>
          <w:i w:val="0"/>
          <w:color w:val="auto"/>
          <w:sz w:val="24"/>
          <w:szCs w:val="24"/>
        </w:rPr>
      </w:pPr>
      <w:r>
        <w:rPr>
          <w:b w:val="0"/>
          <w:i w:val="0"/>
          <w:color w:val="auto"/>
          <w:sz w:val="24"/>
          <w:szCs w:val="24"/>
        </w:rPr>
        <w:t xml:space="preserve">Many employers choose to include targeted recruitment strategies in an Indigenous Engagement Strategy, or as part of a broader Reconciliation Action Plan (RAP). </w:t>
      </w:r>
      <w:r w:rsidRPr="00397B67">
        <w:rPr>
          <w:b w:val="0"/>
          <w:i w:val="0"/>
          <w:color w:val="auto"/>
          <w:sz w:val="24"/>
          <w:szCs w:val="24"/>
        </w:rPr>
        <w:t xml:space="preserve">A RAP </w:t>
      </w:r>
      <w:r>
        <w:rPr>
          <w:b w:val="0"/>
          <w:i w:val="0"/>
          <w:color w:val="auto"/>
          <w:sz w:val="24"/>
          <w:szCs w:val="24"/>
        </w:rPr>
        <w:t xml:space="preserve">is a policy document that </w:t>
      </w:r>
      <w:r w:rsidRPr="00397B67">
        <w:rPr>
          <w:b w:val="0"/>
          <w:i w:val="0"/>
          <w:color w:val="auto"/>
          <w:sz w:val="24"/>
          <w:szCs w:val="24"/>
        </w:rPr>
        <w:t>outlines practical action that an organisation can take to build strong relationships and enhance respect between Aboriginal and Torres Strait Islander peoples and other Australians.</w:t>
      </w:r>
    </w:p>
    <w:p w14:paraId="01F5E599" w14:textId="124B0253" w:rsidR="00B337E9" w:rsidRPr="006B1596" w:rsidRDefault="00DA1DA1" w:rsidP="00AA394C">
      <w:pPr>
        <w:spacing w:before="0" w:after="0"/>
        <w:ind w:right="281"/>
        <w:rPr>
          <w:sz w:val="20"/>
          <w:szCs w:val="20"/>
          <w:lang w:val="en"/>
        </w:rPr>
      </w:pPr>
      <w:r>
        <w:t xml:space="preserve">Linking </w:t>
      </w:r>
      <w:r>
        <w:t>targeted recruitment strategies to an Indigenous Employment Strategy or RAP can provide useful context for an employer’s action in taking a special measure. It makes clear to the public the employer’s commitment to reducing unemployment for Aboriginal and Torres Strait Islander peoples.</w:t>
      </w:r>
    </w:p>
    <w:p w14:paraId="62A4E63F" w14:textId="77777777" w:rsidR="006B1596" w:rsidRDefault="006B1596" w:rsidP="006B1596">
      <w:pPr>
        <w:autoSpaceDE w:val="0"/>
        <w:autoSpaceDN w:val="0"/>
        <w:adjustRightInd w:val="0"/>
        <w:spacing w:after="0"/>
        <w:rPr>
          <w:rFonts w:cs="Arial"/>
          <w:color w:val="000000" w:themeColor="text1"/>
          <w:lang w:val="en"/>
        </w:rPr>
      </w:pPr>
      <w:r w:rsidRPr="006B1596">
        <w:rPr>
          <w:rFonts w:cs="Arial"/>
          <w:b/>
          <w:color w:val="237BBC"/>
          <w:lang w:val="en"/>
        </w:rPr>
        <w:t>Example:</w:t>
      </w:r>
      <w:r w:rsidRPr="006B1596">
        <w:rPr>
          <w:rFonts w:cs="Arial"/>
          <w:color w:val="000000" w:themeColor="text1"/>
          <w:lang w:val="en"/>
        </w:rPr>
        <w:t xml:space="preserve"> </w:t>
      </w:r>
    </w:p>
    <w:p w14:paraId="173AE3A0" w14:textId="6B21D7C9" w:rsidR="006B1596" w:rsidRPr="006B1596" w:rsidRDefault="006B1596" w:rsidP="006B1596">
      <w:pPr>
        <w:autoSpaceDE w:val="0"/>
        <w:autoSpaceDN w:val="0"/>
        <w:adjustRightInd w:val="0"/>
        <w:spacing w:after="0"/>
        <w:rPr>
          <w:rFonts w:cs="Arial"/>
          <w:color w:val="000000" w:themeColor="text1"/>
        </w:rPr>
      </w:pPr>
      <w:r w:rsidRPr="006B1596">
        <w:rPr>
          <w:rFonts w:cs="Arial"/>
          <w:color w:val="000000" w:themeColor="text1"/>
        </w:rPr>
        <w:t>In</w:t>
      </w:r>
      <w:r w:rsidRPr="006B1596">
        <w:rPr>
          <w:rFonts w:cs="Arial"/>
          <w:b/>
          <w:color w:val="000000" w:themeColor="text1"/>
        </w:rPr>
        <w:t xml:space="preserve"> </w:t>
      </w:r>
      <w:r w:rsidRPr="006B1596">
        <w:rPr>
          <w:rFonts w:cs="Arial"/>
          <w:color w:val="000000" w:themeColor="text1"/>
        </w:rPr>
        <w:t xml:space="preserve">Crown Resorts’ </w:t>
      </w:r>
      <w:r w:rsidRPr="006B1596">
        <w:rPr>
          <w:rFonts w:cs="Arial"/>
          <w:i/>
          <w:color w:val="000000" w:themeColor="text1"/>
        </w:rPr>
        <w:t>Elevate Reconciliation Action Plan 2015-17</w:t>
      </w:r>
      <w:r w:rsidRPr="006B1596">
        <w:rPr>
          <w:rFonts w:cs="Arial"/>
          <w:color w:val="000000" w:themeColor="text1"/>
        </w:rPr>
        <w:t xml:space="preserve"> it recognises that ‘providing meaningful employment for Aboriginal and Torres Strait Islander Australians is central to reconciliation’. The Plan </w:t>
      </w:r>
      <w:r w:rsidRPr="006B1596">
        <w:rPr>
          <w:rFonts w:ascii="Helvetica" w:hAnsi="Helvetica"/>
          <w:color w:val="000000" w:themeColor="text1"/>
        </w:rPr>
        <w:t xml:space="preserve">contains a </w:t>
      </w:r>
      <w:r w:rsidRPr="006B1596">
        <w:rPr>
          <w:rFonts w:cs="Arial"/>
          <w:color w:val="000000" w:themeColor="text1"/>
        </w:rPr>
        <w:t xml:space="preserve">commitment to ‘employ, </w:t>
      </w:r>
      <w:r w:rsidRPr="006B1596">
        <w:rPr>
          <w:rFonts w:cs="Arial"/>
          <w:color w:val="000000" w:themeColor="text1"/>
        </w:rPr>
        <w:lastRenderedPageBreak/>
        <w:t xml:space="preserve">develop and promote Aboriginal and Torres Strait Islander people at our properties, at every opportunity’. </w:t>
      </w:r>
    </w:p>
    <w:p w14:paraId="493B1C5C" w14:textId="77777777" w:rsidR="006B1596" w:rsidRPr="006B1596" w:rsidRDefault="006B1596" w:rsidP="006B1596">
      <w:pPr>
        <w:autoSpaceDE w:val="0"/>
        <w:autoSpaceDN w:val="0"/>
        <w:adjustRightInd w:val="0"/>
        <w:spacing w:before="0" w:after="0"/>
        <w:rPr>
          <w:rFonts w:cs="Arial"/>
          <w:color w:val="000000" w:themeColor="text1"/>
        </w:rPr>
      </w:pPr>
    </w:p>
    <w:p w14:paraId="7BBBC7D7" w14:textId="77777777" w:rsidR="006B1596" w:rsidRPr="006B1596" w:rsidRDefault="006B1596" w:rsidP="006B1596">
      <w:pPr>
        <w:autoSpaceDE w:val="0"/>
        <w:autoSpaceDN w:val="0"/>
        <w:adjustRightInd w:val="0"/>
        <w:spacing w:before="0" w:after="0"/>
        <w:rPr>
          <w:rFonts w:cs="Arial"/>
          <w:b/>
          <w:color w:val="000000" w:themeColor="text1"/>
        </w:rPr>
      </w:pPr>
      <w:r w:rsidRPr="006B1596">
        <w:rPr>
          <w:rFonts w:cs="Arial"/>
          <w:color w:val="000000" w:themeColor="text1"/>
        </w:rPr>
        <w:t>In its Plan, Crown states that it made a commitment in 2009 to hire 300 Aboriginal and Torres Strait Islander people; a goal which it achieved in 2013. Its current target for its Indigenous Employment Program is to provide 2,000 job opportunities by 2021.</w:t>
      </w:r>
    </w:p>
    <w:p w14:paraId="5EC6B9E9" w14:textId="1DA5CF7B" w:rsidR="00643007" w:rsidRPr="006B1596" w:rsidRDefault="006B1596" w:rsidP="00C00079">
      <w:pPr>
        <w:rPr>
          <w:rFonts w:cs="Arial"/>
          <w:color w:val="000000" w:themeColor="text1"/>
        </w:rPr>
      </w:pPr>
      <w:r w:rsidRPr="006B1596">
        <w:rPr>
          <w:rFonts w:cs="Arial"/>
          <w:color w:val="000000" w:themeColor="text1"/>
        </w:rPr>
        <w:t>Its Plan also contains the shorter-term measurable goal of hiring 200 new Aboriginal and Torres Strait Islander employees by July 2017.</w:t>
      </w:r>
    </w:p>
    <w:p w14:paraId="79056844" w14:textId="77777777" w:rsidR="00DE70D8" w:rsidRPr="00C00079" w:rsidRDefault="00DE70D8" w:rsidP="00C00079">
      <w:pPr>
        <w:pStyle w:val="Heading1"/>
        <w:tabs>
          <w:tab w:val="clear" w:pos="851"/>
          <w:tab w:val="num" w:pos="426"/>
        </w:tabs>
        <w:rPr>
          <w:color w:val="237BBC"/>
        </w:rPr>
      </w:pPr>
      <w:r w:rsidRPr="00C00079">
        <w:rPr>
          <w:color w:val="237BBC"/>
        </w:rPr>
        <w:t>More information</w:t>
      </w:r>
    </w:p>
    <w:p w14:paraId="5F7E0498" w14:textId="56EB2E0A" w:rsidR="00DE70D8" w:rsidRPr="00C00079" w:rsidRDefault="00DE70D8" w:rsidP="00DE70D8">
      <w:r>
        <w:t xml:space="preserve">For practical advice about </w:t>
      </w:r>
      <w:r w:rsidRPr="006C3EF5">
        <w:t xml:space="preserve">designing </w:t>
      </w:r>
      <w:r>
        <w:t xml:space="preserve">a </w:t>
      </w:r>
      <w:r w:rsidRPr="006C3EF5">
        <w:t>targeted recruitment strateg</w:t>
      </w:r>
      <w:r>
        <w:t>y</w:t>
      </w:r>
      <w:r w:rsidRPr="006C3EF5">
        <w:t xml:space="preserve"> to meet the requirement</w:t>
      </w:r>
      <w:r>
        <w:t xml:space="preserve">s of a special measure, including a template for documenting the strategy, </w:t>
      </w:r>
      <w:r w:rsidRPr="00567793">
        <w:t xml:space="preserve">see the guideline </w:t>
      </w:r>
      <w:r w:rsidR="007C76A2" w:rsidRPr="007C76A2">
        <w:rPr>
          <w:b/>
          <w:i/>
        </w:rPr>
        <w:t>Targeted recruitment of Aboriginal and Torres Strait Islander people: A guideline for employers</w:t>
      </w:r>
      <w:r w:rsidR="007C76A2">
        <w:t xml:space="preserve">, available </w:t>
      </w:r>
      <w:r w:rsidR="0096592A">
        <w:t xml:space="preserve">online </w:t>
      </w:r>
      <w:r w:rsidRPr="00567793">
        <w:t>a</w:t>
      </w:r>
      <w:r w:rsidRPr="001C68BE">
        <w:t>t</w:t>
      </w:r>
      <w:r w:rsidR="00C00079">
        <w:t xml:space="preserve"> </w:t>
      </w:r>
      <w:hyperlink r:id="rId12" w:history="1">
        <w:r w:rsidRPr="001C68BE">
          <w:rPr>
            <w:rStyle w:val="Hyperlink"/>
            <w:rFonts w:cs="Arial"/>
          </w:rPr>
          <w:t>https://www.humanrights.gov.au/targetedrecruitment</w:t>
        </w:r>
      </w:hyperlink>
    </w:p>
    <w:p w14:paraId="08D7070D" w14:textId="55D6534F" w:rsidR="00643007" w:rsidRDefault="00C00079" w:rsidP="00AA394C">
      <w:pPr>
        <w:spacing w:before="0" w:after="0"/>
        <w:ind w:right="281"/>
        <w:rPr>
          <w:rFonts w:cs="Arial"/>
        </w:rPr>
      </w:pPr>
      <w:r>
        <w:rPr>
          <w:rFonts w:cs="Arial"/>
        </w:rPr>
        <w:t>For further information, contact the Australian Human Rights Commission:</w:t>
      </w:r>
    </w:p>
    <w:p w14:paraId="5B25D7D8" w14:textId="77777777" w:rsidR="00C00079" w:rsidRDefault="00C00079" w:rsidP="00AA394C">
      <w:pPr>
        <w:spacing w:before="0" w:after="0"/>
        <w:ind w:right="281"/>
        <w:rPr>
          <w:rFonts w:cs="Arial"/>
        </w:rPr>
      </w:pPr>
    </w:p>
    <w:p w14:paraId="1A46CF60" w14:textId="528F9424" w:rsidR="00C00079" w:rsidRDefault="00C00079" w:rsidP="00AA394C">
      <w:pPr>
        <w:spacing w:before="0" w:after="0"/>
        <w:ind w:right="281"/>
        <w:rPr>
          <w:rFonts w:cs="Arial"/>
        </w:rPr>
      </w:pPr>
      <w:r>
        <w:rPr>
          <w:rFonts w:cs="Arial"/>
        </w:rPr>
        <w:t>Level 3, 175 Pitt Street</w:t>
      </w:r>
    </w:p>
    <w:p w14:paraId="298E48E7" w14:textId="68A71924" w:rsidR="00C00079" w:rsidRDefault="00C00079" w:rsidP="00AA394C">
      <w:pPr>
        <w:spacing w:before="0" w:after="0"/>
        <w:ind w:right="281"/>
        <w:rPr>
          <w:rFonts w:cs="Arial"/>
        </w:rPr>
      </w:pPr>
      <w:r>
        <w:rPr>
          <w:rFonts w:cs="Arial"/>
        </w:rPr>
        <w:t>SYDNEY NSW 2000</w:t>
      </w:r>
    </w:p>
    <w:p w14:paraId="69331B31" w14:textId="77777777" w:rsidR="00C00079" w:rsidRDefault="00C00079" w:rsidP="00AA394C">
      <w:pPr>
        <w:spacing w:before="0" w:after="0"/>
        <w:ind w:right="281"/>
        <w:rPr>
          <w:rFonts w:cs="Arial"/>
        </w:rPr>
      </w:pPr>
    </w:p>
    <w:p w14:paraId="6D7C5AF5" w14:textId="4796D11C" w:rsidR="00C00079" w:rsidRDefault="00C00079" w:rsidP="00AA394C">
      <w:pPr>
        <w:spacing w:before="0" w:after="0"/>
        <w:ind w:right="281"/>
        <w:rPr>
          <w:rFonts w:cs="Arial"/>
        </w:rPr>
      </w:pPr>
      <w:r>
        <w:rPr>
          <w:rFonts w:cs="Arial"/>
        </w:rPr>
        <w:t>GPO Box 5218</w:t>
      </w:r>
    </w:p>
    <w:p w14:paraId="56BA63E3" w14:textId="7287733C" w:rsidR="00C00079" w:rsidRDefault="00C00079" w:rsidP="00AA394C">
      <w:pPr>
        <w:spacing w:before="0" w:after="0"/>
        <w:ind w:right="281"/>
        <w:rPr>
          <w:rFonts w:cs="Arial"/>
        </w:rPr>
      </w:pPr>
      <w:r>
        <w:rPr>
          <w:rFonts w:cs="Arial"/>
        </w:rPr>
        <w:t>SYDNEY NSW 2001</w:t>
      </w:r>
    </w:p>
    <w:p w14:paraId="357370CB" w14:textId="77777777" w:rsidR="00AF68C9" w:rsidRDefault="00AF68C9" w:rsidP="00AA394C">
      <w:pPr>
        <w:spacing w:before="0" w:after="0"/>
        <w:ind w:right="281"/>
        <w:rPr>
          <w:rFonts w:cs="Arial"/>
          <w:b/>
          <w:color w:val="237BBC"/>
        </w:rPr>
      </w:pPr>
    </w:p>
    <w:p w14:paraId="7FE0EA3F" w14:textId="08A212B0" w:rsidR="00C00079" w:rsidRDefault="00C00079" w:rsidP="00AA394C">
      <w:pPr>
        <w:spacing w:before="0" w:after="0"/>
        <w:ind w:right="281"/>
        <w:rPr>
          <w:rFonts w:cs="Arial"/>
        </w:rPr>
      </w:pPr>
      <w:bookmarkStart w:id="1" w:name="_GoBack"/>
      <w:bookmarkEnd w:id="1"/>
      <w:r w:rsidRPr="00C00079">
        <w:rPr>
          <w:rFonts w:cs="Arial"/>
          <w:b/>
          <w:color w:val="237BBC"/>
        </w:rPr>
        <w:t>Telephone:</w:t>
      </w:r>
      <w:r>
        <w:rPr>
          <w:rFonts w:cs="Arial"/>
        </w:rPr>
        <w:t xml:space="preserve"> (02) 9284 9600</w:t>
      </w:r>
    </w:p>
    <w:p w14:paraId="356BEE4F" w14:textId="77777777" w:rsidR="00C00079" w:rsidRDefault="00C00079" w:rsidP="00AA394C">
      <w:pPr>
        <w:spacing w:before="0" w:after="0"/>
        <w:ind w:right="281"/>
        <w:rPr>
          <w:rFonts w:cs="Arial"/>
        </w:rPr>
      </w:pPr>
    </w:p>
    <w:p w14:paraId="4CB39013" w14:textId="13F85A95" w:rsidR="00C00079" w:rsidRDefault="00C00079" w:rsidP="00AA394C">
      <w:pPr>
        <w:spacing w:before="0" w:after="0"/>
        <w:ind w:right="281"/>
        <w:rPr>
          <w:rFonts w:cs="Arial"/>
        </w:rPr>
      </w:pPr>
      <w:r w:rsidRPr="00C00079">
        <w:rPr>
          <w:rFonts w:cs="Arial"/>
          <w:b/>
          <w:color w:val="237BBC"/>
        </w:rPr>
        <w:t>National Information Service:</w:t>
      </w:r>
      <w:r w:rsidRPr="00C00079">
        <w:rPr>
          <w:rFonts w:cs="Arial"/>
          <w:color w:val="237BBC"/>
        </w:rPr>
        <w:t xml:space="preserve"> </w:t>
      </w:r>
      <w:r>
        <w:rPr>
          <w:rFonts w:cs="Arial"/>
        </w:rPr>
        <w:t>1300 656 419</w:t>
      </w:r>
    </w:p>
    <w:p w14:paraId="0132C691" w14:textId="58300E4B" w:rsidR="00C00079" w:rsidRDefault="00C00079" w:rsidP="00AA394C">
      <w:pPr>
        <w:spacing w:before="0" w:after="0"/>
        <w:ind w:right="281"/>
        <w:rPr>
          <w:rFonts w:cs="Arial"/>
        </w:rPr>
      </w:pPr>
      <w:r w:rsidRPr="00C00079">
        <w:rPr>
          <w:rFonts w:cs="Arial"/>
          <w:b/>
          <w:color w:val="237BBC"/>
        </w:rPr>
        <w:t>TTY:</w:t>
      </w:r>
      <w:r>
        <w:rPr>
          <w:rFonts w:cs="Arial"/>
        </w:rPr>
        <w:t xml:space="preserve"> 1800 620 241</w:t>
      </w:r>
    </w:p>
    <w:p w14:paraId="39B7B88F" w14:textId="2F909F12" w:rsidR="00C00079" w:rsidRDefault="00C00079" w:rsidP="00AA394C">
      <w:pPr>
        <w:spacing w:before="0" w:after="0"/>
        <w:ind w:right="281"/>
        <w:rPr>
          <w:rFonts w:cs="Arial"/>
        </w:rPr>
      </w:pPr>
      <w:r w:rsidRPr="00C00079">
        <w:rPr>
          <w:rFonts w:cs="Arial"/>
          <w:b/>
          <w:color w:val="237BBC"/>
        </w:rPr>
        <w:t>Email:</w:t>
      </w:r>
      <w:r w:rsidRPr="00C00079">
        <w:rPr>
          <w:rFonts w:cs="Arial"/>
          <w:color w:val="237BBC"/>
        </w:rPr>
        <w:t xml:space="preserve"> </w:t>
      </w:r>
      <w:r>
        <w:rPr>
          <w:rFonts w:cs="Arial"/>
        </w:rPr>
        <w:t>employers@humanrights.gov.au</w:t>
      </w:r>
    </w:p>
    <w:p w14:paraId="46A12837" w14:textId="7D4DEFD9" w:rsidR="00C00079" w:rsidRDefault="00C00079" w:rsidP="00AA394C">
      <w:pPr>
        <w:spacing w:before="0" w:after="0"/>
        <w:ind w:right="281"/>
        <w:rPr>
          <w:rFonts w:cs="Arial"/>
        </w:rPr>
      </w:pPr>
      <w:r w:rsidRPr="00C00079">
        <w:rPr>
          <w:rFonts w:cs="Arial"/>
          <w:b/>
          <w:color w:val="237BBC"/>
        </w:rPr>
        <w:t>Website:</w:t>
      </w:r>
      <w:r>
        <w:rPr>
          <w:rFonts w:cs="Arial"/>
        </w:rPr>
        <w:t xml:space="preserve"> www.humanrights.gov.au</w:t>
      </w:r>
    </w:p>
    <w:p w14:paraId="5A334E41" w14:textId="77777777" w:rsidR="00C00079" w:rsidRDefault="00C00079" w:rsidP="00AA394C">
      <w:pPr>
        <w:spacing w:before="0" w:after="0"/>
        <w:ind w:right="281"/>
        <w:rPr>
          <w:rFonts w:cs="Arial"/>
        </w:rPr>
      </w:pPr>
    </w:p>
    <w:p w14:paraId="24C2E2F5" w14:textId="77777777" w:rsidR="00C00079" w:rsidRDefault="00C00079" w:rsidP="00C00079">
      <w:pPr>
        <w:spacing w:before="0" w:after="0"/>
        <w:ind w:right="-569"/>
        <w:rPr>
          <w:sz w:val="22"/>
          <w:szCs w:val="22"/>
        </w:rPr>
      </w:pPr>
    </w:p>
    <w:p w14:paraId="63899543" w14:textId="77777777" w:rsidR="00C00079" w:rsidRDefault="00C00079" w:rsidP="00C00079">
      <w:pPr>
        <w:spacing w:before="0" w:after="0"/>
        <w:ind w:right="-569"/>
        <w:rPr>
          <w:sz w:val="22"/>
          <w:szCs w:val="22"/>
        </w:rPr>
      </w:pPr>
    </w:p>
    <w:p w14:paraId="30301763" w14:textId="77777777" w:rsidR="00C00079" w:rsidRDefault="00C00079" w:rsidP="00C00079">
      <w:pPr>
        <w:spacing w:before="0" w:after="0"/>
        <w:ind w:right="-569"/>
        <w:rPr>
          <w:sz w:val="22"/>
          <w:szCs w:val="22"/>
        </w:rPr>
      </w:pPr>
    </w:p>
    <w:p w14:paraId="3FFE07F5" w14:textId="77777777" w:rsidR="00C00079" w:rsidRDefault="00C00079" w:rsidP="00C00079">
      <w:pPr>
        <w:spacing w:before="0" w:after="0"/>
        <w:ind w:right="-569"/>
        <w:rPr>
          <w:sz w:val="22"/>
          <w:szCs w:val="22"/>
        </w:rPr>
      </w:pPr>
    </w:p>
    <w:p w14:paraId="53080009" w14:textId="77777777" w:rsidR="00C00079" w:rsidRPr="00457219" w:rsidRDefault="00C00079" w:rsidP="00C00079">
      <w:pPr>
        <w:spacing w:before="0" w:after="0"/>
        <w:ind w:right="-569"/>
        <w:rPr>
          <w:sz w:val="22"/>
          <w:szCs w:val="22"/>
        </w:rPr>
      </w:pPr>
      <w:r w:rsidRPr="00457219">
        <w:rPr>
          <w:sz w:val="22"/>
          <w:szCs w:val="22"/>
        </w:rPr>
        <w:t>Disclaimer: The information provided in this information sheet is only intended as a guide. It is not a substitute for legal advice.</w:t>
      </w:r>
    </w:p>
    <w:p w14:paraId="31F748AD" w14:textId="77777777" w:rsidR="00C00079" w:rsidRDefault="00C00079" w:rsidP="00AA394C">
      <w:pPr>
        <w:spacing w:before="0" w:after="0"/>
        <w:ind w:right="281"/>
        <w:rPr>
          <w:rFonts w:cs="Arial"/>
        </w:rPr>
      </w:pPr>
    </w:p>
    <w:p w14:paraId="74F637AD" w14:textId="77777777" w:rsidR="00C00079" w:rsidRDefault="00C00079" w:rsidP="00AA394C">
      <w:pPr>
        <w:spacing w:before="0" w:after="0"/>
        <w:ind w:right="281"/>
        <w:rPr>
          <w:rFonts w:cs="Arial"/>
        </w:rPr>
      </w:pPr>
    </w:p>
    <w:p w14:paraId="3C362450" w14:textId="448CF7B9" w:rsidR="00643007" w:rsidRDefault="00643007" w:rsidP="00AA394C">
      <w:pPr>
        <w:spacing w:before="0" w:after="0"/>
        <w:ind w:right="281"/>
        <w:rPr>
          <w:rFonts w:cs="Arial"/>
        </w:rPr>
      </w:pPr>
    </w:p>
    <w:p w14:paraId="041BD972" w14:textId="6256EEAF" w:rsidR="00643007" w:rsidRDefault="00643007" w:rsidP="00AA394C">
      <w:pPr>
        <w:spacing w:before="0" w:after="0"/>
        <w:ind w:right="281"/>
        <w:rPr>
          <w:rFonts w:cs="Arial"/>
        </w:rPr>
      </w:pPr>
    </w:p>
    <w:p w14:paraId="3B71AFB9" w14:textId="77777777" w:rsidR="00643007" w:rsidRDefault="00643007" w:rsidP="00AA394C">
      <w:pPr>
        <w:spacing w:before="0" w:after="0"/>
        <w:ind w:right="281"/>
        <w:rPr>
          <w:rFonts w:cs="Arial"/>
        </w:rPr>
      </w:pPr>
    </w:p>
    <w:p w14:paraId="0B20C90F" w14:textId="77777777" w:rsidR="00643007" w:rsidRPr="00AA394C" w:rsidRDefault="00643007" w:rsidP="00AA394C">
      <w:pPr>
        <w:spacing w:before="0" w:after="0"/>
        <w:ind w:right="281"/>
        <w:rPr>
          <w:rFonts w:cs="Arial"/>
        </w:rPr>
      </w:pPr>
    </w:p>
    <w:sectPr w:rsidR="00643007" w:rsidRPr="00AA394C" w:rsidSect="00B63D24">
      <w:headerReference w:type="even" r:id="rId13"/>
      <w:headerReference w:type="default" r:id="rId14"/>
      <w:footerReference w:type="default" r:id="rId15"/>
      <w:headerReference w:type="first" r:id="rId16"/>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F8C7F" w14:textId="77777777" w:rsidR="000D298E" w:rsidRDefault="000D298E" w:rsidP="00F14C6D">
      <w:r>
        <w:separator/>
      </w:r>
    </w:p>
  </w:endnote>
  <w:endnote w:type="continuationSeparator" w:id="0">
    <w:p w14:paraId="2ECBBFAA" w14:textId="77777777" w:rsidR="000D298E" w:rsidRDefault="000D298E" w:rsidP="00F14C6D">
      <w:r>
        <w:continuationSeparator/>
      </w:r>
    </w:p>
  </w:endnote>
  <w:endnote w:id="1">
    <w:p w14:paraId="63A8EAA7" w14:textId="38F8AD2A" w:rsidR="009A61F9" w:rsidRDefault="009A61F9" w:rsidP="009A61F9">
      <w:pPr>
        <w:pStyle w:val="EndnoteText"/>
      </w:pPr>
      <w:r>
        <w:rPr>
          <w:rStyle w:val="EndnoteReference"/>
        </w:rPr>
        <w:endnoteRef/>
      </w:r>
      <w:r>
        <w:t xml:space="preserve"> This figure relates to the 2012-13 reporting year. Department of the Prime Minister and Cabinet, Australian Government, </w:t>
      </w:r>
      <w:r w:rsidRPr="007A2B3E">
        <w:rPr>
          <w:i/>
        </w:rPr>
        <w:t>Closing the Gap: Prime Minister’s Report 2015</w:t>
      </w:r>
      <w:r>
        <w:t xml:space="preserve"> (2015) p 13, available at </w:t>
      </w:r>
      <w:hyperlink r:id="rId1" w:anchor="jobs" w:history="1">
        <w:r w:rsidRPr="002B7FE8">
          <w:rPr>
            <w:rStyle w:val="Hyperlink"/>
          </w:rPr>
          <w:t>http://www.dpmc.gov.au/pmc-indigenous-affairs/publication/closing-gap-prime-ministers-report-2015#jobs</w:t>
        </w:r>
      </w:hyperlink>
      <w:r w:rsidR="004C1AC7">
        <w:t xml:space="preserve"> (viewed 29 October</w:t>
      </w:r>
      <w:r>
        <w:t xml:space="preserve">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9F51A" w14:textId="77777777" w:rsidR="000D298E" w:rsidRPr="0090165F" w:rsidRDefault="000D298E"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938FB" w14:textId="77777777" w:rsidR="000D298E" w:rsidRPr="0090165F" w:rsidRDefault="000D298E"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AF68C9">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142C6" w14:textId="77777777" w:rsidR="000D298E" w:rsidRDefault="000D298E" w:rsidP="00F14C6D">
      <w:r>
        <w:separator/>
      </w:r>
    </w:p>
  </w:footnote>
  <w:footnote w:type="continuationSeparator" w:id="0">
    <w:p w14:paraId="1431C6DC" w14:textId="77777777" w:rsidR="000D298E" w:rsidRDefault="000D298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F8019" w14:textId="77777777" w:rsidR="000D298E" w:rsidRDefault="00AF68C9">
    <w:pPr>
      <w:pStyle w:val="Header"/>
    </w:pPr>
    <w:r>
      <w:rPr>
        <w:noProof/>
      </w:rPr>
      <w:pict w14:anchorId="74B87F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A1C49" w14:textId="77777777" w:rsidR="000D298E" w:rsidRPr="00D27262" w:rsidRDefault="00AF68C9" w:rsidP="002B1B65">
    <w:pPr>
      <w:spacing w:before="0" w:after="0"/>
      <w:jc w:val="right"/>
      <w:rPr>
        <w:sz w:val="22"/>
        <w:szCs w:val="22"/>
      </w:rPr>
    </w:pPr>
    <w:r>
      <w:rPr>
        <w:noProof/>
        <w:sz w:val="22"/>
        <w:szCs w:val="22"/>
      </w:rPr>
      <w:pict w14:anchorId="64FD5C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0D298E" w:rsidRPr="00D27262">
      <w:rPr>
        <w:sz w:val="22"/>
        <w:szCs w:val="22"/>
      </w:rPr>
      <w:t>Au</w:t>
    </w:r>
    <w:r w:rsidR="000D298E">
      <w:rPr>
        <w:sz w:val="22"/>
        <w:szCs w:val="22"/>
      </w:rPr>
      <w:t>stralian Human Rights Commission</w:t>
    </w:r>
  </w:p>
  <w:p w14:paraId="404BECC5" w14:textId="77777777" w:rsidR="000D298E" w:rsidRDefault="000D298E"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0D298E" w:rsidRPr="00B85DD4" w14:paraId="1D2862F8" w14:textId="77777777" w:rsidTr="00165E3C">
      <w:trPr>
        <w:trHeight w:val="1276"/>
      </w:trPr>
      <w:tc>
        <w:tcPr>
          <w:tcW w:w="1508" w:type="dxa"/>
        </w:tcPr>
        <w:p w14:paraId="778BC493" w14:textId="77777777" w:rsidR="000D298E" w:rsidRPr="00B85DD4" w:rsidRDefault="000D298E" w:rsidP="00B520BC">
          <w:pPr>
            <w:pStyle w:val="Header"/>
            <w:tabs>
              <w:tab w:val="left" w:pos="4686"/>
              <w:tab w:val="left" w:pos="7088"/>
              <w:tab w:val="left" w:pos="7242"/>
            </w:tabs>
            <w:ind w:left="-108"/>
            <w:rPr>
              <w:rFonts w:cs="ArialMT"/>
              <w:b/>
              <w:spacing w:val="-20"/>
            </w:rPr>
          </w:pPr>
        </w:p>
      </w:tc>
      <w:tc>
        <w:tcPr>
          <w:tcW w:w="2688" w:type="dxa"/>
          <w:vAlign w:val="center"/>
        </w:tcPr>
        <w:p w14:paraId="48012427" w14:textId="77777777" w:rsidR="000D298E" w:rsidRPr="00B85DD4" w:rsidRDefault="000D298E" w:rsidP="002B1B65">
          <w:pPr>
            <w:spacing w:before="0" w:after="0"/>
            <w:rPr>
              <w:rFonts w:cs="ArialMT"/>
              <w:i/>
              <w:color w:val="808080"/>
              <w:sz w:val="17"/>
            </w:rPr>
          </w:pPr>
        </w:p>
      </w:tc>
      <w:tc>
        <w:tcPr>
          <w:tcW w:w="2302" w:type="dxa"/>
        </w:tcPr>
        <w:p w14:paraId="6ED4C39B" w14:textId="77777777" w:rsidR="000D298E" w:rsidRPr="00B85DD4" w:rsidRDefault="000D298E" w:rsidP="00B520BC">
          <w:pPr>
            <w:pStyle w:val="HeaderFooter"/>
            <w:rPr>
              <w:b/>
              <w:spacing w:val="-20"/>
              <w:sz w:val="40"/>
            </w:rPr>
          </w:pPr>
        </w:p>
      </w:tc>
      <w:tc>
        <w:tcPr>
          <w:tcW w:w="2130" w:type="dxa"/>
        </w:tcPr>
        <w:p w14:paraId="73611089" w14:textId="77777777" w:rsidR="000D298E" w:rsidRPr="00B85DD4" w:rsidRDefault="000D298E" w:rsidP="00B520BC">
          <w:pPr>
            <w:pStyle w:val="HeaderFooter"/>
            <w:rPr>
              <w:b/>
              <w:spacing w:val="-20"/>
              <w:sz w:val="40"/>
            </w:rPr>
          </w:pPr>
        </w:p>
      </w:tc>
      <w:tc>
        <w:tcPr>
          <w:tcW w:w="1721" w:type="dxa"/>
        </w:tcPr>
        <w:p w14:paraId="6DC44217" w14:textId="77777777" w:rsidR="000D298E" w:rsidRPr="00B85DD4" w:rsidRDefault="000D298E" w:rsidP="00B520BC">
          <w:pPr>
            <w:pStyle w:val="HeaderFooter"/>
            <w:spacing w:before="227" w:after="340"/>
            <w:rPr>
              <w:b/>
              <w:spacing w:val="-20"/>
              <w:sz w:val="40"/>
            </w:rPr>
          </w:pPr>
        </w:p>
      </w:tc>
    </w:tr>
  </w:tbl>
  <w:p w14:paraId="31698C40" w14:textId="77777777" w:rsidR="000D298E" w:rsidRDefault="00AF68C9">
    <w:pPr>
      <w:pStyle w:val="Header"/>
    </w:pPr>
    <w:r>
      <w:rPr>
        <w:rFonts w:cs="ArialMT"/>
        <w:b/>
        <w:noProof/>
        <w:spacing w:val="-20"/>
      </w:rPr>
      <w:pict w14:anchorId="66CBD3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5" type="#_x0000_t75" style="position:absolute;margin-left:-71.05pt;margin-top:-116pt;width:595.65pt;height:870.15pt;z-index:-251661312;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26254" w14:textId="77777777" w:rsidR="000D298E" w:rsidRDefault="00AF68C9">
    <w:pPr>
      <w:pStyle w:val="Header"/>
    </w:pPr>
    <w:r>
      <w:rPr>
        <w:noProof/>
      </w:rPr>
      <w:pict w14:anchorId="34787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2DCBC" w14:textId="77777777" w:rsidR="000D298E" w:rsidRPr="00D27262" w:rsidRDefault="000D298E" w:rsidP="00B34946">
    <w:pPr>
      <w:spacing w:before="0" w:after="60"/>
      <w:jc w:val="right"/>
      <w:rPr>
        <w:sz w:val="22"/>
        <w:szCs w:val="22"/>
      </w:rPr>
    </w:pPr>
    <w:r w:rsidRPr="00D27262">
      <w:rPr>
        <w:sz w:val="22"/>
        <w:szCs w:val="22"/>
      </w:rPr>
      <w:t>Au</w:t>
    </w:r>
    <w:r>
      <w:rPr>
        <w:sz w:val="22"/>
        <w:szCs w:val="22"/>
      </w:rPr>
      <w:t>stralian Human Rights Commission</w:t>
    </w:r>
  </w:p>
  <w:p w14:paraId="754B0158" w14:textId="4BF12104" w:rsidR="000D298E" w:rsidRPr="001E5676" w:rsidRDefault="00B93A5E" w:rsidP="002F4CE1">
    <w:pPr>
      <w:pStyle w:val="Footer"/>
      <w:spacing w:after="240"/>
      <w:jc w:val="right"/>
      <w:rPr>
        <w:i/>
        <w:sz w:val="18"/>
        <w:szCs w:val="18"/>
      </w:rPr>
    </w:pPr>
    <w:r>
      <w:rPr>
        <w:b/>
        <w:i/>
        <w:sz w:val="18"/>
        <w:szCs w:val="18"/>
      </w:rPr>
      <w:t>October</w:t>
    </w:r>
    <w:r w:rsidR="000D298E">
      <w:rPr>
        <w:b/>
        <w:i/>
        <w:sz w:val="18"/>
        <w:szCs w:val="18"/>
      </w:rPr>
      <w:t xml:space="preserve"> 2015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0D298E" w:rsidRPr="00B85DD4" w14:paraId="28E5B80E" w14:textId="77777777" w:rsidTr="002B1B65">
      <w:trPr>
        <w:trHeight w:val="1603"/>
      </w:trPr>
      <w:tc>
        <w:tcPr>
          <w:tcW w:w="1508" w:type="dxa"/>
        </w:tcPr>
        <w:p w14:paraId="5E39E479" w14:textId="77777777" w:rsidR="000D298E" w:rsidRPr="00B85DD4" w:rsidRDefault="000D298E" w:rsidP="00B520BC">
          <w:pPr>
            <w:pStyle w:val="Header"/>
            <w:tabs>
              <w:tab w:val="left" w:pos="4686"/>
              <w:tab w:val="left" w:pos="7088"/>
              <w:tab w:val="left" w:pos="7242"/>
            </w:tabs>
            <w:ind w:left="-108"/>
            <w:rPr>
              <w:rFonts w:cs="ArialMT"/>
              <w:b/>
              <w:spacing w:val="-20"/>
            </w:rPr>
          </w:pPr>
          <w:r>
            <w:rPr>
              <w:rFonts w:cs="ArialMT"/>
              <w:b/>
              <w:noProof/>
              <w:spacing w:val="-20"/>
            </w:rPr>
            <w:drawing>
              <wp:inline distT="0" distB="0" distL="0" distR="0" wp14:anchorId="0B771C72" wp14:editId="738B090B">
                <wp:extent cx="819150" cy="819150"/>
                <wp:effectExtent l="0" t="0" r="0" b="0"/>
                <wp:docPr id="3" name="Picture 3"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6DFEE05A" w14:textId="77777777" w:rsidR="000D298E" w:rsidRPr="00D36BB2" w:rsidRDefault="000D298E" w:rsidP="002B1B65">
          <w:pPr>
            <w:pStyle w:val="LogoType"/>
            <w:pBdr>
              <w:bottom w:val="single" w:sz="4" w:space="1" w:color="808080"/>
            </w:pBdr>
            <w:spacing w:line="240" w:lineRule="auto"/>
          </w:pPr>
          <w:r w:rsidRPr="00D36BB2">
            <w:t>Australian</w:t>
          </w:r>
        </w:p>
        <w:p w14:paraId="65F1DA33" w14:textId="77777777" w:rsidR="000D298E" w:rsidRPr="00D36BB2" w:rsidRDefault="000D298E" w:rsidP="002B1B65">
          <w:pPr>
            <w:pStyle w:val="LogoType"/>
            <w:pBdr>
              <w:bottom w:val="single" w:sz="4" w:space="1" w:color="808080"/>
            </w:pBdr>
            <w:spacing w:line="240" w:lineRule="auto"/>
          </w:pPr>
          <w:r w:rsidRPr="00D36BB2">
            <w:t>Human Rights</w:t>
          </w:r>
        </w:p>
        <w:p w14:paraId="0A4CB9F6" w14:textId="77777777" w:rsidR="000D298E" w:rsidRPr="00D36BB2" w:rsidRDefault="000D298E" w:rsidP="002B1B65">
          <w:pPr>
            <w:pStyle w:val="LogoType"/>
            <w:pBdr>
              <w:bottom w:val="single" w:sz="4" w:space="1" w:color="808080"/>
            </w:pBdr>
            <w:spacing w:line="240" w:lineRule="auto"/>
          </w:pPr>
          <w:r w:rsidRPr="00D36BB2">
            <w:t>Commission</w:t>
          </w:r>
        </w:p>
        <w:p w14:paraId="3C86C744" w14:textId="77777777" w:rsidR="000D298E" w:rsidRPr="00B85DD4" w:rsidRDefault="000D298E"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19975EB0" w14:textId="77777777" w:rsidR="000D298E" w:rsidRPr="00B85DD4" w:rsidRDefault="000D298E" w:rsidP="00B520BC">
          <w:pPr>
            <w:pStyle w:val="HeaderFooter"/>
            <w:rPr>
              <w:b/>
              <w:spacing w:val="-20"/>
              <w:sz w:val="40"/>
            </w:rPr>
          </w:pPr>
        </w:p>
      </w:tc>
      <w:tc>
        <w:tcPr>
          <w:tcW w:w="2130" w:type="dxa"/>
        </w:tcPr>
        <w:p w14:paraId="5F183763" w14:textId="77777777" w:rsidR="000D298E" w:rsidRPr="00B85DD4" w:rsidRDefault="000D298E" w:rsidP="00B520BC">
          <w:pPr>
            <w:pStyle w:val="HeaderFooter"/>
            <w:rPr>
              <w:b/>
              <w:spacing w:val="-20"/>
              <w:sz w:val="40"/>
            </w:rPr>
          </w:pPr>
        </w:p>
      </w:tc>
      <w:tc>
        <w:tcPr>
          <w:tcW w:w="1721" w:type="dxa"/>
        </w:tcPr>
        <w:p w14:paraId="3F11CCAC" w14:textId="77777777" w:rsidR="000D298E" w:rsidRPr="00B85DD4" w:rsidRDefault="000D298E" w:rsidP="00B520BC">
          <w:pPr>
            <w:pStyle w:val="HeaderFooter"/>
            <w:spacing w:before="227" w:after="340"/>
            <w:rPr>
              <w:b/>
              <w:spacing w:val="-20"/>
              <w:sz w:val="40"/>
            </w:rPr>
          </w:pPr>
        </w:p>
      </w:tc>
    </w:tr>
  </w:tbl>
  <w:p w14:paraId="0FD2B533" w14:textId="77777777" w:rsidR="000D298E" w:rsidRDefault="00AF68C9">
    <w:pPr>
      <w:pStyle w:val="Header"/>
    </w:pPr>
    <w:r>
      <w:rPr>
        <w:rFonts w:cs="ArialMT"/>
        <w:b/>
        <w:noProof/>
        <w:spacing w:val="-20"/>
      </w:rPr>
      <w:pict w14:anchorId="37E6DD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4" type="#_x0000_t75" style="position:absolute;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0A745A4"/>
    <w:multiLevelType w:val="hybridMultilevel"/>
    <w:tmpl w:val="AF0E4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5"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5FCA127F"/>
    <w:multiLevelType w:val="hybridMultilevel"/>
    <w:tmpl w:val="260E67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5"/>
  </w:num>
  <w:num w:numId="13">
    <w:abstractNumId w:val="13"/>
  </w:num>
  <w:num w:numId="14">
    <w:abstractNumId w:val="11"/>
  </w:num>
  <w:num w:numId="15">
    <w:abstractNumId w:val="10"/>
  </w:num>
  <w:num w:numId="16">
    <w:abstractNumId w:val="12"/>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233"/>
    <w:rsid w:val="00000D83"/>
    <w:rsid w:val="00001F0F"/>
    <w:rsid w:val="000025AD"/>
    <w:rsid w:val="00003540"/>
    <w:rsid w:val="000040BE"/>
    <w:rsid w:val="00005C0D"/>
    <w:rsid w:val="00005C17"/>
    <w:rsid w:val="0001325A"/>
    <w:rsid w:val="00013955"/>
    <w:rsid w:val="00014AF5"/>
    <w:rsid w:val="00014DC1"/>
    <w:rsid w:val="00016BD8"/>
    <w:rsid w:val="00017376"/>
    <w:rsid w:val="0002106F"/>
    <w:rsid w:val="00021AA7"/>
    <w:rsid w:val="00022104"/>
    <w:rsid w:val="00023708"/>
    <w:rsid w:val="00023841"/>
    <w:rsid w:val="00023DF9"/>
    <w:rsid w:val="000242DC"/>
    <w:rsid w:val="00025081"/>
    <w:rsid w:val="00025AE0"/>
    <w:rsid w:val="00025FCB"/>
    <w:rsid w:val="00026CAF"/>
    <w:rsid w:val="00027E32"/>
    <w:rsid w:val="00034258"/>
    <w:rsid w:val="000343B0"/>
    <w:rsid w:val="00034F40"/>
    <w:rsid w:val="00035108"/>
    <w:rsid w:val="00037CE9"/>
    <w:rsid w:val="000424A3"/>
    <w:rsid w:val="000453B3"/>
    <w:rsid w:val="00045975"/>
    <w:rsid w:val="0004753B"/>
    <w:rsid w:val="00056DC7"/>
    <w:rsid w:val="00057725"/>
    <w:rsid w:val="000579B1"/>
    <w:rsid w:val="000616CD"/>
    <w:rsid w:val="000634CD"/>
    <w:rsid w:val="00064C5D"/>
    <w:rsid w:val="000658FF"/>
    <w:rsid w:val="00074911"/>
    <w:rsid w:val="00074BBB"/>
    <w:rsid w:val="000750FB"/>
    <w:rsid w:val="00075A7C"/>
    <w:rsid w:val="0008134F"/>
    <w:rsid w:val="00084FEE"/>
    <w:rsid w:val="0008614B"/>
    <w:rsid w:val="000958AB"/>
    <w:rsid w:val="000A1DB8"/>
    <w:rsid w:val="000A48AC"/>
    <w:rsid w:val="000A5861"/>
    <w:rsid w:val="000A6167"/>
    <w:rsid w:val="000A6948"/>
    <w:rsid w:val="000B0A5D"/>
    <w:rsid w:val="000B2BCF"/>
    <w:rsid w:val="000B3E54"/>
    <w:rsid w:val="000B608B"/>
    <w:rsid w:val="000C08FB"/>
    <w:rsid w:val="000C7AAB"/>
    <w:rsid w:val="000C7EF5"/>
    <w:rsid w:val="000D298E"/>
    <w:rsid w:val="000D3104"/>
    <w:rsid w:val="000D6933"/>
    <w:rsid w:val="000D6C8E"/>
    <w:rsid w:val="000E030A"/>
    <w:rsid w:val="000E130A"/>
    <w:rsid w:val="000E3F7C"/>
    <w:rsid w:val="000E59EE"/>
    <w:rsid w:val="000E6925"/>
    <w:rsid w:val="000F0138"/>
    <w:rsid w:val="000F3930"/>
    <w:rsid w:val="000F5490"/>
    <w:rsid w:val="000F5D20"/>
    <w:rsid w:val="000F6735"/>
    <w:rsid w:val="000F686B"/>
    <w:rsid w:val="000F6C3D"/>
    <w:rsid w:val="00104B52"/>
    <w:rsid w:val="00107043"/>
    <w:rsid w:val="00110147"/>
    <w:rsid w:val="00112F68"/>
    <w:rsid w:val="00114B4E"/>
    <w:rsid w:val="00120267"/>
    <w:rsid w:val="001212E8"/>
    <w:rsid w:val="00121FDD"/>
    <w:rsid w:val="00122791"/>
    <w:rsid w:val="0012597F"/>
    <w:rsid w:val="00126534"/>
    <w:rsid w:val="00127594"/>
    <w:rsid w:val="00130A16"/>
    <w:rsid w:val="00133ADC"/>
    <w:rsid w:val="00134774"/>
    <w:rsid w:val="001350F0"/>
    <w:rsid w:val="00137F57"/>
    <w:rsid w:val="00140274"/>
    <w:rsid w:val="00142C54"/>
    <w:rsid w:val="00144B98"/>
    <w:rsid w:val="00147861"/>
    <w:rsid w:val="00150519"/>
    <w:rsid w:val="00151263"/>
    <w:rsid w:val="001513D0"/>
    <w:rsid w:val="00152CA9"/>
    <w:rsid w:val="0015393D"/>
    <w:rsid w:val="00153F19"/>
    <w:rsid w:val="0015512A"/>
    <w:rsid w:val="00155880"/>
    <w:rsid w:val="00161F9E"/>
    <w:rsid w:val="00162A8D"/>
    <w:rsid w:val="0016322F"/>
    <w:rsid w:val="00165AA3"/>
    <w:rsid w:val="00165E3C"/>
    <w:rsid w:val="001664D6"/>
    <w:rsid w:val="001715D5"/>
    <w:rsid w:val="0017225D"/>
    <w:rsid w:val="00172760"/>
    <w:rsid w:val="00172AF7"/>
    <w:rsid w:val="00173FB5"/>
    <w:rsid w:val="00174288"/>
    <w:rsid w:val="001776E3"/>
    <w:rsid w:val="00181CAA"/>
    <w:rsid w:val="001825DE"/>
    <w:rsid w:val="001838D8"/>
    <w:rsid w:val="00183EED"/>
    <w:rsid w:val="00184659"/>
    <w:rsid w:val="00187EA3"/>
    <w:rsid w:val="00191C9E"/>
    <w:rsid w:val="00192ED1"/>
    <w:rsid w:val="0019393A"/>
    <w:rsid w:val="001941A4"/>
    <w:rsid w:val="00194579"/>
    <w:rsid w:val="00195562"/>
    <w:rsid w:val="00196300"/>
    <w:rsid w:val="001A0D7B"/>
    <w:rsid w:val="001A26C4"/>
    <w:rsid w:val="001A3172"/>
    <w:rsid w:val="001A34E7"/>
    <w:rsid w:val="001A356E"/>
    <w:rsid w:val="001A4ECE"/>
    <w:rsid w:val="001A559D"/>
    <w:rsid w:val="001A5867"/>
    <w:rsid w:val="001A6E02"/>
    <w:rsid w:val="001B0353"/>
    <w:rsid w:val="001B40BE"/>
    <w:rsid w:val="001B4D9E"/>
    <w:rsid w:val="001C003B"/>
    <w:rsid w:val="001C0FD7"/>
    <w:rsid w:val="001C1251"/>
    <w:rsid w:val="001C1269"/>
    <w:rsid w:val="001C1F8B"/>
    <w:rsid w:val="001C71D1"/>
    <w:rsid w:val="001C7A17"/>
    <w:rsid w:val="001D018D"/>
    <w:rsid w:val="001D4C9E"/>
    <w:rsid w:val="001D5EB4"/>
    <w:rsid w:val="001D65F4"/>
    <w:rsid w:val="001E03DC"/>
    <w:rsid w:val="001E24E4"/>
    <w:rsid w:val="001E2FE8"/>
    <w:rsid w:val="001E303B"/>
    <w:rsid w:val="001E3972"/>
    <w:rsid w:val="001E5676"/>
    <w:rsid w:val="001E56EF"/>
    <w:rsid w:val="001F12E7"/>
    <w:rsid w:val="001F2BBB"/>
    <w:rsid w:val="001F6710"/>
    <w:rsid w:val="001F6BAE"/>
    <w:rsid w:val="00200677"/>
    <w:rsid w:val="002009F7"/>
    <w:rsid w:val="00205D95"/>
    <w:rsid w:val="00205FDD"/>
    <w:rsid w:val="00211246"/>
    <w:rsid w:val="002159FE"/>
    <w:rsid w:val="00217423"/>
    <w:rsid w:val="00217A53"/>
    <w:rsid w:val="00217D7E"/>
    <w:rsid w:val="002201EB"/>
    <w:rsid w:val="002218D0"/>
    <w:rsid w:val="002258F1"/>
    <w:rsid w:val="00230100"/>
    <w:rsid w:val="002313C3"/>
    <w:rsid w:val="00231ED1"/>
    <w:rsid w:val="00240369"/>
    <w:rsid w:val="0024041D"/>
    <w:rsid w:val="00242624"/>
    <w:rsid w:val="00243165"/>
    <w:rsid w:val="002453C3"/>
    <w:rsid w:val="0024557E"/>
    <w:rsid w:val="00250164"/>
    <w:rsid w:val="00255353"/>
    <w:rsid w:val="0025572F"/>
    <w:rsid w:val="00256C93"/>
    <w:rsid w:val="00256E5A"/>
    <w:rsid w:val="002571E4"/>
    <w:rsid w:val="00260079"/>
    <w:rsid w:val="00260675"/>
    <w:rsid w:val="002626B7"/>
    <w:rsid w:val="00264AAC"/>
    <w:rsid w:val="0026581D"/>
    <w:rsid w:val="00267C38"/>
    <w:rsid w:val="0027018D"/>
    <w:rsid w:val="002779C8"/>
    <w:rsid w:val="00283B68"/>
    <w:rsid w:val="00284ECD"/>
    <w:rsid w:val="002863D7"/>
    <w:rsid w:val="00287064"/>
    <w:rsid w:val="002873B4"/>
    <w:rsid w:val="0029243F"/>
    <w:rsid w:val="00294106"/>
    <w:rsid w:val="00297B64"/>
    <w:rsid w:val="002A211E"/>
    <w:rsid w:val="002A4A44"/>
    <w:rsid w:val="002A53F3"/>
    <w:rsid w:val="002A6747"/>
    <w:rsid w:val="002A7D07"/>
    <w:rsid w:val="002B00DF"/>
    <w:rsid w:val="002B1B65"/>
    <w:rsid w:val="002B4F16"/>
    <w:rsid w:val="002B5698"/>
    <w:rsid w:val="002C0519"/>
    <w:rsid w:val="002C1866"/>
    <w:rsid w:val="002C3185"/>
    <w:rsid w:val="002C4D46"/>
    <w:rsid w:val="002C679A"/>
    <w:rsid w:val="002D1015"/>
    <w:rsid w:val="002D1794"/>
    <w:rsid w:val="002D3FD0"/>
    <w:rsid w:val="002D5A82"/>
    <w:rsid w:val="002E1BBC"/>
    <w:rsid w:val="002E276D"/>
    <w:rsid w:val="002E2800"/>
    <w:rsid w:val="002E4877"/>
    <w:rsid w:val="002E5672"/>
    <w:rsid w:val="002E6244"/>
    <w:rsid w:val="002F2F6D"/>
    <w:rsid w:val="002F3E1F"/>
    <w:rsid w:val="002F4CE1"/>
    <w:rsid w:val="002F56DE"/>
    <w:rsid w:val="002F74AD"/>
    <w:rsid w:val="00300F22"/>
    <w:rsid w:val="00302AF9"/>
    <w:rsid w:val="00302C05"/>
    <w:rsid w:val="00304A37"/>
    <w:rsid w:val="00304CAC"/>
    <w:rsid w:val="00305B73"/>
    <w:rsid w:val="00305F57"/>
    <w:rsid w:val="003077A5"/>
    <w:rsid w:val="00310AC5"/>
    <w:rsid w:val="00310ED4"/>
    <w:rsid w:val="00312301"/>
    <w:rsid w:val="00312F1D"/>
    <w:rsid w:val="003130B3"/>
    <w:rsid w:val="0031492A"/>
    <w:rsid w:val="00316C1A"/>
    <w:rsid w:val="00316FB4"/>
    <w:rsid w:val="003174F3"/>
    <w:rsid w:val="00320CDE"/>
    <w:rsid w:val="00323C73"/>
    <w:rsid w:val="00325D9D"/>
    <w:rsid w:val="00331141"/>
    <w:rsid w:val="0033232A"/>
    <w:rsid w:val="00333ABE"/>
    <w:rsid w:val="00335A0C"/>
    <w:rsid w:val="00337E95"/>
    <w:rsid w:val="00343355"/>
    <w:rsid w:val="003433E0"/>
    <w:rsid w:val="00343618"/>
    <w:rsid w:val="00343D4E"/>
    <w:rsid w:val="00344758"/>
    <w:rsid w:val="00347142"/>
    <w:rsid w:val="00350454"/>
    <w:rsid w:val="00350B4C"/>
    <w:rsid w:val="00353FF4"/>
    <w:rsid w:val="003546B6"/>
    <w:rsid w:val="00356501"/>
    <w:rsid w:val="003565A8"/>
    <w:rsid w:val="00356648"/>
    <w:rsid w:val="003566EA"/>
    <w:rsid w:val="0035711A"/>
    <w:rsid w:val="00357473"/>
    <w:rsid w:val="0036066E"/>
    <w:rsid w:val="00361A61"/>
    <w:rsid w:val="00362ECD"/>
    <w:rsid w:val="003642DF"/>
    <w:rsid w:val="00365054"/>
    <w:rsid w:val="0036600E"/>
    <w:rsid w:val="003704A9"/>
    <w:rsid w:val="00370548"/>
    <w:rsid w:val="00372BA7"/>
    <w:rsid w:val="00372C79"/>
    <w:rsid w:val="00374710"/>
    <w:rsid w:val="00376E81"/>
    <w:rsid w:val="00377749"/>
    <w:rsid w:val="003830BD"/>
    <w:rsid w:val="00383137"/>
    <w:rsid w:val="0038794A"/>
    <w:rsid w:val="00387A53"/>
    <w:rsid w:val="00390304"/>
    <w:rsid w:val="00392042"/>
    <w:rsid w:val="00392F7D"/>
    <w:rsid w:val="003958D3"/>
    <w:rsid w:val="003964BC"/>
    <w:rsid w:val="00396BD6"/>
    <w:rsid w:val="00396DFB"/>
    <w:rsid w:val="0039781D"/>
    <w:rsid w:val="003B157B"/>
    <w:rsid w:val="003B21FF"/>
    <w:rsid w:val="003B22BD"/>
    <w:rsid w:val="003B2843"/>
    <w:rsid w:val="003B5AB8"/>
    <w:rsid w:val="003B5AB9"/>
    <w:rsid w:val="003C176D"/>
    <w:rsid w:val="003C5B50"/>
    <w:rsid w:val="003D033B"/>
    <w:rsid w:val="003D25D7"/>
    <w:rsid w:val="003D6E39"/>
    <w:rsid w:val="003D7F08"/>
    <w:rsid w:val="003E22E2"/>
    <w:rsid w:val="003E3294"/>
    <w:rsid w:val="003E4EE2"/>
    <w:rsid w:val="003F5090"/>
    <w:rsid w:val="004012D9"/>
    <w:rsid w:val="00404097"/>
    <w:rsid w:val="00406B1D"/>
    <w:rsid w:val="0041148F"/>
    <w:rsid w:val="00415B97"/>
    <w:rsid w:val="004167D7"/>
    <w:rsid w:val="0042096A"/>
    <w:rsid w:val="00422417"/>
    <w:rsid w:val="0042421D"/>
    <w:rsid w:val="00424233"/>
    <w:rsid w:val="004249C2"/>
    <w:rsid w:val="00425E77"/>
    <w:rsid w:val="00427390"/>
    <w:rsid w:val="00430499"/>
    <w:rsid w:val="004324ED"/>
    <w:rsid w:val="00433301"/>
    <w:rsid w:val="00435735"/>
    <w:rsid w:val="0043626D"/>
    <w:rsid w:val="004367AE"/>
    <w:rsid w:val="004372AC"/>
    <w:rsid w:val="00441676"/>
    <w:rsid w:val="00446509"/>
    <w:rsid w:val="0044780C"/>
    <w:rsid w:val="004509DC"/>
    <w:rsid w:val="00455E96"/>
    <w:rsid w:val="00457ACB"/>
    <w:rsid w:val="00457B2A"/>
    <w:rsid w:val="00464FE2"/>
    <w:rsid w:val="0047106A"/>
    <w:rsid w:val="004712FB"/>
    <w:rsid w:val="00471747"/>
    <w:rsid w:val="00472EFF"/>
    <w:rsid w:val="00474063"/>
    <w:rsid w:val="00475D94"/>
    <w:rsid w:val="00476757"/>
    <w:rsid w:val="00476793"/>
    <w:rsid w:val="00482434"/>
    <w:rsid w:val="004849F1"/>
    <w:rsid w:val="004869C5"/>
    <w:rsid w:val="00491495"/>
    <w:rsid w:val="00491B83"/>
    <w:rsid w:val="00491EB3"/>
    <w:rsid w:val="00494083"/>
    <w:rsid w:val="00497C67"/>
    <w:rsid w:val="004A0FC2"/>
    <w:rsid w:val="004A187B"/>
    <w:rsid w:val="004A2D3C"/>
    <w:rsid w:val="004A55BF"/>
    <w:rsid w:val="004A788B"/>
    <w:rsid w:val="004B4484"/>
    <w:rsid w:val="004C1AC7"/>
    <w:rsid w:val="004C2A02"/>
    <w:rsid w:val="004C7412"/>
    <w:rsid w:val="004D04BF"/>
    <w:rsid w:val="004D5048"/>
    <w:rsid w:val="004D61D2"/>
    <w:rsid w:val="004D69BC"/>
    <w:rsid w:val="004E0DFF"/>
    <w:rsid w:val="004E3E8A"/>
    <w:rsid w:val="004E4455"/>
    <w:rsid w:val="004E5C18"/>
    <w:rsid w:val="004E6A4E"/>
    <w:rsid w:val="004E6AB1"/>
    <w:rsid w:val="004F104B"/>
    <w:rsid w:val="004F1AD0"/>
    <w:rsid w:val="004F1C7C"/>
    <w:rsid w:val="004F50D8"/>
    <w:rsid w:val="004F5304"/>
    <w:rsid w:val="004F681A"/>
    <w:rsid w:val="004F69AD"/>
    <w:rsid w:val="00501203"/>
    <w:rsid w:val="005031AC"/>
    <w:rsid w:val="005038CB"/>
    <w:rsid w:val="00504EA0"/>
    <w:rsid w:val="00510EF9"/>
    <w:rsid w:val="005123F0"/>
    <w:rsid w:val="00513540"/>
    <w:rsid w:val="00513941"/>
    <w:rsid w:val="00514132"/>
    <w:rsid w:val="00516019"/>
    <w:rsid w:val="00516645"/>
    <w:rsid w:val="0052188A"/>
    <w:rsid w:val="00522FFA"/>
    <w:rsid w:val="00523940"/>
    <w:rsid w:val="00523A1B"/>
    <w:rsid w:val="0053051D"/>
    <w:rsid w:val="005344CD"/>
    <w:rsid w:val="00537959"/>
    <w:rsid w:val="0054234F"/>
    <w:rsid w:val="00545097"/>
    <w:rsid w:val="00552D58"/>
    <w:rsid w:val="00553C61"/>
    <w:rsid w:val="00556C48"/>
    <w:rsid w:val="005616A7"/>
    <w:rsid w:val="005619B0"/>
    <w:rsid w:val="00563343"/>
    <w:rsid w:val="00564208"/>
    <w:rsid w:val="00564F5A"/>
    <w:rsid w:val="00566836"/>
    <w:rsid w:val="00570257"/>
    <w:rsid w:val="005715A6"/>
    <w:rsid w:val="00571CEB"/>
    <w:rsid w:val="00575421"/>
    <w:rsid w:val="00577D4F"/>
    <w:rsid w:val="0058283B"/>
    <w:rsid w:val="005851DF"/>
    <w:rsid w:val="005872C5"/>
    <w:rsid w:val="005918F9"/>
    <w:rsid w:val="00591951"/>
    <w:rsid w:val="0059494E"/>
    <w:rsid w:val="00594C52"/>
    <w:rsid w:val="005950DA"/>
    <w:rsid w:val="00595DBA"/>
    <w:rsid w:val="005960F7"/>
    <w:rsid w:val="00597087"/>
    <w:rsid w:val="00597505"/>
    <w:rsid w:val="00597C1D"/>
    <w:rsid w:val="005A1368"/>
    <w:rsid w:val="005A2B35"/>
    <w:rsid w:val="005A4C47"/>
    <w:rsid w:val="005A6AFA"/>
    <w:rsid w:val="005B0FD1"/>
    <w:rsid w:val="005B48CB"/>
    <w:rsid w:val="005B4EA0"/>
    <w:rsid w:val="005C0B82"/>
    <w:rsid w:val="005C1B70"/>
    <w:rsid w:val="005C1CDE"/>
    <w:rsid w:val="005C228D"/>
    <w:rsid w:val="005C5D41"/>
    <w:rsid w:val="005C6727"/>
    <w:rsid w:val="005C67C0"/>
    <w:rsid w:val="005C67F6"/>
    <w:rsid w:val="005C78FC"/>
    <w:rsid w:val="005C7A9A"/>
    <w:rsid w:val="005D0272"/>
    <w:rsid w:val="005D06DE"/>
    <w:rsid w:val="005D11E9"/>
    <w:rsid w:val="005D1BC7"/>
    <w:rsid w:val="005D1F34"/>
    <w:rsid w:val="005D2149"/>
    <w:rsid w:val="005D383D"/>
    <w:rsid w:val="005D4EF7"/>
    <w:rsid w:val="005D7D94"/>
    <w:rsid w:val="005E3EAC"/>
    <w:rsid w:val="005E531E"/>
    <w:rsid w:val="005E620D"/>
    <w:rsid w:val="005E6B7D"/>
    <w:rsid w:val="005F1A56"/>
    <w:rsid w:val="005F4B30"/>
    <w:rsid w:val="00600D04"/>
    <w:rsid w:val="00603E44"/>
    <w:rsid w:val="0060581F"/>
    <w:rsid w:val="006066C1"/>
    <w:rsid w:val="006110A0"/>
    <w:rsid w:val="0061499F"/>
    <w:rsid w:val="00615DBC"/>
    <w:rsid w:val="006228C5"/>
    <w:rsid w:val="00625321"/>
    <w:rsid w:val="006379E0"/>
    <w:rsid w:val="00637F6C"/>
    <w:rsid w:val="00642CF0"/>
    <w:rsid w:val="00643007"/>
    <w:rsid w:val="00644424"/>
    <w:rsid w:val="00644530"/>
    <w:rsid w:val="006467C9"/>
    <w:rsid w:val="0065305C"/>
    <w:rsid w:val="00653243"/>
    <w:rsid w:val="00654793"/>
    <w:rsid w:val="00655BFB"/>
    <w:rsid w:val="00656749"/>
    <w:rsid w:val="00664A98"/>
    <w:rsid w:val="00664D16"/>
    <w:rsid w:val="0066512A"/>
    <w:rsid w:val="0067205D"/>
    <w:rsid w:val="006726F6"/>
    <w:rsid w:val="0067423D"/>
    <w:rsid w:val="00677072"/>
    <w:rsid w:val="00677B11"/>
    <w:rsid w:val="0068258D"/>
    <w:rsid w:val="006837C1"/>
    <w:rsid w:val="00683B7C"/>
    <w:rsid w:val="006843CA"/>
    <w:rsid w:val="006855FE"/>
    <w:rsid w:val="00694428"/>
    <w:rsid w:val="00695056"/>
    <w:rsid w:val="00696FC7"/>
    <w:rsid w:val="006A3A58"/>
    <w:rsid w:val="006A4BA6"/>
    <w:rsid w:val="006A5035"/>
    <w:rsid w:val="006A5CDE"/>
    <w:rsid w:val="006A5CF5"/>
    <w:rsid w:val="006A5E2B"/>
    <w:rsid w:val="006A6BB3"/>
    <w:rsid w:val="006B1596"/>
    <w:rsid w:val="006B161E"/>
    <w:rsid w:val="006B20B9"/>
    <w:rsid w:val="006B227E"/>
    <w:rsid w:val="006B33B4"/>
    <w:rsid w:val="006B4857"/>
    <w:rsid w:val="006B67E3"/>
    <w:rsid w:val="006C19FD"/>
    <w:rsid w:val="006C4C32"/>
    <w:rsid w:val="006C7B5C"/>
    <w:rsid w:val="006C7ECA"/>
    <w:rsid w:val="006D5EE5"/>
    <w:rsid w:val="006D7C1A"/>
    <w:rsid w:val="006E0B6B"/>
    <w:rsid w:val="006E212F"/>
    <w:rsid w:val="006E31F7"/>
    <w:rsid w:val="006E5E46"/>
    <w:rsid w:val="006E6D3B"/>
    <w:rsid w:val="006E7595"/>
    <w:rsid w:val="006E7EB4"/>
    <w:rsid w:val="006F0EA9"/>
    <w:rsid w:val="006F3782"/>
    <w:rsid w:val="00700594"/>
    <w:rsid w:val="0070188C"/>
    <w:rsid w:val="00702305"/>
    <w:rsid w:val="00702C69"/>
    <w:rsid w:val="00704382"/>
    <w:rsid w:val="0071004E"/>
    <w:rsid w:val="00711E75"/>
    <w:rsid w:val="00713E80"/>
    <w:rsid w:val="00713F17"/>
    <w:rsid w:val="007228E5"/>
    <w:rsid w:val="00723774"/>
    <w:rsid w:val="00725480"/>
    <w:rsid w:val="00730A14"/>
    <w:rsid w:val="00730BD2"/>
    <w:rsid w:val="00730E47"/>
    <w:rsid w:val="0073271A"/>
    <w:rsid w:val="0073307A"/>
    <w:rsid w:val="0073545F"/>
    <w:rsid w:val="00736563"/>
    <w:rsid w:val="00737073"/>
    <w:rsid w:val="00741A4B"/>
    <w:rsid w:val="00745955"/>
    <w:rsid w:val="00751050"/>
    <w:rsid w:val="00751BDC"/>
    <w:rsid w:val="00751F47"/>
    <w:rsid w:val="00753E16"/>
    <w:rsid w:val="007540BF"/>
    <w:rsid w:val="00755308"/>
    <w:rsid w:val="007559A0"/>
    <w:rsid w:val="007603FD"/>
    <w:rsid w:val="00765C62"/>
    <w:rsid w:val="007670D5"/>
    <w:rsid w:val="007707AB"/>
    <w:rsid w:val="00770DCB"/>
    <w:rsid w:val="00771000"/>
    <w:rsid w:val="00775485"/>
    <w:rsid w:val="007821BE"/>
    <w:rsid w:val="00790655"/>
    <w:rsid w:val="00792E83"/>
    <w:rsid w:val="007951D5"/>
    <w:rsid w:val="007A33D2"/>
    <w:rsid w:val="007A3D0E"/>
    <w:rsid w:val="007A6E54"/>
    <w:rsid w:val="007B5CF3"/>
    <w:rsid w:val="007C0D53"/>
    <w:rsid w:val="007C39AB"/>
    <w:rsid w:val="007C4EDF"/>
    <w:rsid w:val="007C76A2"/>
    <w:rsid w:val="007D10CE"/>
    <w:rsid w:val="007D1FC5"/>
    <w:rsid w:val="007D48A2"/>
    <w:rsid w:val="007D4F16"/>
    <w:rsid w:val="007D56BC"/>
    <w:rsid w:val="007D5C0F"/>
    <w:rsid w:val="007D75B6"/>
    <w:rsid w:val="007E204D"/>
    <w:rsid w:val="007E42C6"/>
    <w:rsid w:val="007E4569"/>
    <w:rsid w:val="007E5B88"/>
    <w:rsid w:val="007E5D99"/>
    <w:rsid w:val="007E73C2"/>
    <w:rsid w:val="007F0D0B"/>
    <w:rsid w:val="007F2D25"/>
    <w:rsid w:val="007F65F3"/>
    <w:rsid w:val="007F668A"/>
    <w:rsid w:val="007F7CFE"/>
    <w:rsid w:val="008007A8"/>
    <w:rsid w:val="00802D83"/>
    <w:rsid w:val="008042D9"/>
    <w:rsid w:val="008060DF"/>
    <w:rsid w:val="0080654C"/>
    <w:rsid w:val="008070DC"/>
    <w:rsid w:val="008116F0"/>
    <w:rsid w:val="0081260D"/>
    <w:rsid w:val="008135C3"/>
    <w:rsid w:val="00814FC0"/>
    <w:rsid w:val="00815FB2"/>
    <w:rsid w:val="008215E8"/>
    <w:rsid w:val="0082160A"/>
    <w:rsid w:val="00821BAC"/>
    <w:rsid w:val="008237D0"/>
    <w:rsid w:val="00832F1C"/>
    <w:rsid w:val="00834647"/>
    <w:rsid w:val="00834A78"/>
    <w:rsid w:val="008362C4"/>
    <w:rsid w:val="00836BB0"/>
    <w:rsid w:val="00837AD5"/>
    <w:rsid w:val="00837BD4"/>
    <w:rsid w:val="00841106"/>
    <w:rsid w:val="00841C10"/>
    <w:rsid w:val="00843663"/>
    <w:rsid w:val="0084413D"/>
    <w:rsid w:val="008446FA"/>
    <w:rsid w:val="00850947"/>
    <w:rsid w:val="00855E5B"/>
    <w:rsid w:val="0086181A"/>
    <w:rsid w:val="00862D87"/>
    <w:rsid w:val="00864111"/>
    <w:rsid w:val="00864740"/>
    <w:rsid w:val="00866254"/>
    <w:rsid w:val="008724DE"/>
    <w:rsid w:val="00876AAA"/>
    <w:rsid w:val="0088298E"/>
    <w:rsid w:val="00882BF5"/>
    <w:rsid w:val="008853E9"/>
    <w:rsid w:val="00891F83"/>
    <w:rsid w:val="00893A82"/>
    <w:rsid w:val="00896319"/>
    <w:rsid w:val="00896FE7"/>
    <w:rsid w:val="00897716"/>
    <w:rsid w:val="008A0C08"/>
    <w:rsid w:val="008A1247"/>
    <w:rsid w:val="008A1649"/>
    <w:rsid w:val="008A31FB"/>
    <w:rsid w:val="008A3D57"/>
    <w:rsid w:val="008A5E24"/>
    <w:rsid w:val="008A6763"/>
    <w:rsid w:val="008B23BC"/>
    <w:rsid w:val="008B2D37"/>
    <w:rsid w:val="008B4595"/>
    <w:rsid w:val="008B6536"/>
    <w:rsid w:val="008B6A9C"/>
    <w:rsid w:val="008B7FCB"/>
    <w:rsid w:val="008C1A33"/>
    <w:rsid w:val="008C1B70"/>
    <w:rsid w:val="008C4320"/>
    <w:rsid w:val="008C5E9E"/>
    <w:rsid w:val="008C7A0A"/>
    <w:rsid w:val="008D20C9"/>
    <w:rsid w:val="008D2A08"/>
    <w:rsid w:val="008D5FDD"/>
    <w:rsid w:val="008E3A0D"/>
    <w:rsid w:val="008E3D60"/>
    <w:rsid w:val="008E3F4C"/>
    <w:rsid w:val="008E4868"/>
    <w:rsid w:val="008E6A52"/>
    <w:rsid w:val="00900B61"/>
    <w:rsid w:val="0090165F"/>
    <w:rsid w:val="00901B82"/>
    <w:rsid w:val="00906B1F"/>
    <w:rsid w:val="00912B09"/>
    <w:rsid w:val="00914AC2"/>
    <w:rsid w:val="00914CD9"/>
    <w:rsid w:val="00916B56"/>
    <w:rsid w:val="00917539"/>
    <w:rsid w:val="00925E0F"/>
    <w:rsid w:val="009275D2"/>
    <w:rsid w:val="00932CCD"/>
    <w:rsid w:val="00937992"/>
    <w:rsid w:val="00942DF5"/>
    <w:rsid w:val="00943F52"/>
    <w:rsid w:val="009455D9"/>
    <w:rsid w:val="00946656"/>
    <w:rsid w:val="00947EF1"/>
    <w:rsid w:val="00953BAC"/>
    <w:rsid w:val="009553D5"/>
    <w:rsid w:val="00955BBE"/>
    <w:rsid w:val="00956724"/>
    <w:rsid w:val="0096053E"/>
    <w:rsid w:val="009624FF"/>
    <w:rsid w:val="009627E7"/>
    <w:rsid w:val="0096592A"/>
    <w:rsid w:val="00966C2F"/>
    <w:rsid w:val="00970ACC"/>
    <w:rsid w:val="00971CCE"/>
    <w:rsid w:val="00974E33"/>
    <w:rsid w:val="0097512B"/>
    <w:rsid w:val="009907C9"/>
    <w:rsid w:val="00992CDA"/>
    <w:rsid w:val="00992EF0"/>
    <w:rsid w:val="0099742A"/>
    <w:rsid w:val="009A5E03"/>
    <w:rsid w:val="009A61F9"/>
    <w:rsid w:val="009A780C"/>
    <w:rsid w:val="009B0928"/>
    <w:rsid w:val="009B1CDA"/>
    <w:rsid w:val="009B4233"/>
    <w:rsid w:val="009B4C56"/>
    <w:rsid w:val="009C0820"/>
    <w:rsid w:val="009C38B0"/>
    <w:rsid w:val="009C5726"/>
    <w:rsid w:val="009D0C1D"/>
    <w:rsid w:val="009D28C4"/>
    <w:rsid w:val="009D5BFD"/>
    <w:rsid w:val="009D67F6"/>
    <w:rsid w:val="009E0FE1"/>
    <w:rsid w:val="009E1B3D"/>
    <w:rsid w:val="009E2540"/>
    <w:rsid w:val="009E5556"/>
    <w:rsid w:val="009F0D82"/>
    <w:rsid w:val="009F2764"/>
    <w:rsid w:val="00A00386"/>
    <w:rsid w:val="00A016F8"/>
    <w:rsid w:val="00A01A18"/>
    <w:rsid w:val="00A01F3B"/>
    <w:rsid w:val="00A035E0"/>
    <w:rsid w:val="00A0406E"/>
    <w:rsid w:val="00A046C2"/>
    <w:rsid w:val="00A04CE7"/>
    <w:rsid w:val="00A07EDD"/>
    <w:rsid w:val="00A11307"/>
    <w:rsid w:val="00A117D1"/>
    <w:rsid w:val="00A13AF3"/>
    <w:rsid w:val="00A14301"/>
    <w:rsid w:val="00A15123"/>
    <w:rsid w:val="00A20103"/>
    <w:rsid w:val="00A21388"/>
    <w:rsid w:val="00A21B08"/>
    <w:rsid w:val="00A236BB"/>
    <w:rsid w:val="00A272C6"/>
    <w:rsid w:val="00A27791"/>
    <w:rsid w:val="00A27A37"/>
    <w:rsid w:val="00A35D03"/>
    <w:rsid w:val="00A36FCF"/>
    <w:rsid w:val="00A40C4B"/>
    <w:rsid w:val="00A41355"/>
    <w:rsid w:val="00A41758"/>
    <w:rsid w:val="00A41BD5"/>
    <w:rsid w:val="00A43016"/>
    <w:rsid w:val="00A438AA"/>
    <w:rsid w:val="00A43B92"/>
    <w:rsid w:val="00A443B7"/>
    <w:rsid w:val="00A54251"/>
    <w:rsid w:val="00A543A5"/>
    <w:rsid w:val="00A56A7C"/>
    <w:rsid w:val="00A56AF7"/>
    <w:rsid w:val="00A56B5A"/>
    <w:rsid w:val="00A57E83"/>
    <w:rsid w:val="00A6179E"/>
    <w:rsid w:val="00A62448"/>
    <w:rsid w:val="00A6244F"/>
    <w:rsid w:val="00A64316"/>
    <w:rsid w:val="00A668ED"/>
    <w:rsid w:val="00A71A4F"/>
    <w:rsid w:val="00A7303C"/>
    <w:rsid w:val="00A7351F"/>
    <w:rsid w:val="00A764FE"/>
    <w:rsid w:val="00A76FAF"/>
    <w:rsid w:val="00A77FB4"/>
    <w:rsid w:val="00A804D9"/>
    <w:rsid w:val="00A81CF2"/>
    <w:rsid w:val="00A8203C"/>
    <w:rsid w:val="00A8297D"/>
    <w:rsid w:val="00A83527"/>
    <w:rsid w:val="00A85594"/>
    <w:rsid w:val="00A86211"/>
    <w:rsid w:val="00A8685B"/>
    <w:rsid w:val="00A87E79"/>
    <w:rsid w:val="00A90408"/>
    <w:rsid w:val="00A90EA0"/>
    <w:rsid w:val="00A92915"/>
    <w:rsid w:val="00A92F92"/>
    <w:rsid w:val="00A9369B"/>
    <w:rsid w:val="00A94595"/>
    <w:rsid w:val="00A94CC6"/>
    <w:rsid w:val="00A96892"/>
    <w:rsid w:val="00A97620"/>
    <w:rsid w:val="00A97D93"/>
    <w:rsid w:val="00A97F32"/>
    <w:rsid w:val="00AA13BE"/>
    <w:rsid w:val="00AA2051"/>
    <w:rsid w:val="00AA3392"/>
    <w:rsid w:val="00AA394C"/>
    <w:rsid w:val="00AA6F1D"/>
    <w:rsid w:val="00AB0459"/>
    <w:rsid w:val="00AB2C51"/>
    <w:rsid w:val="00AB732E"/>
    <w:rsid w:val="00AC15CD"/>
    <w:rsid w:val="00AC3CFF"/>
    <w:rsid w:val="00AC5245"/>
    <w:rsid w:val="00AC75FD"/>
    <w:rsid w:val="00AD4B6C"/>
    <w:rsid w:val="00AD61A3"/>
    <w:rsid w:val="00AE00F1"/>
    <w:rsid w:val="00AE47FC"/>
    <w:rsid w:val="00AE51B5"/>
    <w:rsid w:val="00AE5B74"/>
    <w:rsid w:val="00AE62AF"/>
    <w:rsid w:val="00AE7931"/>
    <w:rsid w:val="00AF1E0A"/>
    <w:rsid w:val="00AF2E96"/>
    <w:rsid w:val="00AF4681"/>
    <w:rsid w:val="00AF4E56"/>
    <w:rsid w:val="00AF68C9"/>
    <w:rsid w:val="00B051B3"/>
    <w:rsid w:val="00B10C5F"/>
    <w:rsid w:val="00B10EBD"/>
    <w:rsid w:val="00B12D2A"/>
    <w:rsid w:val="00B1301A"/>
    <w:rsid w:val="00B1492C"/>
    <w:rsid w:val="00B14CD7"/>
    <w:rsid w:val="00B242EA"/>
    <w:rsid w:val="00B24B1D"/>
    <w:rsid w:val="00B277E0"/>
    <w:rsid w:val="00B30B14"/>
    <w:rsid w:val="00B337E9"/>
    <w:rsid w:val="00B34946"/>
    <w:rsid w:val="00B375ED"/>
    <w:rsid w:val="00B46B57"/>
    <w:rsid w:val="00B46C63"/>
    <w:rsid w:val="00B519FD"/>
    <w:rsid w:val="00B520BC"/>
    <w:rsid w:val="00B5245D"/>
    <w:rsid w:val="00B53F6A"/>
    <w:rsid w:val="00B5545E"/>
    <w:rsid w:val="00B55A67"/>
    <w:rsid w:val="00B55C33"/>
    <w:rsid w:val="00B60FD4"/>
    <w:rsid w:val="00B62221"/>
    <w:rsid w:val="00B635BE"/>
    <w:rsid w:val="00B63AF8"/>
    <w:rsid w:val="00B63D24"/>
    <w:rsid w:val="00B6554F"/>
    <w:rsid w:val="00B670C5"/>
    <w:rsid w:val="00B70776"/>
    <w:rsid w:val="00B760FF"/>
    <w:rsid w:val="00B772B0"/>
    <w:rsid w:val="00B8156D"/>
    <w:rsid w:val="00B82D38"/>
    <w:rsid w:val="00B83023"/>
    <w:rsid w:val="00B839BF"/>
    <w:rsid w:val="00B844ED"/>
    <w:rsid w:val="00B86547"/>
    <w:rsid w:val="00B8702A"/>
    <w:rsid w:val="00B924E6"/>
    <w:rsid w:val="00B92F17"/>
    <w:rsid w:val="00B93A5E"/>
    <w:rsid w:val="00B96BAC"/>
    <w:rsid w:val="00BA262D"/>
    <w:rsid w:val="00BA5698"/>
    <w:rsid w:val="00BA654C"/>
    <w:rsid w:val="00BA7DB7"/>
    <w:rsid w:val="00BB1730"/>
    <w:rsid w:val="00BB48D6"/>
    <w:rsid w:val="00BB531E"/>
    <w:rsid w:val="00BC0004"/>
    <w:rsid w:val="00BC21B9"/>
    <w:rsid w:val="00BC37FB"/>
    <w:rsid w:val="00BC5AEC"/>
    <w:rsid w:val="00BC79EB"/>
    <w:rsid w:val="00BD0064"/>
    <w:rsid w:val="00BD590D"/>
    <w:rsid w:val="00BD5F0B"/>
    <w:rsid w:val="00BD6D51"/>
    <w:rsid w:val="00BD7CC9"/>
    <w:rsid w:val="00BD7FCF"/>
    <w:rsid w:val="00BE1827"/>
    <w:rsid w:val="00BE5232"/>
    <w:rsid w:val="00BE7683"/>
    <w:rsid w:val="00BE7991"/>
    <w:rsid w:val="00BF079D"/>
    <w:rsid w:val="00BF15B8"/>
    <w:rsid w:val="00BF1AAE"/>
    <w:rsid w:val="00BF1F52"/>
    <w:rsid w:val="00BF328F"/>
    <w:rsid w:val="00BF453A"/>
    <w:rsid w:val="00BF4F35"/>
    <w:rsid w:val="00C00079"/>
    <w:rsid w:val="00C00EE2"/>
    <w:rsid w:val="00C01028"/>
    <w:rsid w:val="00C01F7E"/>
    <w:rsid w:val="00C05041"/>
    <w:rsid w:val="00C051B8"/>
    <w:rsid w:val="00C057DC"/>
    <w:rsid w:val="00C064DC"/>
    <w:rsid w:val="00C075C6"/>
    <w:rsid w:val="00C07DEA"/>
    <w:rsid w:val="00C11C4D"/>
    <w:rsid w:val="00C13BE1"/>
    <w:rsid w:val="00C24A6E"/>
    <w:rsid w:val="00C25BDA"/>
    <w:rsid w:val="00C270F9"/>
    <w:rsid w:val="00C3107F"/>
    <w:rsid w:val="00C33104"/>
    <w:rsid w:val="00C332D4"/>
    <w:rsid w:val="00C3346E"/>
    <w:rsid w:val="00C36AE4"/>
    <w:rsid w:val="00C42235"/>
    <w:rsid w:val="00C43E50"/>
    <w:rsid w:val="00C4574C"/>
    <w:rsid w:val="00C474DF"/>
    <w:rsid w:val="00C47F23"/>
    <w:rsid w:val="00C50CF6"/>
    <w:rsid w:val="00C511A9"/>
    <w:rsid w:val="00C521D4"/>
    <w:rsid w:val="00C526A0"/>
    <w:rsid w:val="00C53D37"/>
    <w:rsid w:val="00C637B5"/>
    <w:rsid w:val="00C64936"/>
    <w:rsid w:val="00C6528F"/>
    <w:rsid w:val="00C67841"/>
    <w:rsid w:val="00C67EDD"/>
    <w:rsid w:val="00C70322"/>
    <w:rsid w:val="00C70612"/>
    <w:rsid w:val="00C77D78"/>
    <w:rsid w:val="00C81BC1"/>
    <w:rsid w:val="00C83133"/>
    <w:rsid w:val="00C83E3B"/>
    <w:rsid w:val="00C854D4"/>
    <w:rsid w:val="00C85A24"/>
    <w:rsid w:val="00C90556"/>
    <w:rsid w:val="00C9068E"/>
    <w:rsid w:val="00C91C73"/>
    <w:rsid w:val="00C92B90"/>
    <w:rsid w:val="00CA0D78"/>
    <w:rsid w:val="00CA4855"/>
    <w:rsid w:val="00CA511A"/>
    <w:rsid w:val="00CA5618"/>
    <w:rsid w:val="00CB0C50"/>
    <w:rsid w:val="00CB24FE"/>
    <w:rsid w:val="00CC32C3"/>
    <w:rsid w:val="00CC4E8F"/>
    <w:rsid w:val="00CC7359"/>
    <w:rsid w:val="00CD192A"/>
    <w:rsid w:val="00CD219D"/>
    <w:rsid w:val="00CD4257"/>
    <w:rsid w:val="00CD58FD"/>
    <w:rsid w:val="00CD5962"/>
    <w:rsid w:val="00CD6D37"/>
    <w:rsid w:val="00CD700F"/>
    <w:rsid w:val="00CE11DE"/>
    <w:rsid w:val="00CE1C6C"/>
    <w:rsid w:val="00CE29C7"/>
    <w:rsid w:val="00CE2A89"/>
    <w:rsid w:val="00CE3128"/>
    <w:rsid w:val="00CE33BE"/>
    <w:rsid w:val="00CE4025"/>
    <w:rsid w:val="00CE41D0"/>
    <w:rsid w:val="00CE6322"/>
    <w:rsid w:val="00CF3EB0"/>
    <w:rsid w:val="00CF50FB"/>
    <w:rsid w:val="00CF5DB4"/>
    <w:rsid w:val="00D006BD"/>
    <w:rsid w:val="00D0456E"/>
    <w:rsid w:val="00D05645"/>
    <w:rsid w:val="00D060BC"/>
    <w:rsid w:val="00D06D92"/>
    <w:rsid w:val="00D06DF3"/>
    <w:rsid w:val="00D102A7"/>
    <w:rsid w:val="00D22756"/>
    <w:rsid w:val="00D25628"/>
    <w:rsid w:val="00D27E2E"/>
    <w:rsid w:val="00D31C01"/>
    <w:rsid w:val="00D32F01"/>
    <w:rsid w:val="00D343FA"/>
    <w:rsid w:val="00D418FF"/>
    <w:rsid w:val="00D41B67"/>
    <w:rsid w:val="00D4303A"/>
    <w:rsid w:val="00D44CB5"/>
    <w:rsid w:val="00D45830"/>
    <w:rsid w:val="00D47F12"/>
    <w:rsid w:val="00D50C89"/>
    <w:rsid w:val="00D51543"/>
    <w:rsid w:val="00D518F0"/>
    <w:rsid w:val="00D529AB"/>
    <w:rsid w:val="00D57F51"/>
    <w:rsid w:val="00D60912"/>
    <w:rsid w:val="00D61B75"/>
    <w:rsid w:val="00D65C76"/>
    <w:rsid w:val="00D662D9"/>
    <w:rsid w:val="00D73117"/>
    <w:rsid w:val="00D734C7"/>
    <w:rsid w:val="00D76705"/>
    <w:rsid w:val="00D81DB3"/>
    <w:rsid w:val="00D82F4E"/>
    <w:rsid w:val="00D831B5"/>
    <w:rsid w:val="00D850C3"/>
    <w:rsid w:val="00D932AF"/>
    <w:rsid w:val="00D94019"/>
    <w:rsid w:val="00D958A9"/>
    <w:rsid w:val="00D968A1"/>
    <w:rsid w:val="00DA1716"/>
    <w:rsid w:val="00DA1DA1"/>
    <w:rsid w:val="00DA2F73"/>
    <w:rsid w:val="00DA49C7"/>
    <w:rsid w:val="00DA791C"/>
    <w:rsid w:val="00DB03D1"/>
    <w:rsid w:val="00DB1FC4"/>
    <w:rsid w:val="00DB2A01"/>
    <w:rsid w:val="00DB31FE"/>
    <w:rsid w:val="00DB3D88"/>
    <w:rsid w:val="00DB6CED"/>
    <w:rsid w:val="00DC0103"/>
    <w:rsid w:val="00DC0C28"/>
    <w:rsid w:val="00DC30BD"/>
    <w:rsid w:val="00DC462F"/>
    <w:rsid w:val="00DC484F"/>
    <w:rsid w:val="00DD1751"/>
    <w:rsid w:val="00DD1949"/>
    <w:rsid w:val="00DD3BF3"/>
    <w:rsid w:val="00DD69DA"/>
    <w:rsid w:val="00DD6A21"/>
    <w:rsid w:val="00DE1C53"/>
    <w:rsid w:val="00DE60CA"/>
    <w:rsid w:val="00DE6C1B"/>
    <w:rsid w:val="00DE70D8"/>
    <w:rsid w:val="00DF0677"/>
    <w:rsid w:val="00DF0F9F"/>
    <w:rsid w:val="00DF1157"/>
    <w:rsid w:val="00DF72EA"/>
    <w:rsid w:val="00DF74B9"/>
    <w:rsid w:val="00E00216"/>
    <w:rsid w:val="00E0076A"/>
    <w:rsid w:val="00E02055"/>
    <w:rsid w:val="00E02C70"/>
    <w:rsid w:val="00E04994"/>
    <w:rsid w:val="00E051AB"/>
    <w:rsid w:val="00E062CE"/>
    <w:rsid w:val="00E117FC"/>
    <w:rsid w:val="00E12E67"/>
    <w:rsid w:val="00E1328B"/>
    <w:rsid w:val="00E14C70"/>
    <w:rsid w:val="00E15E8C"/>
    <w:rsid w:val="00E23EA4"/>
    <w:rsid w:val="00E24FA3"/>
    <w:rsid w:val="00E25BE7"/>
    <w:rsid w:val="00E26B28"/>
    <w:rsid w:val="00E27A80"/>
    <w:rsid w:val="00E31465"/>
    <w:rsid w:val="00E31802"/>
    <w:rsid w:val="00E31BD8"/>
    <w:rsid w:val="00E31D2E"/>
    <w:rsid w:val="00E31F3B"/>
    <w:rsid w:val="00E32498"/>
    <w:rsid w:val="00E328CD"/>
    <w:rsid w:val="00E36B95"/>
    <w:rsid w:val="00E4003F"/>
    <w:rsid w:val="00E41DE6"/>
    <w:rsid w:val="00E458F6"/>
    <w:rsid w:val="00E45954"/>
    <w:rsid w:val="00E45E50"/>
    <w:rsid w:val="00E52382"/>
    <w:rsid w:val="00E56BCD"/>
    <w:rsid w:val="00E64248"/>
    <w:rsid w:val="00E67FF4"/>
    <w:rsid w:val="00E702CF"/>
    <w:rsid w:val="00E71282"/>
    <w:rsid w:val="00E71AD6"/>
    <w:rsid w:val="00E7202D"/>
    <w:rsid w:val="00E77EBE"/>
    <w:rsid w:val="00E82DEB"/>
    <w:rsid w:val="00E831DC"/>
    <w:rsid w:val="00E84A1F"/>
    <w:rsid w:val="00E858E7"/>
    <w:rsid w:val="00E9133E"/>
    <w:rsid w:val="00E91AE0"/>
    <w:rsid w:val="00E93C1F"/>
    <w:rsid w:val="00E972B5"/>
    <w:rsid w:val="00EA0081"/>
    <w:rsid w:val="00EA3C93"/>
    <w:rsid w:val="00EA3DA6"/>
    <w:rsid w:val="00EA44D9"/>
    <w:rsid w:val="00EA4AEE"/>
    <w:rsid w:val="00EB1460"/>
    <w:rsid w:val="00EB6A76"/>
    <w:rsid w:val="00EB6CD0"/>
    <w:rsid w:val="00EC0E5C"/>
    <w:rsid w:val="00EC5035"/>
    <w:rsid w:val="00EC55B7"/>
    <w:rsid w:val="00ED0194"/>
    <w:rsid w:val="00ED1311"/>
    <w:rsid w:val="00ED4B26"/>
    <w:rsid w:val="00ED4C31"/>
    <w:rsid w:val="00ED6599"/>
    <w:rsid w:val="00ED68BE"/>
    <w:rsid w:val="00ED7466"/>
    <w:rsid w:val="00EE0E58"/>
    <w:rsid w:val="00EE1DC7"/>
    <w:rsid w:val="00EF2958"/>
    <w:rsid w:val="00F00771"/>
    <w:rsid w:val="00F00E56"/>
    <w:rsid w:val="00F065AE"/>
    <w:rsid w:val="00F1137E"/>
    <w:rsid w:val="00F140F7"/>
    <w:rsid w:val="00F14C6D"/>
    <w:rsid w:val="00F20B77"/>
    <w:rsid w:val="00F22EF5"/>
    <w:rsid w:val="00F33F55"/>
    <w:rsid w:val="00F34BC9"/>
    <w:rsid w:val="00F36BC1"/>
    <w:rsid w:val="00F36F04"/>
    <w:rsid w:val="00F36FD0"/>
    <w:rsid w:val="00F417A1"/>
    <w:rsid w:val="00F422F9"/>
    <w:rsid w:val="00F435F9"/>
    <w:rsid w:val="00F4514E"/>
    <w:rsid w:val="00F50CB7"/>
    <w:rsid w:val="00F51A56"/>
    <w:rsid w:val="00F51E28"/>
    <w:rsid w:val="00F5228A"/>
    <w:rsid w:val="00F52A59"/>
    <w:rsid w:val="00F548AF"/>
    <w:rsid w:val="00F57D48"/>
    <w:rsid w:val="00F603BD"/>
    <w:rsid w:val="00F63BB8"/>
    <w:rsid w:val="00F6667A"/>
    <w:rsid w:val="00F71E31"/>
    <w:rsid w:val="00F72207"/>
    <w:rsid w:val="00F74BAC"/>
    <w:rsid w:val="00F828DE"/>
    <w:rsid w:val="00F8302E"/>
    <w:rsid w:val="00F85B86"/>
    <w:rsid w:val="00F87DD6"/>
    <w:rsid w:val="00F90FC7"/>
    <w:rsid w:val="00F91105"/>
    <w:rsid w:val="00F91FE8"/>
    <w:rsid w:val="00F921A4"/>
    <w:rsid w:val="00FA07F7"/>
    <w:rsid w:val="00FA27E6"/>
    <w:rsid w:val="00FA362E"/>
    <w:rsid w:val="00FA4916"/>
    <w:rsid w:val="00FA5FD5"/>
    <w:rsid w:val="00FA6675"/>
    <w:rsid w:val="00FA73E0"/>
    <w:rsid w:val="00FB15E8"/>
    <w:rsid w:val="00FB6AF6"/>
    <w:rsid w:val="00FC0346"/>
    <w:rsid w:val="00FC0898"/>
    <w:rsid w:val="00FC095C"/>
    <w:rsid w:val="00FC1038"/>
    <w:rsid w:val="00FC650F"/>
    <w:rsid w:val="00FC6D8D"/>
    <w:rsid w:val="00FD01B5"/>
    <w:rsid w:val="00FD09E1"/>
    <w:rsid w:val="00FD6494"/>
    <w:rsid w:val="00FE0224"/>
    <w:rsid w:val="00FE292C"/>
    <w:rsid w:val="00FE2F72"/>
    <w:rsid w:val="00FE469D"/>
    <w:rsid w:val="00FE72A1"/>
    <w:rsid w:val="00FF0DE7"/>
    <w:rsid w:val="00FF1432"/>
    <w:rsid w:val="00FF20D6"/>
    <w:rsid w:val="00FF269C"/>
    <w:rsid w:val="00FF61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2D4A2BE0"/>
  <w15:docId w15:val="{34616DA9-1F3E-4B86-BDC4-D60EDC0F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aliases w:val="No Spacing1,No Spacing11"/>
    <w:basedOn w:val="Normal"/>
    <w:link w:val="SubmissionNormalChar"/>
    <w:qFormat/>
    <w:rsid w:val="00B34946"/>
    <w:pPr>
      <w:numPr>
        <w:numId w:val="15"/>
      </w:numPr>
      <w:tabs>
        <w:tab w:val="clear" w:pos="720"/>
      </w:tabs>
      <w:ind w:hanging="720"/>
    </w:pPr>
    <w:rPr>
      <w:rFonts w:eastAsia="Times New Roman"/>
    </w:rPr>
  </w:style>
  <w:style w:type="character" w:customStyle="1" w:styleId="SubmissionNormalChar">
    <w:name w:val="Submission Normal Char"/>
    <w:aliases w:val="No Spacing Char,No Spacing1 Char,No Spacing11 Char,No Spacing2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character" w:styleId="CommentReference">
    <w:name w:val="annotation reference"/>
    <w:locked/>
    <w:rsid w:val="00E71282"/>
    <w:rPr>
      <w:sz w:val="16"/>
      <w:szCs w:val="16"/>
    </w:rPr>
  </w:style>
  <w:style w:type="paragraph" w:styleId="CommentText">
    <w:name w:val="annotation text"/>
    <w:basedOn w:val="Normal"/>
    <w:link w:val="CommentTextChar"/>
    <w:locked/>
    <w:rsid w:val="00E71282"/>
    <w:rPr>
      <w:rFonts w:eastAsia="Times New Roman"/>
      <w:sz w:val="20"/>
      <w:szCs w:val="20"/>
    </w:rPr>
  </w:style>
  <w:style w:type="character" w:customStyle="1" w:styleId="CommentTextChar">
    <w:name w:val="Comment Text Char"/>
    <w:basedOn w:val="DefaultParagraphFont"/>
    <w:link w:val="CommentText"/>
    <w:rsid w:val="00E71282"/>
    <w:rPr>
      <w:rFonts w:ascii="Arial" w:hAnsi="Arial"/>
    </w:rPr>
  </w:style>
  <w:style w:type="paragraph" w:styleId="CommentSubject">
    <w:name w:val="annotation subject"/>
    <w:basedOn w:val="CommentText"/>
    <w:next w:val="CommentText"/>
    <w:link w:val="CommentSubjectChar"/>
    <w:locked/>
    <w:rsid w:val="00491EB3"/>
    <w:rPr>
      <w:rFonts w:eastAsia="MS Mincho"/>
      <w:b/>
      <w:bCs/>
    </w:rPr>
  </w:style>
  <w:style w:type="character" w:customStyle="1" w:styleId="CommentSubjectChar">
    <w:name w:val="Comment Subject Char"/>
    <w:basedOn w:val="CommentTextChar"/>
    <w:link w:val="CommentSubject"/>
    <w:rsid w:val="00491EB3"/>
    <w:rPr>
      <w:rFonts w:ascii="Arial" w:eastAsia="MS Mincho" w:hAnsi="Arial"/>
      <w:b/>
      <w:bCs/>
    </w:rPr>
  </w:style>
  <w:style w:type="paragraph" w:styleId="Revision">
    <w:name w:val="Revision"/>
    <w:hidden/>
    <w:uiPriority w:val="99"/>
    <w:semiHidden/>
    <w:rsid w:val="006726F6"/>
    <w:rPr>
      <w:rFonts w:ascii="Arial" w:eastAsia="MS Mincho" w:hAnsi="Arial"/>
      <w:sz w:val="24"/>
      <w:szCs w:val="24"/>
    </w:rPr>
  </w:style>
  <w:style w:type="paragraph" w:styleId="ListParagraph">
    <w:name w:val="List Paragraph"/>
    <w:basedOn w:val="Normal"/>
    <w:uiPriority w:val="34"/>
    <w:qFormat/>
    <w:rsid w:val="00D57F51"/>
    <w:pPr>
      <w:spacing w:before="0" w:after="0"/>
      <w:ind w:left="72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4857">
      <w:bodyDiv w:val="1"/>
      <w:marLeft w:val="0"/>
      <w:marRight w:val="0"/>
      <w:marTop w:val="0"/>
      <w:marBottom w:val="0"/>
      <w:divBdr>
        <w:top w:val="none" w:sz="0" w:space="0" w:color="auto"/>
        <w:left w:val="none" w:sz="0" w:space="0" w:color="auto"/>
        <w:bottom w:val="none" w:sz="0" w:space="0" w:color="auto"/>
        <w:right w:val="none" w:sz="0" w:space="0" w:color="auto"/>
      </w:divBdr>
    </w:div>
    <w:div w:id="98330103">
      <w:bodyDiv w:val="1"/>
      <w:marLeft w:val="0"/>
      <w:marRight w:val="0"/>
      <w:marTop w:val="0"/>
      <w:marBottom w:val="0"/>
      <w:divBdr>
        <w:top w:val="none" w:sz="0" w:space="0" w:color="auto"/>
        <w:left w:val="none" w:sz="0" w:space="0" w:color="auto"/>
        <w:bottom w:val="none" w:sz="0" w:space="0" w:color="auto"/>
        <w:right w:val="none" w:sz="0" w:space="0" w:color="auto"/>
      </w:divBdr>
      <w:divsChild>
        <w:div w:id="461464363">
          <w:marLeft w:val="0"/>
          <w:marRight w:val="0"/>
          <w:marTop w:val="0"/>
          <w:marBottom w:val="0"/>
          <w:divBdr>
            <w:top w:val="none" w:sz="0" w:space="0" w:color="auto"/>
            <w:left w:val="none" w:sz="0" w:space="0" w:color="auto"/>
            <w:bottom w:val="none" w:sz="0" w:space="0" w:color="auto"/>
            <w:right w:val="none" w:sz="0" w:space="0" w:color="auto"/>
          </w:divBdr>
          <w:divsChild>
            <w:div w:id="1137651209">
              <w:marLeft w:val="0"/>
              <w:marRight w:val="0"/>
              <w:marTop w:val="0"/>
              <w:marBottom w:val="0"/>
              <w:divBdr>
                <w:top w:val="none" w:sz="0" w:space="0" w:color="auto"/>
                <w:left w:val="none" w:sz="0" w:space="0" w:color="auto"/>
                <w:bottom w:val="none" w:sz="0" w:space="0" w:color="auto"/>
                <w:right w:val="none" w:sz="0" w:space="0" w:color="auto"/>
              </w:divBdr>
              <w:divsChild>
                <w:div w:id="1339892006">
                  <w:marLeft w:val="0"/>
                  <w:marRight w:val="0"/>
                  <w:marTop w:val="0"/>
                  <w:marBottom w:val="0"/>
                  <w:divBdr>
                    <w:top w:val="none" w:sz="0" w:space="0" w:color="auto"/>
                    <w:left w:val="none" w:sz="0" w:space="0" w:color="auto"/>
                    <w:bottom w:val="none" w:sz="0" w:space="0" w:color="auto"/>
                    <w:right w:val="none" w:sz="0" w:space="0" w:color="auto"/>
                  </w:divBdr>
                  <w:divsChild>
                    <w:div w:id="938483843">
                      <w:marLeft w:val="0"/>
                      <w:marRight w:val="0"/>
                      <w:marTop w:val="0"/>
                      <w:marBottom w:val="0"/>
                      <w:divBdr>
                        <w:top w:val="none" w:sz="0" w:space="0" w:color="auto"/>
                        <w:left w:val="none" w:sz="0" w:space="0" w:color="auto"/>
                        <w:bottom w:val="none" w:sz="0" w:space="0" w:color="auto"/>
                        <w:right w:val="none" w:sz="0" w:space="0" w:color="auto"/>
                      </w:divBdr>
                      <w:divsChild>
                        <w:div w:id="1268465520">
                          <w:marLeft w:val="0"/>
                          <w:marRight w:val="0"/>
                          <w:marTop w:val="0"/>
                          <w:marBottom w:val="0"/>
                          <w:divBdr>
                            <w:top w:val="none" w:sz="0" w:space="0" w:color="auto"/>
                            <w:left w:val="none" w:sz="0" w:space="0" w:color="auto"/>
                            <w:bottom w:val="none" w:sz="0" w:space="0" w:color="auto"/>
                            <w:right w:val="none" w:sz="0" w:space="0" w:color="auto"/>
                          </w:divBdr>
                          <w:divsChild>
                            <w:div w:id="1457337663">
                              <w:marLeft w:val="0"/>
                              <w:marRight w:val="0"/>
                              <w:marTop w:val="0"/>
                              <w:marBottom w:val="0"/>
                              <w:divBdr>
                                <w:top w:val="none" w:sz="0" w:space="0" w:color="auto"/>
                                <w:left w:val="none" w:sz="0" w:space="0" w:color="auto"/>
                                <w:bottom w:val="none" w:sz="0" w:space="0" w:color="auto"/>
                                <w:right w:val="none" w:sz="0" w:space="0" w:color="auto"/>
                              </w:divBdr>
                              <w:divsChild>
                                <w:div w:id="1488476485">
                                  <w:marLeft w:val="0"/>
                                  <w:marRight w:val="0"/>
                                  <w:marTop w:val="0"/>
                                  <w:marBottom w:val="0"/>
                                  <w:divBdr>
                                    <w:top w:val="none" w:sz="0" w:space="0" w:color="auto"/>
                                    <w:left w:val="none" w:sz="0" w:space="0" w:color="auto"/>
                                    <w:bottom w:val="none" w:sz="0" w:space="0" w:color="auto"/>
                                    <w:right w:val="none" w:sz="0" w:space="0" w:color="auto"/>
                                  </w:divBdr>
                                  <w:divsChild>
                                    <w:div w:id="324627172">
                                      <w:blockQuote w:val="1"/>
                                      <w:marLeft w:val="450"/>
                                      <w:marRight w:val="45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43970">
      <w:bodyDiv w:val="1"/>
      <w:marLeft w:val="0"/>
      <w:marRight w:val="0"/>
      <w:marTop w:val="0"/>
      <w:marBottom w:val="0"/>
      <w:divBdr>
        <w:top w:val="none" w:sz="0" w:space="0" w:color="auto"/>
        <w:left w:val="none" w:sz="0" w:space="0" w:color="auto"/>
        <w:bottom w:val="none" w:sz="0" w:space="0" w:color="auto"/>
        <w:right w:val="none" w:sz="0" w:space="0" w:color="auto"/>
      </w:divBdr>
      <w:divsChild>
        <w:div w:id="922376579">
          <w:marLeft w:val="547"/>
          <w:marRight w:val="0"/>
          <w:marTop w:val="0"/>
          <w:marBottom w:val="0"/>
          <w:divBdr>
            <w:top w:val="none" w:sz="0" w:space="0" w:color="auto"/>
            <w:left w:val="none" w:sz="0" w:space="0" w:color="auto"/>
            <w:bottom w:val="none" w:sz="0" w:space="0" w:color="auto"/>
            <w:right w:val="none" w:sz="0" w:space="0" w:color="auto"/>
          </w:divBdr>
        </w:div>
      </w:divsChild>
    </w:div>
    <w:div w:id="367603766">
      <w:bodyDiv w:val="1"/>
      <w:marLeft w:val="0"/>
      <w:marRight w:val="0"/>
      <w:marTop w:val="0"/>
      <w:marBottom w:val="0"/>
      <w:divBdr>
        <w:top w:val="none" w:sz="0" w:space="0" w:color="auto"/>
        <w:left w:val="none" w:sz="0" w:space="0" w:color="auto"/>
        <w:bottom w:val="none" w:sz="0" w:space="0" w:color="auto"/>
        <w:right w:val="none" w:sz="0" w:space="0" w:color="auto"/>
      </w:divBdr>
      <w:divsChild>
        <w:div w:id="1805149532">
          <w:marLeft w:val="0"/>
          <w:marRight w:val="0"/>
          <w:marTop w:val="0"/>
          <w:marBottom w:val="0"/>
          <w:divBdr>
            <w:top w:val="none" w:sz="0" w:space="0" w:color="auto"/>
            <w:left w:val="none" w:sz="0" w:space="0" w:color="auto"/>
            <w:bottom w:val="none" w:sz="0" w:space="0" w:color="auto"/>
            <w:right w:val="none" w:sz="0" w:space="0" w:color="auto"/>
          </w:divBdr>
          <w:divsChild>
            <w:div w:id="592130304">
              <w:marLeft w:val="0"/>
              <w:marRight w:val="0"/>
              <w:marTop w:val="0"/>
              <w:marBottom w:val="0"/>
              <w:divBdr>
                <w:top w:val="none" w:sz="0" w:space="0" w:color="auto"/>
                <w:left w:val="none" w:sz="0" w:space="0" w:color="auto"/>
                <w:bottom w:val="none" w:sz="0" w:space="0" w:color="auto"/>
                <w:right w:val="none" w:sz="0" w:space="0" w:color="auto"/>
              </w:divBdr>
              <w:divsChild>
                <w:div w:id="2103793174">
                  <w:marLeft w:val="0"/>
                  <w:marRight w:val="0"/>
                  <w:marTop w:val="0"/>
                  <w:marBottom w:val="0"/>
                  <w:divBdr>
                    <w:top w:val="none" w:sz="0" w:space="0" w:color="auto"/>
                    <w:left w:val="none" w:sz="0" w:space="0" w:color="auto"/>
                    <w:bottom w:val="none" w:sz="0" w:space="0" w:color="auto"/>
                    <w:right w:val="none" w:sz="0" w:space="0" w:color="auto"/>
                  </w:divBdr>
                  <w:divsChild>
                    <w:div w:id="1147165078">
                      <w:marLeft w:val="0"/>
                      <w:marRight w:val="0"/>
                      <w:marTop w:val="0"/>
                      <w:marBottom w:val="0"/>
                      <w:divBdr>
                        <w:top w:val="none" w:sz="0" w:space="0" w:color="auto"/>
                        <w:left w:val="none" w:sz="0" w:space="0" w:color="auto"/>
                        <w:bottom w:val="none" w:sz="0" w:space="0" w:color="auto"/>
                        <w:right w:val="none" w:sz="0" w:space="0" w:color="auto"/>
                      </w:divBdr>
                      <w:divsChild>
                        <w:div w:id="1460875296">
                          <w:marLeft w:val="0"/>
                          <w:marRight w:val="0"/>
                          <w:marTop w:val="0"/>
                          <w:marBottom w:val="0"/>
                          <w:divBdr>
                            <w:top w:val="none" w:sz="0" w:space="0" w:color="auto"/>
                            <w:left w:val="none" w:sz="0" w:space="0" w:color="auto"/>
                            <w:bottom w:val="none" w:sz="0" w:space="0" w:color="auto"/>
                            <w:right w:val="none" w:sz="0" w:space="0" w:color="auto"/>
                          </w:divBdr>
                          <w:divsChild>
                            <w:div w:id="241527691">
                              <w:marLeft w:val="0"/>
                              <w:marRight w:val="0"/>
                              <w:marTop w:val="0"/>
                              <w:marBottom w:val="0"/>
                              <w:divBdr>
                                <w:top w:val="none" w:sz="0" w:space="0" w:color="auto"/>
                                <w:left w:val="none" w:sz="0" w:space="0" w:color="auto"/>
                                <w:bottom w:val="none" w:sz="0" w:space="0" w:color="auto"/>
                                <w:right w:val="none" w:sz="0" w:space="0" w:color="auto"/>
                              </w:divBdr>
                              <w:divsChild>
                                <w:div w:id="1920016153">
                                  <w:marLeft w:val="0"/>
                                  <w:marRight w:val="0"/>
                                  <w:marTop w:val="0"/>
                                  <w:marBottom w:val="0"/>
                                  <w:divBdr>
                                    <w:top w:val="none" w:sz="0" w:space="0" w:color="auto"/>
                                    <w:left w:val="none" w:sz="0" w:space="0" w:color="auto"/>
                                    <w:bottom w:val="none" w:sz="0" w:space="0" w:color="auto"/>
                                    <w:right w:val="none" w:sz="0" w:space="0" w:color="auto"/>
                                  </w:divBdr>
                                  <w:divsChild>
                                    <w:div w:id="1939871542">
                                      <w:blockQuote w:val="1"/>
                                      <w:marLeft w:val="450"/>
                                      <w:marRight w:val="45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53082">
      <w:bodyDiv w:val="1"/>
      <w:marLeft w:val="0"/>
      <w:marRight w:val="0"/>
      <w:marTop w:val="0"/>
      <w:marBottom w:val="0"/>
      <w:divBdr>
        <w:top w:val="none" w:sz="0" w:space="0" w:color="auto"/>
        <w:left w:val="none" w:sz="0" w:space="0" w:color="auto"/>
        <w:bottom w:val="none" w:sz="0" w:space="0" w:color="auto"/>
        <w:right w:val="none" w:sz="0" w:space="0" w:color="auto"/>
      </w:divBdr>
    </w:div>
    <w:div w:id="635992796">
      <w:bodyDiv w:val="1"/>
      <w:marLeft w:val="0"/>
      <w:marRight w:val="0"/>
      <w:marTop w:val="0"/>
      <w:marBottom w:val="0"/>
      <w:divBdr>
        <w:top w:val="none" w:sz="0" w:space="0" w:color="auto"/>
        <w:left w:val="none" w:sz="0" w:space="0" w:color="auto"/>
        <w:bottom w:val="none" w:sz="0" w:space="0" w:color="auto"/>
        <w:right w:val="none" w:sz="0" w:space="0" w:color="auto"/>
      </w:divBdr>
      <w:divsChild>
        <w:div w:id="1256019902">
          <w:marLeft w:val="547"/>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314139525">
      <w:bodyDiv w:val="1"/>
      <w:marLeft w:val="0"/>
      <w:marRight w:val="0"/>
      <w:marTop w:val="0"/>
      <w:marBottom w:val="0"/>
      <w:divBdr>
        <w:top w:val="none" w:sz="0" w:space="0" w:color="auto"/>
        <w:left w:val="none" w:sz="0" w:space="0" w:color="auto"/>
        <w:bottom w:val="none" w:sz="0" w:space="0" w:color="auto"/>
        <w:right w:val="none" w:sz="0" w:space="0" w:color="auto"/>
      </w:divBdr>
      <w:divsChild>
        <w:div w:id="700669467">
          <w:marLeft w:val="547"/>
          <w:marRight w:val="0"/>
          <w:marTop w:val="0"/>
          <w:marBottom w:val="0"/>
          <w:divBdr>
            <w:top w:val="none" w:sz="0" w:space="0" w:color="auto"/>
            <w:left w:val="none" w:sz="0" w:space="0" w:color="auto"/>
            <w:bottom w:val="none" w:sz="0" w:space="0" w:color="auto"/>
            <w:right w:val="none" w:sz="0" w:space="0" w:color="auto"/>
          </w:divBdr>
        </w:div>
      </w:divsChild>
    </w:div>
    <w:div w:id="1583221886">
      <w:bodyDiv w:val="1"/>
      <w:marLeft w:val="0"/>
      <w:marRight w:val="0"/>
      <w:marTop w:val="0"/>
      <w:marBottom w:val="0"/>
      <w:divBdr>
        <w:top w:val="none" w:sz="0" w:space="0" w:color="auto"/>
        <w:left w:val="none" w:sz="0" w:space="0" w:color="auto"/>
        <w:bottom w:val="none" w:sz="0" w:space="0" w:color="auto"/>
        <w:right w:val="none" w:sz="0" w:space="0" w:color="auto"/>
      </w:divBdr>
      <w:divsChild>
        <w:div w:id="1115826305">
          <w:marLeft w:val="0"/>
          <w:marRight w:val="0"/>
          <w:marTop w:val="0"/>
          <w:marBottom w:val="0"/>
          <w:divBdr>
            <w:top w:val="none" w:sz="0" w:space="0" w:color="auto"/>
            <w:left w:val="none" w:sz="0" w:space="0" w:color="auto"/>
            <w:bottom w:val="none" w:sz="0" w:space="0" w:color="auto"/>
            <w:right w:val="none" w:sz="0" w:space="0" w:color="auto"/>
          </w:divBdr>
          <w:divsChild>
            <w:div w:id="1370646660">
              <w:marLeft w:val="0"/>
              <w:marRight w:val="0"/>
              <w:marTop w:val="0"/>
              <w:marBottom w:val="0"/>
              <w:divBdr>
                <w:top w:val="none" w:sz="0" w:space="0" w:color="auto"/>
                <w:left w:val="none" w:sz="0" w:space="0" w:color="auto"/>
                <w:bottom w:val="none" w:sz="0" w:space="0" w:color="auto"/>
                <w:right w:val="none" w:sz="0" w:space="0" w:color="auto"/>
              </w:divBdr>
              <w:divsChild>
                <w:div w:id="463474201">
                  <w:marLeft w:val="0"/>
                  <w:marRight w:val="0"/>
                  <w:marTop w:val="0"/>
                  <w:marBottom w:val="0"/>
                  <w:divBdr>
                    <w:top w:val="none" w:sz="0" w:space="0" w:color="auto"/>
                    <w:left w:val="none" w:sz="0" w:space="0" w:color="auto"/>
                    <w:bottom w:val="none" w:sz="0" w:space="0" w:color="auto"/>
                    <w:right w:val="none" w:sz="0" w:space="0" w:color="auto"/>
                  </w:divBdr>
                  <w:divsChild>
                    <w:div w:id="2135979931">
                      <w:marLeft w:val="0"/>
                      <w:marRight w:val="0"/>
                      <w:marTop w:val="0"/>
                      <w:marBottom w:val="0"/>
                      <w:divBdr>
                        <w:top w:val="none" w:sz="0" w:space="0" w:color="auto"/>
                        <w:left w:val="none" w:sz="0" w:space="0" w:color="auto"/>
                        <w:bottom w:val="none" w:sz="0" w:space="0" w:color="auto"/>
                        <w:right w:val="none" w:sz="0" w:space="0" w:color="auto"/>
                      </w:divBdr>
                      <w:divsChild>
                        <w:div w:id="934090930">
                          <w:marLeft w:val="0"/>
                          <w:marRight w:val="0"/>
                          <w:marTop w:val="0"/>
                          <w:marBottom w:val="0"/>
                          <w:divBdr>
                            <w:top w:val="none" w:sz="0" w:space="0" w:color="auto"/>
                            <w:left w:val="none" w:sz="0" w:space="0" w:color="auto"/>
                            <w:bottom w:val="none" w:sz="0" w:space="0" w:color="auto"/>
                            <w:right w:val="none" w:sz="0" w:space="0" w:color="auto"/>
                          </w:divBdr>
                          <w:divsChild>
                            <w:div w:id="1435713979">
                              <w:marLeft w:val="0"/>
                              <w:marRight w:val="0"/>
                              <w:marTop w:val="0"/>
                              <w:marBottom w:val="0"/>
                              <w:divBdr>
                                <w:top w:val="none" w:sz="0" w:space="0" w:color="auto"/>
                                <w:left w:val="none" w:sz="0" w:space="0" w:color="auto"/>
                                <w:bottom w:val="none" w:sz="0" w:space="0" w:color="auto"/>
                                <w:right w:val="none" w:sz="0" w:space="0" w:color="auto"/>
                              </w:divBdr>
                              <w:divsChild>
                                <w:div w:id="1816986203">
                                  <w:marLeft w:val="0"/>
                                  <w:marRight w:val="0"/>
                                  <w:marTop w:val="0"/>
                                  <w:marBottom w:val="0"/>
                                  <w:divBdr>
                                    <w:top w:val="none" w:sz="0" w:space="0" w:color="auto"/>
                                    <w:left w:val="none" w:sz="0" w:space="0" w:color="auto"/>
                                    <w:bottom w:val="none" w:sz="0" w:space="0" w:color="auto"/>
                                    <w:right w:val="none" w:sz="0" w:space="0" w:color="auto"/>
                                  </w:divBdr>
                                  <w:divsChild>
                                    <w:div w:id="1194535718">
                                      <w:blockQuote w:val="1"/>
                                      <w:marLeft w:val="450"/>
                                      <w:marRight w:val="45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2931955">
      <w:bodyDiv w:val="1"/>
      <w:marLeft w:val="0"/>
      <w:marRight w:val="0"/>
      <w:marTop w:val="0"/>
      <w:marBottom w:val="0"/>
      <w:divBdr>
        <w:top w:val="none" w:sz="0" w:space="0" w:color="auto"/>
        <w:left w:val="none" w:sz="0" w:space="0" w:color="auto"/>
        <w:bottom w:val="none" w:sz="0" w:space="0" w:color="auto"/>
        <w:right w:val="none" w:sz="0" w:space="0" w:color="auto"/>
      </w:divBdr>
      <w:divsChild>
        <w:div w:id="2107575516">
          <w:marLeft w:val="547"/>
          <w:marRight w:val="0"/>
          <w:marTop w:val="0"/>
          <w:marBottom w:val="0"/>
          <w:divBdr>
            <w:top w:val="none" w:sz="0" w:space="0" w:color="auto"/>
            <w:left w:val="none" w:sz="0" w:space="0" w:color="auto"/>
            <w:bottom w:val="none" w:sz="0" w:space="0" w:color="auto"/>
            <w:right w:val="none" w:sz="0" w:space="0" w:color="auto"/>
          </w:divBdr>
        </w:div>
      </w:divsChild>
    </w:div>
    <w:div w:id="1986012482">
      <w:bodyDiv w:val="1"/>
      <w:marLeft w:val="0"/>
      <w:marRight w:val="0"/>
      <w:marTop w:val="0"/>
      <w:marBottom w:val="0"/>
      <w:divBdr>
        <w:top w:val="none" w:sz="0" w:space="0" w:color="auto"/>
        <w:left w:val="none" w:sz="0" w:space="0" w:color="auto"/>
        <w:bottom w:val="none" w:sz="0" w:space="0" w:color="auto"/>
        <w:right w:val="none" w:sz="0" w:space="0" w:color="auto"/>
      </w:divBdr>
      <w:divsChild>
        <w:div w:id="1940210325">
          <w:marLeft w:val="547"/>
          <w:marRight w:val="0"/>
          <w:marTop w:val="0"/>
          <w:marBottom w:val="0"/>
          <w:divBdr>
            <w:top w:val="none" w:sz="0" w:space="0" w:color="auto"/>
            <w:left w:val="none" w:sz="0" w:space="0" w:color="auto"/>
            <w:bottom w:val="none" w:sz="0" w:space="0" w:color="auto"/>
            <w:right w:val="none" w:sz="0" w:space="0" w:color="auto"/>
          </w:divBdr>
        </w:div>
      </w:divsChild>
    </w:div>
    <w:div w:id="2051683282">
      <w:bodyDiv w:val="1"/>
      <w:marLeft w:val="0"/>
      <w:marRight w:val="0"/>
      <w:marTop w:val="0"/>
      <w:marBottom w:val="0"/>
      <w:divBdr>
        <w:top w:val="none" w:sz="0" w:space="0" w:color="auto"/>
        <w:left w:val="none" w:sz="0" w:space="0" w:color="auto"/>
        <w:bottom w:val="none" w:sz="0" w:space="0" w:color="auto"/>
        <w:right w:val="none" w:sz="0" w:space="0" w:color="auto"/>
      </w:divBdr>
      <w:divsChild>
        <w:div w:id="432407732">
          <w:marLeft w:val="0"/>
          <w:marRight w:val="0"/>
          <w:marTop w:val="0"/>
          <w:marBottom w:val="0"/>
          <w:divBdr>
            <w:top w:val="none" w:sz="0" w:space="0" w:color="auto"/>
            <w:left w:val="none" w:sz="0" w:space="0" w:color="auto"/>
            <w:bottom w:val="none" w:sz="0" w:space="0" w:color="auto"/>
            <w:right w:val="none" w:sz="0" w:space="0" w:color="auto"/>
          </w:divBdr>
          <w:divsChild>
            <w:div w:id="853494613">
              <w:marLeft w:val="0"/>
              <w:marRight w:val="0"/>
              <w:marTop w:val="0"/>
              <w:marBottom w:val="0"/>
              <w:divBdr>
                <w:top w:val="none" w:sz="0" w:space="0" w:color="auto"/>
                <w:left w:val="none" w:sz="0" w:space="0" w:color="auto"/>
                <w:bottom w:val="none" w:sz="0" w:space="0" w:color="auto"/>
                <w:right w:val="none" w:sz="0" w:space="0" w:color="auto"/>
              </w:divBdr>
              <w:divsChild>
                <w:div w:id="162625342">
                  <w:marLeft w:val="0"/>
                  <w:marRight w:val="0"/>
                  <w:marTop w:val="0"/>
                  <w:marBottom w:val="0"/>
                  <w:divBdr>
                    <w:top w:val="none" w:sz="0" w:space="0" w:color="auto"/>
                    <w:left w:val="none" w:sz="0" w:space="0" w:color="auto"/>
                    <w:bottom w:val="none" w:sz="0" w:space="0" w:color="auto"/>
                    <w:right w:val="none" w:sz="0" w:space="0" w:color="auto"/>
                  </w:divBdr>
                  <w:divsChild>
                    <w:div w:id="53747554">
                      <w:marLeft w:val="0"/>
                      <w:marRight w:val="0"/>
                      <w:marTop w:val="0"/>
                      <w:marBottom w:val="0"/>
                      <w:divBdr>
                        <w:top w:val="none" w:sz="0" w:space="0" w:color="auto"/>
                        <w:left w:val="none" w:sz="0" w:space="0" w:color="auto"/>
                        <w:bottom w:val="none" w:sz="0" w:space="0" w:color="auto"/>
                        <w:right w:val="none" w:sz="0" w:space="0" w:color="auto"/>
                      </w:divBdr>
                      <w:divsChild>
                        <w:div w:id="1583292265">
                          <w:marLeft w:val="0"/>
                          <w:marRight w:val="0"/>
                          <w:marTop w:val="0"/>
                          <w:marBottom w:val="0"/>
                          <w:divBdr>
                            <w:top w:val="none" w:sz="0" w:space="0" w:color="auto"/>
                            <w:left w:val="none" w:sz="0" w:space="0" w:color="auto"/>
                            <w:bottom w:val="none" w:sz="0" w:space="0" w:color="auto"/>
                            <w:right w:val="none" w:sz="0" w:space="0" w:color="auto"/>
                          </w:divBdr>
                          <w:divsChild>
                            <w:div w:id="89975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manrights.gov.au/targetedrecruit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endnotes.xml.rels><?xml version="1.0" encoding="UTF-8" standalone="yes"?>
<Relationships xmlns="http://schemas.openxmlformats.org/package/2006/relationships"><Relationship Id="rId1" Type="http://schemas.openxmlformats.org/officeDocument/2006/relationships/hyperlink" Target="http://www.dpmc.gov.au/pmc-indigenous-affairs/publication/closing-gap-prime-ministers-report-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F24FB-0FCA-4E45-B323-F56F77968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Template>
  <TotalTime>111</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5312</CharactersWithSpaces>
  <SharedDoc>false</SharedDoc>
  <HLinks>
    <vt:vector size="36" baseType="variant">
      <vt:variant>
        <vt:i4>1572920</vt:i4>
      </vt:variant>
      <vt:variant>
        <vt:i4>32</vt:i4>
      </vt:variant>
      <vt:variant>
        <vt:i4>0</vt:i4>
      </vt:variant>
      <vt:variant>
        <vt:i4>5</vt:i4>
      </vt:variant>
      <vt:variant>
        <vt:lpwstr/>
      </vt:variant>
      <vt:variant>
        <vt:lpwstr>_Toc209941772</vt:lpwstr>
      </vt:variant>
      <vt:variant>
        <vt:i4>1572920</vt:i4>
      </vt:variant>
      <vt:variant>
        <vt:i4>26</vt:i4>
      </vt:variant>
      <vt:variant>
        <vt:i4>0</vt:i4>
      </vt:variant>
      <vt:variant>
        <vt:i4>5</vt:i4>
      </vt:variant>
      <vt:variant>
        <vt:lpwstr/>
      </vt:variant>
      <vt:variant>
        <vt:lpwstr>_Toc209941771</vt:lpwstr>
      </vt:variant>
      <vt:variant>
        <vt:i4>1572920</vt:i4>
      </vt:variant>
      <vt:variant>
        <vt:i4>20</vt:i4>
      </vt:variant>
      <vt:variant>
        <vt:i4>0</vt:i4>
      </vt:variant>
      <vt:variant>
        <vt:i4>5</vt:i4>
      </vt:variant>
      <vt:variant>
        <vt:lpwstr/>
      </vt:variant>
      <vt:variant>
        <vt:lpwstr>_Toc209941771</vt:lpwstr>
      </vt:variant>
      <vt:variant>
        <vt:i4>1572920</vt:i4>
      </vt:variant>
      <vt:variant>
        <vt:i4>14</vt:i4>
      </vt:variant>
      <vt:variant>
        <vt:i4>0</vt:i4>
      </vt:variant>
      <vt:variant>
        <vt:i4>5</vt:i4>
      </vt:variant>
      <vt:variant>
        <vt:lpwstr/>
      </vt:variant>
      <vt:variant>
        <vt:lpwstr>_Toc209941770</vt:lpwstr>
      </vt:variant>
      <vt:variant>
        <vt:i4>1638456</vt:i4>
      </vt:variant>
      <vt:variant>
        <vt:i4>8</vt:i4>
      </vt:variant>
      <vt:variant>
        <vt:i4>0</vt:i4>
      </vt:variant>
      <vt:variant>
        <vt:i4>5</vt:i4>
      </vt:variant>
      <vt:variant>
        <vt:lpwstr/>
      </vt:variant>
      <vt:variant>
        <vt:lpwstr>_Toc209941769</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Sarah Dillon</dc:creator>
  <cp:lastModifiedBy>Sarah Dillon</cp:lastModifiedBy>
  <cp:revision>66</cp:revision>
  <cp:lastPrinted>2015-12-11T00:44:00Z</cp:lastPrinted>
  <dcterms:created xsi:type="dcterms:W3CDTF">2015-12-10T05:45:00Z</dcterms:created>
  <dcterms:modified xsi:type="dcterms:W3CDTF">2015-12-11T01:24:00Z</dcterms:modified>
</cp:coreProperties>
</file>