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6B5095" w14:textId="35A2D737" w:rsidR="00591951" w:rsidRPr="009640F7" w:rsidRDefault="007853D6" w:rsidP="00591951">
      <w:pPr>
        <w:tabs>
          <w:tab w:val="left" w:pos="3014"/>
        </w:tabs>
        <w:spacing w:after="3000"/>
        <w:rPr>
          <w:rStyle w:val="FootnoteReference"/>
        </w:rPr>
      </w:pPr>
      <w:r w:rsidRPr="009640F7">
        <w:rPr>
          <w:noProof/>
        </w:rPr>
        <mc:AlternateContent>
          <mc:Choice Requires="wps">
            <w:drawing>
              <wp:anchor distT="0" distB="0" distL="114300" distR="114300" simplePos="0" relativeHeight="251657728" behindDoc="0" locked="0" layoutInCell="1" allowOverlap="1" wp14:anchorId="1DECE094" wp14:editId="4757664B">
                <wp:simplePos x="0" y="0"/>
                <wp:positionH relativeFrom="column">
                  <wp:posOffset>124330</wp:posOffset>
                </wp:positionH>
                <wp:positionV relativeFrom="paragraph">
                  <wp:posOffset>1459756</wp:posOffset>
                </wp:positionV>
                <wp:extent cx="5609042"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9042" cy="504825"/>
                        </a:xfrm>
                        <a:prstGeom prst="rect">
                          <a:avLst/>
                        </a:prstGeom>
                        <a:noFill/>
                        <a:ln w="6350">
                          <a:noFill/>
                        </a:ln>
                        <a:effectLst/>
                      </wps:spPr>
                      <wps:txbx>
                        <w:txbxContent>
                          <w:p w14:paraId="2BDCF67B" w14:textId="68919986" w:rsidR="005F406F" w:rsidRPr="00B74219" w:rsidRDefault="005F406F" w:rsidP="00A11307">
                            <w:pPr>
                              <w:pStyle w:val="Subtitle"/>
                            </w:pPr>
                            <w:bookmarkStart w:id="1" w:name="_Toc505951144"/>
                            <w:r w:rsidRPr="002863D7">
                              <w:t xml:space="preserve">Australian Human Rights Commission Submission to the </w:t>
                            </w:r>
                            <w:r>
                              <w:t>Discussion Paper: remote employment and participation</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CE094" id="_x0000_t202" coordsize="21600,21600" o:spt="202" path="m,l,21600r21600,l21600,xe">
                <v:stroke joinstyle="miter"/>
                <v:path gradientshapeok="t" o:connecttype="rect"/>
              </v:shapetype>
              <v:shape id="Text Box 3" o:spid="_x0000_s1026" type="#_x0000_t202" style="position:absolute;margin-left:9.8pt;margin-top:114.95pt;width:441.6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" filled="f" stroked="f" strokeweight=".5pt">
                <v:path arrowok="t"/>
                <v:textbox>
                  <w:txbxContent>
                    <w:p w14:paraId="2BDCF67B" w14:textId="68919986" w:rsidR="005F406F" w:rsidRPr="00B74219" w:rsidRDefault="005F406F" w:rsidP="00A11307">
                      <w:pPr>
                        <w:pStyle w:val="Subtitle"/>
                      </w:pPr>
                      <w:bookmarkStart w:id="1" w:name="_Toc505951144"/>
                      <w:r w:rsidRPr="002863D7">
                        <w:t xml:space="preserve">Australian Human Rights Commission Submission to the </w:t>
                      </w:r>
                      <w:r>
                        <w:t>Discussion Paper: remote employment and participation</w:t>
                      </w:r>
                      <w:bookmarkEnd w:id="1"/>
                    </w:p>
                  </w:txbxContent>
                </v:textbox>
              </v:shape>
            </w:pict>
          </mc:Fallback>
        </mc:AlternateContent>
      </w:r>
      <w:r w:rsidR="003D66C0" w:rsidRPr="009640F7">
        <w:rPr>
          <w:noProof/>
        </w:rPr>
        <mc:AlternateContent>
          <mc:Choice Requires="wps">
            <w:drawing>
              <wp:anchor distT="0" distB="0" distL="114300" distR="114300" simplePos="0" relativeHeight="251656704" behindDoc="0" locked="0" layoutInCell="1" allowOverlap="1" wp14:anchorId="65E3A331" wp14:editId="28CB6044">
                <wp:simplePos x="0" y="0"/>
                <wp:positionH relativeFrom="column">
                  <wp:posOffset>2000425</wp:posOffset>
                </wp:positionH>
                <wp:positionV relativeFrom="paragraph">
                  <wp:posOffset>-37969</wp:posOffset>
                </wp:positionV>
                <wp:extent cx="3731698"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1698" cy="1485900"/>
                        </a:xfrm>
                        <a:prstGeom prst="rect">
                          <a:avLst/>
                        </a:prstGeom>
                        <a:noFill/>
                        <a:ln w="6350">
                          <a:noFill/>
                        </a:ln>
                        <a:effectLst/>
                      </wps:spPr>
                      <wps:txbx>
                        <w:txbxContent>
                          <w:p w14:paraId="7DE93D21" w14:textId="711ECC80" w:rsidR="005F406F" w:rsidRDefault="005F406F" w:rsidP="00FD01B5">
                            <w:pPr>
                              <w:pStyle w:val="MainTitle"/>
                            </w:pPr>
                            <w:r>
                              <w:rPr>
                                <w:rFonts w:cs="Arial"/>
                              </w:rPr>
                              <w:t xml:space="preserve">Remote employment and participation for Indigenous peoples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A331" id="Text Box 1" o:spid="_x0000_s1027" type="#_x0000_t202" style="position:absolute;margin-left:157.5pt;margin-top:-3pt;width:293.8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" filled="f" stroked="f" strokeweight=".5pt">
                <v:path arrowok="t"/>
                <v:textbox>
                  <w:txbxContent>
                    <w:p w14:paraId="7DE93D21" w14:textId="711ECC80" w:rsidR="005F406F" w:rsidRDefault="005F406F" w:rsidP="00FD01B5">
                      <w:pPr>
                        <w:pStyle w:val="MainTitle"/>
                      </w:pPr>
                      <w:r>
                        <w:rPr>
                          <w:rFonts w:cs="Arial"/>
                        </w:rPr>
                        <w:t xml:space="preserve">Remote employment and participation for Indigenous peoples  </w:t>
                      </w:r>
                    </w:p>
                  </w:txbxContent>
                </v:textbox>
              </v:shape>
            </w:pict>
          </mc:Fallback>
        </mc:AlternateContent>
      </w:r>
      <w:r w:rsidR="007E4A34" w:rsidRPr="009640F7">
        <w:rPr>
          <w:noProof/>
        </w:rPr>
        <mc:AlternateContent>
          <mc:Choice Requires="wps">
            <w:drawing>
              <wp:anchor distT="0" distB="0" distL="114300" distR="114300" simplePos="0" relativeHeight="251658752" behindDoc="0" locked="0" layoutInCell="1" allowOverlap="1" wp14:anchorId="272A1AAD" wp14:editId="154E2AC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33245890" w14:textId="1CF8DBFC" w:rsidR="005F406F" w:rsidRPr="00B74219" w:rsidRDefault="005F406F" w:rsidP="002863D7">
                            <w:pPr>
                              <w:pStyle w:val="Date"/>
                            </w:pPr>
                            <w:r>
                              <w:t>09</w:t>
                            </w:r>
                            <w:r w:rsidRPr="004D6CA4">
                              <w:t xml:space="preserve"> </w:t>
                            </w:r>
                            <w:r>
                              <w:t xml:space="preserve">February </w:t>
                            </w:r>
                            <w:r w:rsidRPr="004D6CA4">
                              <w:t>201</w:t>
                            </w: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1AAD"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33245890" w14:textId="1CF8DBFC" w:rsidR="005F406F" w:rsidRPr="00B74219" w:rsidRDefault="005F406F" w:rsidP="002863D7">
                      <w:pPr>
                        <w:pStyle w:val="Date"/>
                      </w:pPr>
                      <w:r>
                        <w:t>09</w:t>
                      </w:r>
                      <w:r w:rsidRPr="004D6CA4">
                        <w:t xml:space="preserve"> </w:t>
                      </w:r>
                      <w:r>
                        <w:t xml:space="preserve">February </w:t>
                      </w:r>
                      <w:r w:rsidRPr="004D6CA4">
                        <w:t>201</w:t>
                      </w:r>
                      <w:r>
                        <w:t>8</w:t>
                      </w:r>
                    </w:p>
                  </w:txbxContent>
                </v:textbox>
              </v:shape>
            </w:pict>
          </mc:Fallback>
        </mc:AlternateContent>
      </w:r>
    </w:p>
    <w:p w14:paraId="07FF3C9F" w14:textId="77777777" w:rsidR="00591951" w:rsidRPr="009640F7" w:rsidRDefault="00591951" w:rsidP="00591951">
      <w:pPr>
        <w:pStyle w:val="MainTitle"/>
        <w:rPr>
          <w:sz w:val="44"/>
          <w:szCs w:val="44"/>
        </w:rPr>
      </w:pPr>
    </w:p>
    <w:p w14:paraId="65C56717" w14:textId="77777777" w:rsidR="00B924E6" w:rsidRPr="009640F7" w:rsidRDefault="00B924E6" w:rsidP="00E26B28">
      <w:pPr>
        <w:sectPr w:rsidR="00B924E6" w:rsidRPr="009640F7"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596FCBB4" w14:textId="77777777" w:rsidR="00C700C4" w:rsidRDefault="00B63D24" w:rsidP="00242DD5">
      <w:pPr>
        <w:rPr>
          <w:noProof/>
        </w:rPr>
      </w:pPr>
      <w:bookmarkStart w:id="3" w:name="_Toc207761829"/>
      <w:r w:rsidRPr="009640F7">
        <w:rPr>
          <w:b/>
          <w:sz w:val="28"/>
          <w:szCs w:val="28"/>
        </w:rPr>
        <w:lastRenderedPageBreak/>
        <w:t>Table of Contents</w:t>
      </w:r>
      <w:bookmarkEnd w:id="3"/>
      <w:r w:rsidRPr="009640F7">
        <w:fldChar w:fldCharType="begin"/>
      </w:r>
      <w:r w:rsidRPr="009640F7">
        <w:instrText xml:space="preserve"> TOC \o "1-4" \h \z \u </w:instrText>
      </w:r>
      <w:r w:rsidRPr="009640F7">
        <w:fldChar w:fldCharType="separate"/>
      </w:r>
    </w:p>
    <w:p w14:paraId="30E69DEB" w14:textId="14A70F9E" w:rsidR="00C700C4" w:rsidRDefault="00B76C90">
      <w:pPr>
        <w:pStyle w:val="TOC2"/>
        <w:rPr>
          <w:rFonts w:asciiTheme="minorHAnsi" w:eastAsiaTheme="minorEastAsia" w:hAnsiTheme="minorHAnsi" w:cstheme="minorBidi"/>
          <w:b w:val="0"/>
          <w:i w:val="0"/>
          <w:sz w:val="22"/>
          <w:szCs w:val="22"/>
        </w:rPr>
      </w:pPr>
      <w:hyperlink r:id="rId13" w:anchor="_Toc505951144" w:history="1">
        <w:r w:rsidR="00C700C4" w:rsidRPr="002916D5">
          <w:rPr>
            <w:rStyle w:val="Hyperlink"/>
          </w:rPr>
          <w:t>Australian Human Rights Commission Submission to the Discussion Paper: remote employment and participation</w:t>
        </w:r>
        <w:r w:rsidR="00C700C4">
          <w:rPr>
            <w:webHidden/>
          </w:rPr>
          <w:tab/>
        </w:r>
        <w:r w:rsidR="00C700C4">
          <w:rPr>
            <w:webHidden/>
          </w:rPr>
          <w:fldChar w:fldCharType="begin"/>
        </w:r>
        <w:r w:rsidR="00C700C4">
          <w:rPr>
            <w:webHidden/>
          </w:rPr>
          <w:instrText xml:space="preserve"> PAGEREF _Toc505951144 \h </w:instrText>
        </w:r>
        <w:r w:rsidR="00C700C4">
          <w:rPr>
            <w:webHidden/>
          </w:rPr>
        </w:r>
        <w:r w:rsidR="00C700C4">
          <w:rPr>
            <w:webHidden/>
          </w:rPr>
          <w:fldChar w:fldCharType="separate"/>
        </w:r>
        <w:r>
          <w:rPr>
            <w:webHidden/>
          </w:rPr>
          <w:t>1</w:t>
        </w:r>
        <w:r w:rsidR="00C700C4">
          <w:rPr>
            <w:webHidden/>
          </w:rPr>
          <w:fldChar w:fldCharType="end"/>
        </w:r>
      </w:hyperlink>
    </w:p>
    <w:p w14:paraId="1A451EEF" w14:textId="7B38312F" w:rsidR="00C700C4" w:rsidRDefault="00B76C90">
      <w:pPr>
        <w:pStyle w:val="TOC1"/>
        <w:rPr>
          <w:rFonts w:asciiTheme="minorHAnsi" w:eastAsiaTheme="minorEastAsia" w:hAnsiTheme="minorHAnsi" w:cstheme="minorBidi"/>
          <w:b w:val="0"/>
          <w:szCs w:val="22"/>
        </w:rPr>
      </w:pPr>
      <w:hyperlink w:anchor="_Toc505951145" w:history="1">
        <w:r w:rsidR="00C700C4" w:rsidRPr="002916D5">
          <w:rPr>
            <w:rStyle w:val="Hyperlink"/>
          </w:rPr>
          <w:t>1</w:t>
        </w:r>
        <w:r w:rsidR="00C700C4">
          <w:rPr>
            <w:rFonts w:asciiTheme="minorHAnsi" w:eastAsiaTheme="minorEastAsia" w:hAnsiTheme="minorHAnsi" w:cstheme="minorBidi"/>
            <w:b w:val="0"/>
            <w:szCs w:val="22"/>
          </w:rPr>
          <w:tab/>
        </w:r>
        <w:r w:rsidR="00C700C4" w:rsidRPr="002916D5">
          <w:rPr>
            <w:rStyle w:val="Hyperlink"/>
          </w:rPr>
          <w:t>Introduction</w:t>
        </w:r>
        <w:r w:rsidR="00C700C4">
          <w:rPr>
            <w:webHidden/>
          </w:rPr>
          <w:tab/>
        </w:r>
        <w:r w:rsidR="00C700C4">
          <w:rPr>
            <w:webHidden/>
          </w:rPr>
          <w:fldChar w:fldCharType="begin"/>
        </w:r>
        <w:r w:rsidR="00C700C4">
          <w:rPr>
            <w:webHidden/>
          </w:rPr>
          <w:instrText xml:space="preserve"> PAGEREF _Toc505951145 \h </w:instrText>
        </w:r>
        <w:r w:rsidR="00C700C4">
          <w:rPr>
            <w:webHidden/>
          </w:rPr>
        </w:r>
        <w:r w:rsidR="00C700C4">
          <w:rPr>
            <w:webHidden/>
          </w:rPr>
          <w:fldChar w:fldCharType="separate"/>
        </w:r>
        <w:r>
          <w:rPr>
            <w:webHidden/>
          </w:rPr>
          <w:t>3</w:t>
        </w:r>
        <w:r w:rsidR="00C700C4">
          <w:rPr>
            <w:webHidden/>
          </w:rPr>
          <w:fldChar w:fldCharType="end"/>
        </w:r>
      </w:hyperlink>
    </w:p>
    <w:p w14:paraId="68C07324" w14:textId="36BCDCFD" w:rsidR="00C700C4" w:rsidRDefault="00B76C90">
      <w:pPr>
        <w:pStyle w:val="TOC1"/>
        <w:rPr>
          <w:rFonts w:asciiTheme="minorHAnsi" w:eastAsiaTheme="minorEastAsia" w:hAnsiTheme="minorHAnsi" w:cstheme="minorBidi"/>
          <w:b w:val="0"/>
          <w:szCs w:val="22"/>
        </w:rPr>
      </w:pPr>
      <w:hyperlink w:anchor="_Toc505951146" w:history="1">
        <w:r w:rsidR="00C700C4" w:rsidRPr="002916D5">
          <w:rPr>
            <w:rStyle w:val="Hyperlink"/>
          </w:rPr>
          <w:t>2</w:t>
        </w:r>
        <w:r w:rsidR="00C700C4">
          <w:rPr>
            <w:rFonts w:asciiTheme="minorHAnsi" w:eastAsiaTheme="minorEastAsia" w:hAnsiTheme="minorHAnsi" w:cstheme="minorBidi"/>
            <w:b w:val="0"/>
            <w:szCs w:val="22"/>
          </w:rPr>
          <w:tab/>
        </w:r>
        <w:r w:rsidR="00C700C4" w:rsidRPr="002916D5">
          <w:rPr>
            <w:rStyle w:val="Hyperlink"/>
          </w:rPr>
          <w:t>Recommendations</w:t>
        </w:r>
        <w:r w:rsidR="00C700C4">
          <w:rPr>
            <w:webHidden/>
          </w:rPr>
          <w:tab/>
        </w:r>
        <w:r w:rsidR="00C700C4">
          <w:rPr>
            <w:webHidden/>
          </w:rPr>
          <w:fldChar w:fldCharType="begin"/>
        </w:r>
        <w:r w:rsidR="00C700C4">
          <w:rPr>
            <w:webHidden/>
          </w:rPr>
          <w:instrText xml:space="preserve"> PAGEREF _Toc505951146 \h </w:instrText>
        </w:r>
        <w:r w:rsidR="00C700C4">
          <w:rPr>
            <w:webHidden/>
          </w:rPr>
        </w:r>
        <w:r w:rsidR="00C700C4">
          <w:rPr>
            <w:webHidden/>
          </w:rPr>
          <w:fldChar w:fldCharType="separate"/>
        </w:r>
        <w:r>
          <w:rPr>
            <w:webHidden/>
          </w:rPr>
          <w:t>5</w:t>
        </w:r>
        <w:r w:rsidR="00C700C4">
          <w:rPr>
            <w:webHidden/>
          </w:rPr>
          <w:fldChar w:fldCharType="end"/>
        </w:r>
      </w:hyperlink>
    </w:p>
    <w:p w14:paraId="3A0E0E62" w14:textId="0EEB70D6" w:rsidR="00C700C4" w:rsidRDefault="00B76C90">
      <w:pPr>
        <w:pStyle w:val="TOC1"/>
        <w:rPr>
          <w:rFonts w:asciiTheme="minorHAnsi" w:eastAsiaTheme="minorEastAsia" w:hAnsiTheme="minorHAnsi" w:cstheme="minorBidi"/>
          <w:b w:val="0"/>
          <w:szCs w:val="22"/>
        </w:rPr>
      </w:pPr>
      <w:hyperlink w:anchor="_Toc505951147" w:history="1">
        <w:r w:rsidR="00C700C4" w:rsidRPr="002916D5">
          <w:rPr>
            <w:rStyle w:val="Hyperlink"/>
          </w:rPr>
          <w:t>3</w:t>
        </w:r>
        <w:r w:rsidR="00C700C4">
          <w:rPr>
            <w:rFonts w:asciiTheme="minorHAnsi" w:eastAsiaTheme="minorEastAsia" w:hAnsiTheme="minorHAnsi" w:cstheme="minorBidi"/>
            <w:b w:val="0"/>
            <w:szCs w:val="22"/>
          </w:rPr>
          <w:tab/>
        </w:r>
        <w:r w:rsidR="00C700C4" w:rsidRPr="002916D5">
          <w:rPr>
            <w:rStyle w:val="Hyperlink"/>
          </w:rPr>
          <w:t>A human rights based approach</w:t>
        </w:r>
        <w:r w:rsidR="00C700C4">
          <w:rPr>
            <w:webHidden/>
          </w:rPr>
          <w:tab/>
        </w:r>
        <w:r w:rsidR="00C700C4">
          <w:rPr>
            <w:webHidden/>
          </w:rPr>
          <w:fldChar w:fldCharType="begin"/>
        </w:r>
        <w:r w:rsidR="00C700C4">
          <w:rPr>
            <w:webHidden/>
          </w:rPr>
          <w:instrText xml:space="preserve"> PAGEREF _Toc505951147 \h </w:instrText>
        </w:r>
        <w:r w:rsidR="00C700C4">
          <w:rPr>
            <w:webHidden/>
          </w:rPr>
        </w:r>
        <w:r w:rsidR="00C700C4">
          <w:rPr>
            <w:webHidden/>
          </w:rPr>
          <w:fldChar w:fldCharType="separate"/>
        </w:r>
        <w:r>
          <w:rPr>
            <w:webHidden/>
          </w:rPr>
          <w:t>5</w:t>
        </w:r>
        <w:r w:rsidR="00C700C4">
          <w:rPr>
            <w:webHidden/>
          </w:rPr>
          <w:fldChar w:fldCharType="end"/>
        </w:r>
      </w:hyperlink>
    </w:p>
    <w:p w14:paraId="484AAB6E" w14:textId="37839E21" w:rsidR="00C700C4" w:rsidRDefault="00B76C90">
      <w:pPr>
        <w:pStyle w:val="TOC1"/>
        <w:tabs>
          <w:tab w:val="left" w:pos="958"/>
        </w:tabs>
        <w:rPr>
          <w:rFonts w:asciiTheme="minorHAnsi" w:eastAsiaTheme="minorEastAsia" w:hAnsiTheme="minorHAnsi" w:cstheme="minorBidi"/>
          <w:b w:val="0"/>
          <w:szCs w:val="22"/>
        </w:rPr>
      </w:pPr>
      <w:hyperlink w:anchor="_Toc505951148" w:history="1">
        <w:r w:rsidR="00C700C4" w:rsidRPr="002916D5">
          <w:rPr>
            <w:rStyle w:val="Hyperlink"/>
            <w:i/>
          </w:rPr>
          <w:t>3.1</w:t>
        </w:r>
        <w:r w:rsidR="00C700C4">
          <w:rPr>
            <w:rFonts w:asciiTheme="minorHAnsi" w:eastAsiaTheme="minorEastAsia" w:hAnsiTheme="minorHAnsi" w:cstheme="minorBidi"/>
            <w:b w:val="0"/>
            <w:szCs w:val="22"/>
          </w:rPr>
          <w:tab/>
        </w:r>
        <w:r w:rsidR="00C700C4" w:rsidRPr="002916D5">
          <w:rPr>
            <w:rStyle w:val="Hyperlink"/>
            <w:i/>
          </w:rPr>
          <w:t>The Racial Discrimination Act</w:t>
        </w:r>
        <w:r w:rsidR="00C700C4">
          <w:rPr>
            <w:webHidden/>
          </w:rPr>
          <w:tab/>
        </w:r>
        <w:r w:rsidR="00C700C4">
          <w:rPr>
            <w:webHidden/>
          </w:rPr>
          <w:fldChar w:fldCharType="begin"/>
        </w:r>
        <w:r w:rsidR="00C700C4">
          <w:rPr>
            <w:webHidden/>
          </w:rPr>
          <w:instrText xml:space="preserve"> PAGEREF _Toc505951148 \h </w:instrText>
        </w:r>
        <w:r w:rsidR="00C700C4">
          <w:rPr>
            <w:webHidden/>
          </w:rPr>
        </w:r>
        <w:r w:rsidR="00C700C4">
          <w:rPr>
            <w:webHidden/>
          </w:rPr>
          <w:fldChar w:fldCharType="separate"/>
        </w:r>
        <w:r>
          <w:rPr>
            <w:webHidden/>
          </w:rPr>
          <w:t>6</w:t>
        </w:r>
        <w:r w:rsidR="00C700C4">
          <w:rPr>
            <w:webHidden/>
          </w:rPr>
          <w:fldChar w:fldCharType="end"/>
        </w:r>
      </w:hyperlink>
    </w:p>
    <w:p w14:paraId="739F6F07" w14:textId="382CEA6A" w:rsidR="00C700C4" w:rsidRDefault="00B76C90">
      <w:pPr>
        <w:pStyle w:val="TOC1"/>
        <w:tabs>
          <w:tab w:val="left" w:pos="958"/>
        </w:tabs>
        <w:rPr>
          <w:rFonts w:asciiTheme="minorHAnsi" w:eastAsiaTheme="minorEastAsia" w:hAnsiTheme="minorHAnsi" w:cstheme="minorBidi"/>
          <w:b w:val="0"/>
          <w:szCs w:val="22"/>
        </w:rPr>
      </w:pPr>
      <w:hyperlink w:anchor="_Toc505951149" w:history="1">
        <w:r w:rsidR="00C700C4" w:rsidRPr="002916D5">
          <w:rPr>
            <w:rStyle w:val="Hyperlink"/>
            <w:i/>
          </w:rPr>
          <w:t>3.2</w:t>
        </w:r>
        <w:r w:rsidR="00C700C4">
          <w:rPr>
            <w:rFonts w:asciiTheme="minorHAnsi" w:eastAsiaTheme="minorEastAsia" w:hAnsiTheme="minorHAnsi" w:cstheme="minorBidi"/>
            <w:b w:val="0"/>
            <w:szCs w:val="22"/>
          </w:rPr>
          <w:tab/>
        </w:r>
        <w:r w:rsidR="00C700C4" w:rsidRPr="002916D5">
          <w:rPr>
            <w:rStyle w:val="Hyperlink"/>
            <w:i/>
          </w:rPr>
          <w:t>The right to social security</w:t>
        </w:r>
        <w:r w:rsidR="00C700C4">
          <w:rPr>
            <w:webHidden/>
          </w:rPr>
          <w:tab/>
        </w:r>
        <w:r w:rsidR="00C700C4">
          <w:rPr>
            <w:webHidden/>
          </w:rPr>
          <w:fldChar w:fldCharType="begin"/>
        </w:r>
        <w:r w:rsidR="00C700C4">
          <w:rPr>
            <w:webHidden/>
          </w:rPr>
          <w:instrText xml:space="preserve"> PAGEREF _Toc505951149 \h </w:instrText>
        </w:r>
        <w:r w:rsidR="00C700C4">
          <w:rPr>
            <w:webHidden/>
          </w:rPr>
        </w:r>
        <w:r w:rsidR="00C700C4">
          <w:rPr>
            <w:webHidden/>
          </w:rPr>
          <w:fldChar w:fldCharType="separate"/>
        </w:r>
        <w:r>
          <w:rPr>
            <w:webHidden/>
          </w:rPr>
          <w:t>7</w:t>
        </w:r>
        <w:r w:rsidR="00C700C4">
          <w:rPr>
            <w:webHidden/>
          </w:rPr>
          <w:fldChar w:fldCharType="end"/>
        </w:r>
      </w:hyperlink>
    </w:p>
    <w:p w14:paraId="4673581A" w14:textId="10058A33" w:rsidR="00C700C4" w:rsidRDefault="00B76C90">
      <w:pPr>
        <w:pStyle w:val="TOC1"/>
        <w:rPr>
          <w:rFonts w:asciiTheme="minorHAnsi" w:eastAsiaTheme="minorEastAsia" w:hAnsiTheme="minorHAnsi" w:cstheme="minorBidi"/>
          <w:b w:val="0"/>
          <w:szCs w:val="22"/>
        </w:rPr>
      </w:pPr>
      <w:hyperlink w:anchor="_Toc505951150" w:history="1">
        <w:r w:rsidR="00C700C4" w:rsidRPr="002916D5">
          <w:rPr>
            <w:rStyle w:val="Hyperlink"/>
          </w:rPr>
          <w:t>4</w:t>
        </w:r>
        <w:r w:rsidR="00C700C4">
          <w:rPr>
            <w:rFonts w:asciiTheme="minorHAnsi" w:eastAsiaTheme="minorEastAsia" w:hAnsiTheme="minorHAnsi" w:cstheme="minorBidi"/>
            <w:b w:val="0"/>
            <w:szCs w:val="22"/>
          </w:rPr>
          <w:tab/>
        </w:r>
        <w:r w:rsidR="00C700C4" w:rsidRPr="002916D5">
          <w:rPr>
            <w:rStyle w:val="Hyperlink"/>
          </w:rPr>
          <w:t>The Community Development Programme</w:t>
        </w:r>
        <w:r w:rsidR="00C700C4">
          <w:rPr>
            <w:webHidden/>
          </w:rPr>
          <w:tab/>
        </w:r>
        <w:r w:rsidR="00C700C4">
          <w:rPr>
            <w:webHidden/>
          </w:rPr>
          <w:fldChar w:fldCharType="begin"/>
        </w:r>
        <w:r w:rsidR="00C700C4">
          <w:rPr>
            <w:webHidden/>
          </w:rPr>
          <w:instrText xml:space="preserve"> PAGEREF _Toc505951150 \h </w:instrText>
        </w:r>
        <w:r w:rsidR="00C700C4">
          <w:rPr>
            <w:webHidden/>
          </w:rPr>
        </w:r>
        <w:r w:rsidR="00C700C4">
          <w:rPr>
            <w:webHidden/>
          </w:rPr>
          <w:fldChar w:fldCharType="separate"/>
        </w:r>
        <w:r>
          <w:rPr>
            <w:webHidden/>
          </w:rPr>
          <w:t>8</w:t>
        </w:r>
        <w:r w:rsidR="00C700C4">
          <w:rPr>
            <w:webHidden/>
          </w:rPr>
          <w:fldChar w:fldCharType="end"/>
        </w:r>
      </w:hyperlink>
    </w:p>
    <w:p w14:paraId="5207C153" w14:textId="1A122F23" w:rsidR="00C700C4" w:rsidRDefault="00B76C90">
      <w:pPr>
        <w:pStyle w:val="TOC1"/>
        <w:tabs>
          <w:tab w:val="left" w:pos="958"/>
        </w:tabs>
        <w:rPr>
          <w:rFonts w:asciiTheme="minorHAnsi" w:eastAsiaTheme="minorEastAsia" w:hAnsiTheme="minorHAnsi" w:cstheme="minorBidi"/>
          <w:b w:val="0"/>
          <w:szCs w:val="22"/>
        </w:rPr>
      </w:pPr>
      <w:hyperlink w:anchor="_Toc505951151" w:history="1">
        <w:r w:rsidR="00C700C4" w:rsidRPr="002916D5">
          <w:rPr>
            <w:rStyle w:val="Hyperlink"/>
            <w:i/>
          </w:rPr>
          <w:t>4.1</w:t>
        </w:r>
        <w:r w:rsidR="00C700C4">
          <w:rPr>
            <w:rFonts w:asciiTheme="minorHAnsi" w:eastAsiaTheme="minorEastAsia" w:hAnsiTheme="minorHAnsi" w:cstheme="minorBidi"/>
            <w:b w:val="0"/>
            <w:szCs w:val="22"/>
          </w:rPr>
          <w:tab/>
        </w:r>
        <w:r w:rsidR="00C700C4" w:rsidRPr="002916D5">
          <w:rPr>
            <w:rStyle w:val="Hyperlink"/>
            <w:i/>
          </w:rPr>
          <w:t>Wage conditions</w:t>
        </w:r>
        <w:r w:rsidR="00C700C4">
          <w:rPr>
            <w:webHidden/>
          </w:rPr>
          <w:tab/>
        </w:r>
        <w:r w:rsidR="00C700C4">
          <w:rPr>
            <w:webHidden/>
          </w:rPr>
          <w:fldChar w:fldCharType="begin"/>
        </w:r>
        <w:r w:rsidR="00C700C4">
          <w:rPr>
            <w:webHidden/>
          </w:rPr>
          <w:instrText xml:space="preserve"> PAGEREF _Toc505951151 \h </w:instrText>
        </w:r>
        <w:r w:rsidR="00C700C4">
          <w:rPr>
            <w:webHidden/>
          </w:rPr>
        </w:r>
        <w:r w:rsidR="00C700C4">
          <w:rPr>
            <w:webHidden/>
          </w:rPr>
          <w:fldChar w:fldCharType="separate"/>
        </w:r>
        <w:r>
          <w:rPr>
            <w:webHidden/>
          </w:rPr>
          <w:t>8</w:t>
        </w:r>
        <w:r w:rsidR="00C700C4">
          <w:rPr>
            <w:webHidden/>
          </w:rPr>
          <w:fldChar w:fldCharType="end"/>
        </w:r>
      </w:hyperlink>
    </w:p>
    <w:p w14:paraId="0E906BDD" w14:textId="14338FCC" w:rsidR="00C700C4" w:rsidRDefault="00B76C90">
      <w:pPr>
        <w:pStyle w:val="TOC1"/>
        <w:tabs>
          <w:tab w:val="left" w:pos="958"/>
        </w:tabs>
        <w:rPr>
          <w:rFonts w:asciiTheme="minorHAnsi" w:eastAsiaTheme="minorEastAsia" w:hAnsiTheme="minorHAnsi" w:cstheme="minorBidi"/>
          <w:b w:val="0"/>
          <w:szCs w:val="22"/>
        </w:rPr>
      </w:pPr>
      <w:hyperlink w:anchor="_Toc505951152" w:history="1">
        <w:r w:rsidR="00C700C4" w:rsidRPr="002916D5">
          <w:rPr>
            <w:rStyle w:val="Hyperlink"/>
            <w:i/>
          </w:rPr>
          <w:t>4.2</w:t>
        </w:r>
        <w:r w:rsidR="00C700C4">
          <w:rPr>
            <w:rFonts w:asciiTheme="minorHAnsi" w:eastAsiaTheme="minorEastAsia" w:hAnsiTheme="minorHAnsi" w:cstheme="minorBidi"/>
            <w:b w:val="0"/>
            <w:szCs w:val="22"/>
          </w:rPr>
          <w:tab/>
        </w:r>
        <w:r w:rsidR="00C700C4" w:rsidRPr="002916D5">
          <w:rPr>
            <w:rStyle w:val="Hyperlink"/>
            <w:i/>
          </w:rPr>
          <w:t>Transition to long-term employment</w:t>
        </w:r>
        <w:r w:rsidR="00C700C4">
          <w:rPr>
            <w:webHidden/>
          </w:rPr>
          <w:tab/>
        </w:r>
        <w:r w:rsidR="00C700C4">
          <w:rPr>
            <w:webHidden/>
          </w:rPr>
          <w:fldChar w:fldCharType="begin"/>
        </w:r>
        <w:r w:rsidR="00C700C4">
          <w:rPr>
            <w:webHidden/>
          </w:rPr>
          <w:instrText xml:space="preserve"> PAGEREF _Toc505951152 \h </w:instrText>
        </w:r>
        <w:r w:rsidR="00C700C4">
          <w:rPr>
            <w:webHidden/>
          </w:rPr>
        </w:r>
        <w:r w:rsidR="00C700C4">
          <w:rPr>
            <w:webHidden/>
          </w:rPr>
          <w:fldChar w:fldCharType="separate"/>
        </w:r>
        <w:r>
          <w:rPr>
            <w:webHidden/>
          </w:rPr>
          <w:t>9</w:t>
        </w:r>
        <w:r w:rsidR="00C700C4">
          <w:rPr>
            <w:webHidden/>
          </w:rPr>
          <w:fldChar w:fldCharType="end"/>
        </w:r>
      </w:hyperlink>
    </w:p>
    <w:p w14:paraId="5586C78A" w14:textId="07410079" w:rsidR="00C700C4" w:rsidRDefault="00B76C90">
      <w:pPr>
        <w:pStyle w:val="TOC1"/>
        <w:tabs>
          <w:tab w:val="left" w:pos="958"/>
        </w:tabs>
        <w:rPr>
          <w:rFonts w:asciiTheme="minorHAnsi" w:eastAsiaTheme="minorEastAsia" w:hAnsiTheme="minorHAnsi" w:cstheme="minorBidi"/>
          <w:b w:val="0"/>
          <w:szCs w:val="22"/>
        </w:rPr>
      </w:pPr>
      <w:hyperlink w:anchor="_Toc505951153" w:history="1">
        <w:r w:rsidR="00C700C4" w:rsidRPr="002916D5">
          <w:rPr>
            <w:rStyle w:val="Hyperlink"/>
            <w:i/>
          </w:rPr>
          <w:t>4.3</w:t>
        </w:r>
        <w:r w:rsidR="00C700C4">
          <w:rPr>
            <w:rFonts w:asciiTheme="minorHAnsi" w:eastAsiaTheme="minorEastAsia" w:hAnsiTheme="minorHAnsi" w:cstheme="minorBidi"/>
            <w:b w:val="0"/>
            <w:szCs w:val="22"/>
          </w:rPr>
          <w:tab/>
        </w:r>
        <w:r w:rsidR="00C700C4" w:rsidRPr="002916D5">
          <w:rPr>
            <w:rStyle w:val="Hyperlink"/>
            <w:i/>
          </w:rPr>
          <w:t>Job creation</w:t>
        </w:r>
        <w:r w:rsidR="00C700C4">
          <w:rPr>
            <w:webHidden/>
          </w:rPr>
          <w:tab/>
        </w:r>
        <w:r w:rsidR="00C700C4">
          <w:rPr>
            <w:webHidden/>
          </w:rPr>
          <w:fldChar w:fldCharType="begin"/>
        </w:r>
        <w:r w:rsidR="00C700C4">
          <w:rPr>
            <w:webHidden/>
          </w:rPr>
          <w:instrText xml:space="preserve"> PAGEREF _Toc505951153 \h </w:instrText>
        </w:r>
        <w:r w:rsidR="00C700C4">
          <w:rPr>
            <w:webHidden/>
          </w:rPr>
        </w:r>
        <w:r w:rsidR="00C700C4">
          <w:rPr>
            <w:webHidden/>
          </w:rPr>
          <w:fldChar w:fldCharType="separate"/>
        </w:r>
        <w:r>
          <w:rPr>
            <w:webHidden/>
          </w:rPr>
          <w:t>9</w:t>
        </w:r>
        <w:r w:rsidR="00C700C4">
          <w:rPr>
            <w:webHidden/>
          </w:rPr>
          <w:fldChar w:fldCharType="end"/>
        </w:r>
      </w:hyperlink>
    </w:p>
    <w:p w14:paraId="2EA1D333" w14:textId="39EBFE7E" w:rsidR="00C700C4" w:rsidRDefault="00B76C90">
      <w:pPr>
        <w:pStyle w:val="TOC1"/>
        <w:tabs>
          <w:tab w:val="left" w:pos="958"/>
        </w:tabs>
        <w:rPr>
          <w:rFonts w:asciiTheme="minorHAnsi" w:eastAsiaTheme="minorEastAsia" w:hAnsiTheme="minorHAnsi" w:cstheme="minorBidi"/>
          <w:b w:val="0"/>
          <w:szCs w:val="22"/>
        </w:rPr>
      </w:pPr>
      <w:hyperlink w:anchor="_Toc505951154" w:history="1">
        <w:r w:rsidR="00C700C4" w:rsidRPr="002916D5">
          <w:rPr>
            <w:rStyle w:val="Hyperlink"/>
            <w:i/>
          </w:rPr>
          <w:t>4.4</w:t>
        </w:r>
        <w:r w:rsidR="00C700C4">
          <w:rPr>
            <w:rFonts w:asciiTheme="minorHAnsi" w:eastAsiaTheme="minorEastAsia" w:hAnsiTheme="minorHAnsi" w:cstheme="minorBidi"/>
            <w:b w:val="0"/>
            <w:szCs w:val="22"/>
          </w:rPr>
          <w:tab/>
        </w:r>
        <w:r w:rsidR="00C700C4" w:rsidRPr="002916D5">
          <w:rPr>
            <w:rStyle w:val="Hyperlink"/>
            <w:i/>
          </w:rPr>
          <w:t>Penalties</w:t>
        </w:r>
        <w:r w:rsidR="00C700C4">
          <w:rPr>
            <w:webHidden/>
          </w:rPr>
          <w:tab/>
        </w:r>
        <w:r w:rsidR="00C700C4">
          <w:rPr>
            <w:webHidden/>
          </w:rPr>
          <w:fldChar w:fldCharType="begin"/>
        </w:r>
        <w:r w:rsidR="00C700C4">
          <w:rPr>
            <w:webHidden/>
          </w:rPr>
          <w:instrText xml:space="preserve"> PAGEREF _Toc505951154 \h </w:instrText>
        </w:r>
        <w:r w:rsidR="00C700C4">
          <w:rPr>
            <w:webHidden/>
          </w:rPr>
        </w:r>
        <w:r w:rsidR="00C700C4">
          <w:rPr>
            <w:webHidden/>
          </w:rPr>
          <w:fldChar w:fldCharType="separate"/>
        </w:r>
        <w:r>
          <w:rPr>
            <w:webHidden/>
          </w:rPr>
          <w:t>10</w:t>
        </w:r>
        <w:r w:rsidR="00C700C4">
          <w:rPr>
            <w:webHidden/>
          </w:rPr>
          <w:fldChar w:fldCharType="end"/>
        </w:r>
      </w:hyperlink>
    </w:p>
    <w:p w14:paraId="11300BBE" w14:textId="63F2A20C" w:rsidR="00C700C4" w:rsidRDefault="00B76C90">
      <w:pPr>
        <w:pStyle w:val="TOC1"/>
        <w:tabs>
          <w:tab w:val="left" w:pos="958"/>
        </w:tabs>
        <w:rPr>
          <w:rFonts w:asciiTheme="minorHAnsi" w:eastAsiaTheme="minorEastAsia" w:hAnsiTheme="minorHAnsi" w:cstheme="minorBidi"/>
          <w:b w:val="0"/>
          <w:szCs w:val="22"/>
        </w:rPr>
      </w:pPr>
      <w:hyperlink w:anchor="_Toc505951155" w:history="1">
        <w:r w:rsidR="00C700C4" w:rsidRPr="002916D5">
          <w:rPr>
            <w:rStyle w:val="Hyperlink"/>
            <w:i/>
          </w:rPr>
          <w:t>4.5</w:t>
        </w:r>
        <w:r w:rsidR="00C700C4">
          <w:rPr>
            <w:rFonts w:asciiTheme="minorHAnsi" w:eastAsiaTheme="minorEastAsia" w:hAnsiTheme="minorHAnsi" w:cstheme="minorBidi"/>
            <w:b w:val="0"/>
            <w:szCs w:val="22"/>
          </w:rPr>
          <w:tab/>
        </w:r>
        <w:r w:rsidR="00C700C4" w:rsidRPr="002916D5">
          <w:rPr>
            <w:rStyle w:val="Hyperlink"/>
            <w:i/>
          </w:rPr>
          <w:t>Administrative burden</w:t>
        </w:r>
        <w:r w:rsidR="00C700C4">
          <w:rPr>
            <w:webHidden/>
          </w:rPr>
          <w:tab/>
        </w:r>
        <w:r w:rsidR="00C700C4">
          <w:rPr>
            <w:webHidden/>
          </w:rPr>
          <w:fldChar w:fldCharType="begin"/>
        </w:r>
        <w:r w:rsidR="00C700C4">
          <w:rPr>
            <w:webHidden/>
          </w:rPr>
          <w:instrText xml:space="preserve"> PAGEREF _Toc505951155 \h </w:instrText>
        </w:r>
        <w:r w:rsidR="00C700C4">
          <w:rPr>
            <w:webHidden/>
          </w:rPr>
        </w:r>
        <w:r w:rsidR="00C700C4">
          <w:rPr>
            <w:webHidden/>
          </w:rPr>
          <w:fldChar w:fldCharType="separate"/>
        </w:r>
        <w:r>
          <w:rPr>
            <w:webHidden/>
          </w:rPr>
          <w:t>11</w:t>
        </w:r>
        <w:r w:rsidR="00C700C4">
          <w:rPr>
            <w:webHidden/>
          </w:rPr>
          <w:fldChar w:fldCharType="end"/>
        </w:r>
      </w:hyperlink>
    </w:p>
    <w:p w14:paraId="7B3F450C" w14:textId="18F18A7D" w:rsidR="00C700C4" w:rsidRDefault="00B76C90">
      <w:pPr>
        <w:pStyle w:val="TOC1"/>
        <w:tabs>
          <w:tab w:val="left" w:pos="958"/>
        </w:tabs>
        <w:rPr>
          <w:rFonts w:asciiTheme="minorHAnsi" w:eastAsiaTheme="minorEastAsia" w:hAnsiTheme="minorHAnsi" w:cstheme="minorBidi"/>
          <w:b w:val="0"/>
          <w:szCs w:val="22"/>
        </w:rPr>
      </w:pPr>
      <w:hyperlink w:anchor="_Toc505951156" w:history="1">
        <w:r w:rsidR="00C700C4" w:rsidRPr="002916D5">
          <w:rPr>
            <w:rStyle w:val="Hyperlink"/>
            <w:i/>
          </w:rPr>
          <w:t>4.6</w:t>
        </w:r>
        <w:r w:rsidR="00C700C4">
          <w:rPr>
            <w:rFonts w:asciiTheme="minorHAnsi" w:eastAsiaTheme="minorEastAsia" w:hAnsiTheme="minorHAnsi" w:cstheme="minorBidi"/>
            <w:b w:val="0"/>
            <w:szCs w:val="22"/>
          </w:rPr>
          <w:tab/>
        </w:r>
        <w:r w:rsidR="00C700C4" w:rsidRPr="002916D5">
          <w:rPr>
            <w:rStyle w:val="Hyperlink"/>
            <w:i/>
          </w:rPr>
          <w:t>Access to Centrelink</w:t>
        </w:r>
        <w:r w:rsidR="00C700C4">
          <w:rPr>
            <w:webHidden/>
          </w:rPr>
          <w:tab/>
        </w:r>
        <w:r w:rsidR="00C700C4">
          <w:rPr>
            <w:webHidden/>
          </w:rPr>
          <w:fldChar w:fldCharType="begin"/>
        </w:r>
        <w:r w:rsidR="00C700C4">
          <w:rPr>
            <w:webHidden/>
          </w:rPr>
          <w:instrText xml:space="preserve"> PAGEREF _Toc505951156 \h </w:instrText>
        </w:r>
        <w:r w:rsidR="00C700C4">
          <w:rPr>
            <w:webHidden/>
          </w:rPr>
        </w:r>
        <w:r w:rsidR="00C700C4">
          <w:rPr>
            <w:webHidden/>
          </w:rPr>
          <w:fldChar w:fldCharType="separate"/>
        </w:r>
        <w:r>
          <w:rPr>
            <w:webHidden/>
          </w:rPr>
          <w:t>11</w:t>
        </w:r>
        <w:r w:rsidR="00C700C4">
          <w:rPr>
            <w:webHidden/>
          </w:rPr>
          <w:fldChar w:fldCharType="end"/>
        </w:r>
      </w:hyperlink>
    </w:p>
    <w:p w14:paraId="4548D312" w14:textId="025D7923" w:rsidR="00C700C4" w:rsidRDefault="00B76C90">
      <w:pPr>
        <w:pStyle w:val="TOC1"/>
        <w:tabs>
          <w:tab w:val="left" w:pos="958"/>
        </w:tabs>
        <w:rPr>
          <w:rFonts w:asciiTheme="minorHAnsi" w:eastAsiaTheme="minorEastAsia" w:hAnsiTheme="minorHAnsi" w:cstheme="minorBidi"/>
          <w:b w:val="0"/>
          <w:szCs w:val="22"/>
        </w:rPr>
      </w:pPr>
      <w:hyperlink w:anchor="_Toc505951157" w:history="1">
        <w:r w:rsidR="00C700C4" w:rsidRPr="002916D5">
          <w:rPr>
            <w:rStyle w:val="Hyperlink"/>
            <w:i/>
          </w:rPr>
          <w:t>4.7</w:t>
        </w:r>
        <w:r w:rsidR="00C700C4">
          <w:rPr>
            <w:rFonts w:asciiTheme="minorHAnsi" w:eastAsiaTheme="minorEastAsia" w:hAnsiTheme="minorHAnsi" w:cstheme="minorBidi"/>
            <w:b w:val="0"/>
            <w:szCs w:val="22"/>
          </w:rPr>
          <w:tab/>
        </w:r>
        <w:r w:rsidR="00C700C4" w:rsidRPr="002916D5">
          <w:rPr>
            <w:rStyle w:val="Hyperlink"/>
            <w:i/>
          </w:rPr>
          <w:t>Education and Training</w:t>
        </w:r>
        <w:r w:rsidR="00C700C4">
          <w:rPr>
            <w:webHidden/>
          </w:rPr>
          <w:tab/>
        </w:r>
        <w:r w:rsidR="00C700C4">
          <w:rPr>
            <w:webHidden/>
          </w:rPr>
          <w:fldChar w:fldCharType="begin"/>
        </w:r>
        <w:r w:rsidR="00C700C4">
          <w:rPr>
            <w:webHidden/>
          </w:rPr>
          <w:instrText xml:space="preserve"> PAGEREF _Toc505951157 \h </w:instrText>
        </w:r>
        <w:r w:rsidR="00C700C4">
          <w:rPr>
            <w:webHidden/>
          </w:rPr>
        </w:r>
        <w:r w:rsidR="00C700C4">
          <w:rPr>
            <w:webHidden/>
          </w:rPr>
          <w:fldChar w:fldCharType="separate"/>
        </w:r>
        <w:r>
          <w:rPr>
            <w:webHidden/>
          </w:rPr>
          <w:t>11</w:t>
        </w:r>
        <w:r w:rsidR="00C700C4">
          <w:rPr>
            <w:webHidden/>
          </w:rPr>
          <w:fldChar w:fldCharType="end"/>
        </w:r>
      </w:hyperlink>
    </w:p>
    <w:p w14:paraId="15D6412B" w14:textId="3CF96E99" w:rsidR="00C700C4" w:rsidRDefault="00B76C90">
      <w:pPr>
        <w:pStyle w:val="TOC1"/>
        <w:tabs>
          <w:tab w:val="left" w:pos="958"/>
        </w:tabs>
        <w:rPr>
          <w:rFonts w:asciiTheme="minorHAnsi" w:eastAsiaTheme="minorEastAsia" w:hAnsiTheme="minorHAnsi" w:cstheme="minorBidi"/>
          <w:b w:val="0"/>
          <w:szCs w:val="22"/>
        </w:rPr>
      </w:pPr>
      <w:hyperlink w:anchor="_Toc505951158" w:history="1">
        <w:r w:rsidR="00C700C4" w:rsidRPr="002916D5">
          <w:rPr>
            <w:rStyle w:val="Hyperlink"/>
            <w:i/>
          </w:rPr>
          <w:t>4.8</w:t>
        </w:r>
        <w:r w:rsidR="00C700C4">
          <w:rPr>
            <w:rFonts w:asciiTheme="minorHAnsi" w:eastAsiaTheme="minorEastAsia" w:hAnsiTheme="minorHAnsi" w:cstheme="minorBidi"/>
            <w:b w:val="0"/>
            <w:szCs w:val="22"/>
          </w:rPr>
          <w:tab/>
        </w:r>
        <w:r w:rsidR="00C700C4" w:rsidRPr="002916D5">
          <w:rPr>
            <w:rStyle w:val="Hyperlink"/>
            <w:i/>
          </w:rPr>
          <w:t>Disproportionate impact on persons with disabilities</w:t>
        </w:r>
        <w:r w:rsidR="00C700C4">
          <w:rPr>
            <w:webHidden/>
          </w:rPr>
          <w:tab/>
        </w:r>
        <w:r w:rsidR="00C700C4">
          <w:rPr>
            <w:webHidden/>
          </w:rPr>
          <w:fldChar w:fldCharType="begin"/>
        </w:r>
        <w:r w:rsidR="00C700C4">
          <w:rPr>
            <w:webHidden/>
          </w:rPr>
          <w:instrText xml:space="preserve"> PAGEREF _Toc505951158 \h </w:instrText>
        </w:r>
        <w:r w:rsidR="00C700C4">
          <w:rPr>
            <w:webHidden/>
          </w:rPr>
        </w:r>
        <w:r w:rsidR="00C700C4">
          <w:rPr>
            <w:webHidden/>
          </w:rPr>
          <w:fldChar w:fldCharType="separate"/>
        </w:r>
        <w:r>
          <w:rPr>
            <w:webHidden/>
          </w:rPr>
          <w:t>11</w:t>
        </w:r>
        <w:r w:rsidR="00C700C4">
          <w:rPr>
            <w:webHidden/>
          </w:rPr>
          <w:fldChar w:fldCharType="end"/>
        </w:r>
      </w:hyperlink>
    </w:p>
    <w:p w14:paraId="578ECA1D" w14:textId="605A36E5" w:rsidR="00C700C4" w:rsidRDefault="00B76C90">
      <w:pPr>
        <w:pStyle w:val="TOC1"/>
        <w:tabs>
          <w:tab w:val="left" w:pos="958"/>
        </w:tabs>
        <w:rPr>
          <w:rFonts w:asciiTheme="minorHAnsi" w:eastAsiaTheme="minorEastAsia" w:hAnsiTheme="minorHAnsi" w:cstheme="minorBidi"/>
          <w:b w:val="0"/>
          <w:szCs w:val="22"/>
        </w:rPr>
      </w:pPr>
      <w:hyperlink w:anchor="_Toc505951159" w:history="1">
        <w:r w:rsidR="00C700C4" w:rsidRPr="002916D5">
          <w:rPr>
            <w:rStyle w:val="Hyperlink"/>
            <w:i/>
          </w:rPr>
          <w:t>4.9</w:t>
        </w:r>
        <w:r w:rsidR="00C700C4">
          <w:rPr>
            <w:rFonts w:asciiTheme="minorHAnsi" w:eastAsiaTheme="minorEastAsia" w:hAnsiTheme="minorHAnsi" w:cstheme="minorBidi"/>
            <w:b w:val="0"/>
            <w:szCs w:val="22"/>
          </w:rPr>
          <w:tab/>
        </w:r>
        <w:r w:rsidR="00C700C4" w:rsidRPr="002916D5">
          <w:rPr>
            <w:rStyle w:val="Hyperlink"/>
            <w:i/>
          </w:rPr>
          <w:t>Youth</w:t>
        </w:r>
        <w:r w:rsidR="00C700C4">
          <w:rPr>
            <w:webHidden/>
          </w:rPr>
          <w:tab/>
        </w:r>
        <w:r w:rsidR="00C700C4">
          <w:rPr>
            <w:webHidden/>
          </w:rPr>
          <w:fldChar w:fldCharType="begin"/>
        </w:r>
        <w:r w:rsidR="00C700C4">
          <w:rPr>
            <w:webHidden/>
          </w:rPr>
          <w:instrText xml:space="preserve"> PAGEREF _Toc505951159 \h </w:instrText>
        </w:r>
        <w:r w:rsidR="00C700C4">
          <w:rPr>
            <w:webHidden/>
          </w:rPr>
        </w:r>
        <w:r w:rsidR="00C700C4">
          <w:rPr>
            <w:webHidden/>
          </w:rPr>
          <w:fldChar w:fldCharType="separate"/>
        </w:r>
        <w:r>
          <w:rPr>
            <w:webHidden/>
          </w:rPr>
          <w:t>12</w:t>
        </w:r>
        <w:r w:rsidR="00C700C4">
          <w:rPr>
            <w:webHidden/>
          </w:rPr>
          <w:fldChar w:fldCharType="end"/>
        </w:r>
      </w:hyperlink>
    </w:p>
    <w:p w14:paraId="1BEC9CEB" w14:textId="07675C85" w:rsidR="00C700C4" w:rsidRDefault="00B76C90">
      <w:pPr>
        <w:pStyle w:val="TOC1"/>
        <w:rPr>
          <w:rFonts w:asciiTheme="minorHAnsi" w:eastAsiaTheme="minorEastAsia" w:hAnsiTheme="minorHAnsi" w:cstheme="minorBidi"/>
          <w:b w:val="0"/>
          <w:szCs w:val="22"/>
        </w:rPr>
      </w:pPr>
      <w:hyperlink w:anchor="_Toc505951160" w:history="1">
        <w:r w:rsidR="00C700C4" w:rsidRPr="002916D5">
          <w:rPr>
            <w:rStyle w:val="Hyperlink"/>
          </w:rPr>
          <w:t>5</w:t>
        </w:r>
        <w:r w:rsidR="00C700C4">
          <w:rPr>
            <w:rFonts w:asciiTheme="minorHAnsi" w:eastAsiaTheme="minorEastAsia" w:hAnsiTheme="minorHAnsi" w:cstheme="minorBidi"/>
            <w:b w:val="0"/>
            <w:szCs w:val="22"/>
          </w:rPr>
          <w:tab/>
        </w:r>
        <w:r w:rsidR="00C700C4" w:rsidRPr="002916D5">
          <w:rPr>
            <w:rStyle w:val="Hyperlink"/>
          </w:rPr>
          <w:t>Options for a new CDP model</w:t>
        </w:r>
        <w:r w:rsidR="00C700C4">
          <w:rPr>
            <w:webHidden/>
          </w:rPr>
          <w:tab/>
        </w:r>
        <w:r w:rsidR="00C700C4">
          <w:rPr>
            <w:webHidden/>
          </w:rPr>
          <w:fldChar w:fldCharType="begin"/>
        </w:r>
        <w:r w:rsidR="00C700C4">
          <w:rPr>
            <w:webHidden/>
          </w:rPr>
          <w:instrText xml:space="preserve"> PAGEREF _Toc505951160 \h </w:instrText>
        </w:r>
        <w:r w:rsidR="00C700C4">
          <w:rPr>
            <w:webHidden/>
          </w:rPr>
        </w:r>
        <w:r w:rsidR="00C700C4">
          <w:rPr>
            <w:webHidden/>
          </w:rPr>
          <w:fldChar w:fldCharType="separate"/>
        </w:r>
        <w:r>
          <w:rPr>
            <w:webHidden/>
          </w:rPr>
          <w:t>12</w:t>
        </w:r>
        <w:r w:rsidR="00C700C4">
          <w:rPr>
            <w:webHidden/>
          </w:rPr>
          <w:fldChar w:fldCharType="end"/>
        </w:r>
      </w:hyperlink>
    </w:p>
    <w:p w14:paraId="5F4CA9CD" w14:textId="11CDED1C" w:rsidR="00C700C4" w:rsidRDefault="00B76C90">
      <w:pPr>
        <w:pStyle w:val="TOC1"/>
        <w:tabs>
          <w:tab w:val="left" w:pos="958"/>
        </w:tabs>
        <w:rPr>
          <w:rFonts w:asciiTheme="minorHAnsi" w:eastAsiaTheme="minorEastAsia" w:hAnsiTheme="minorHAnsi" w:cstheme="minorBidi"/>
          <w:b w:val="0"/>
          <w:szCs w:val="22"/>
        </w:rPr>
      </w:pPr>
      <w:hyperlink w:anchor="_Toc505951161" w:history="1">
        <w:r w:rsidR="00C700C4" w:rsidRPr="002916D5">
          <w:rPr>
            <w:rStyle w:val="Hyperlink"/>
            <w:i/>
          </w:rPr>
          <w:t>5.1</w:t>
        </w:r>
        <w:r w:rsidR="00C700C4">
          <w:rPr>
            <w:rFonts w:asciiTheme="minorHAnsi" w:eastAsiaTheme="minorEastAsia" w:hAnsiTheme="minorHAnsi" w:cstheme="minorBidi"/>
            <w:b w:val="0"/>
            <w:szCs w:val="22"/>
          </w:rPr>
          <w:tab/>
        </w:r>
        <w:r w:rsidR="00C700C4" w:rsidRPr="002916D5">
          <w:rPr>
            <w:rStyle w:val="Hyperlink"/>
            <w:i/>
          </w:rPr>
          <w:t>Option 1: New Wage-Based Model</w:t>
        </w:r>
        <w:r w:rsidR="00C700C4">
          <w:rPr>
            <w:webHidden/>
          </w:rPr>
          <w:tab/>
        </w:r>
        <w:r w:rsidR="00C700C4">
          <w:rPr>
            <w:webHidden/>
          </w:rPr>
          <w:fldChar w:fldCharType="begin"/>
        </w:r>
        <w:r w:rsidR="00C700C4">
          <w:rPr>
            <w:webHidden/>
          </w:rPr>
          <w:instrText xml:space="preserve"> PAGEREF _Toc505951161 \h </w:instrText>
        </w:r>
        <w:r w:rsidR="00C700C4">
          <w:rPr>
            <w:webHidden/>
          </w:rPr>
        </w:r>
        <w:r w:rsidR="00C700C4">
          <w:rPr>
            <w:webHidden/>
          </w:rPr>
          <w:fldChar w:fldCharType="separate"/>
        </w:r>
        <w:r>
          <w:rPr>
            <w:webHidden/>
          </w:rPr>
          <w:t>14</w:t>
        </w:r>
        <w:r w:rsidR="00C700C4">
          <w:rPr>
            <w:webHidden/>
          </w:rPr>
          <w:fldChar w:fldCharType="end"/>
        </w:r>
      </w:hyperlink>
    </w:p>
    <w:p w14:paraId="1B1B13C9" w14:textId="4964A72A" w:rsidR="00C700C4" w:rsidRDefault="00B76C90">
      <w:pPr>
        <w:pStyle w:val="TOC1"/>
        <w:tabs>
          <w:tab w:val="left" w:pos="958"/>
        </w:tabs>
        <w:rPr>
          <w:rFonts w:asciiTheme="minorHAnsi" w:eastAsiaTheme="minorEastAsia" w:hAnsiTheme="minorHAnsi" w:cstheme="minorBidi"/>
          <w:b w:val="0"/>
          <w:szCs w:val="22"/>
        </w:rPr>
      </w:pPr>
      <w:hyperlink w:anchor="_Toc505951162" w:history="1">
        <w:r w:rsidR="00C700C4" w:rsidRPr="002916D5">
          <w:rPr>
            <w:rStyle w:val="Hyperlink"/>
            <w:i/>
          </w:rPr>
          <w:t>5.2</w:t>
        </w:r>
        <w:r w:rsidR="00C700C4">
          <w:rPr>
            <w:rFonts w:asciiTheme="minorHAnsi" w:eastAsiaTheme="minorEastAsia" w:hAnsiTheme="minorHAnsi" w:cstheme="minorBidi"/>
            <w:b w:val="0"/>
            <w:szCs w:val="22"/>
          </w:rPr>
          <w:tab/>
        </w:r>
        <w:r w:rsidR="00C700C4" w:rsidRPr="002916D5">
          <w:rPr>
            <w:rStyle w:val="Hyperlink"/>
            <w:i/>
          </w:rPr>
          <w:t>Option 2: CDP Reform Bill 2015 – ‘CDP 2’</w:t>
        </w:r>
        <w:r w:rsidR="00C700C4">
          <w:rPr>
            <w:webHidden/>
          </w:rPr>
          <w:tab/>
        </w:r>
        <w:r w:rsidR="00C700C4">
          <w:rPr>
            <w:webHidden/>
          </w:rPr>
          <w:fldChar w:fldCharType="begin"/>
        </w:r>
        <w:r w:rsidR="00C700C4">
          <w:rPr>
            <w:webHidden/>
          </w:rPr>
          <w:instrText xml:space="preserve"> PAGEREF _Toc505951162 \h </w:instrText>
        </w:r>
        <w:r w:rsidR="00C700C4">
          <w:rPr>
            <w:webHidden/>
          </w:rPr>
        </w:r>
        <w:r w:rsidR="00C700C4">
          <w:rPr>
            <w:webHidden/>
          </w:rPr>
          <w:fldChar w:fldCharType="separate"/>
        </w:r>
        <w:r>
          <w:rPr>
            <w:webHidden/>
          </w:rPr>
          <w:t>16</w:t>
        </w:r>
        <w:r w:rsidR="00C700C4">
          <w:rPr>
            <w:webHidden/>
          </w:rPr>
          <w:fldChar w:fldCharType="end"/>
        </w:r>
      </w:hyperlink>
    </w:p>
    <w:p w14:paraId="78D2D896" w14:textId="50F79F34" w:rsidR="00C700C4" w:rsidRDefault="00B76C90">
      <w:pPr>
        <w:pStyle w:val="TOC1"/>
        <w:tabs>
          <w:tab w:val="left" w:pos="958"/>
        </w:tabs>
        <w:rPr>
          <w:rFonts w:asciiTheme="minorHAnsi" w:eastAsiaTheme="minorEastAsia" w:hAnsiTheme="minorHAnsi" w:cstheme="minorBidi"/>
          <w:b w:val="0"/>
          <w:szCs w:val="22"/>
        </w:rPr>
      </w:pPr>
      <w:hyperlink w:anchor="_Toc505951163" w:history="1">
        <w:r w:rsidR="00C700C4" w:rsidRPr="002916D5">
          <w:rPr>
            <w:rStyle w:val="Hyperlink"/>
            <w:i/>
          </w:rPr>
          <w:t>5.3</w:t>
        </w:r>
        <w:r w:rsidR="00C700C4">
          <w:rPr>
            <w:rFonts w:asciiTheme="minorHAnsi" w:eastAsiaTheme="minorEastAsia" w:hAnsiTheme="minorHAnsi" w:cstheme="minorBidi"/>
            <w:b w:val="0"/>
            <w:szCs w:val="22"/>
          </w:rPr>
          <w:tab/>
        </w:r>
        <w:r w:rsidR="00C700C4" w:rsidRPr="002916D5">
          <w:rPr>
            <w:rStyle w:val="Hyperlink"/>
            <w:i/>
          </w:rPr>
          <w:t>Option 3: Current CDP Model with programme improvements</w:t>
        </w:r>
        <w:r w:rsidR="00C700C4">
          <w:rPr>
            <w:webHidden/>
          </w:rPr>
          <w:tab/>
        </w:r>
        <w:r w:rsidR="00C700C4">
          <w:rPr>
            <w:webHidden/>
          </w:rPr>
          <w:fldChar w:fldCharType="begin"/>
        </w:r>
        <w:r w:rsidR="00C700C4">
          <w:rPr>
            <w:webHidden/>
          </w:rPr>
          <w:instrText xml:space="preserve"> PAGEREF _Toc505951163 \h </w:instrText>
        </w:r>
        <w:r w:rsidR="00C700C4">
          <w:rPr>
            <w:webHidden/>
          </w:rPr>
        </w:r>
        <w:r w:rsidR="00C700C4">
          <w:rPr>
            <w:webHidden/>
          </w:rPr>
          <w:fldChar w:fldCharType="separate"/>
        </w:r>
        <w:r>
          <w:rPr>
            <w:webHidden/>
          </w:rPr>
          <w:t>16</w:t>
        </w:r>
        <w:r w:rsidR="00C700C4">
          <w:rPr>
            <w:webHidden/>
          </w:rPr>
          <w:fldChar w:fldCharType="end"/>
        </w:r>
      </w:hyperlink>
    </w:p>
    <w:p w14:paraId="4BCBF923" w14:textId="04149687" w:rsidR="00C700C4" w:rsidRDefault="00B76C90">
      <w:pPr>
        <w:pStyle w:val="TOC1"/>
        <w:rPr>
          <w:rFonts w:asciiTheme="minorHAnsi" w:eastAsiaTheme="minorEastAsia" w:hAnsiTheme="minorHAnsi" w:cstheme="minorBidi"/>
          <w:b w:val="0"/>
          <w:szCs w:val="22"/>
        </w:rPr>
      </w:pPr>
      <w:hyperlink w:anchor="_Toc505951164" w:history="1">
        <w:r w:rsidR="00C700C4" w:rsidRPr="002916D5">
          <w:rPr>
            <w:rStyle w:val="Hyperlink"/>
          </w:rPr>
          <w:t>6</w:t>
        </w:r>
        <w:r w:rsidR="00C700C4">
          <w:rPr>
            <w:rFonts w:asciiTheme="minorHAnsi" w:eastAsiaTheme="minorEastAsia" w:hAnsiTheme="minorHAnsi" w:cstheme="minorBidi"/>
            <w:b w:val="0"/>
            <w:szCs w:val="22"/>
          </w:rPr>
          <w:tab/>
        </w:r>
        <w:r w:rsidR="00C700C4" w:rsidRPr="002916D5">
          <w:rPr>
            <w:rStyle w:val="Hyperlink"/>
          </w:rPr>
          <w:t>Other issues to consider in the development of a new CDP model</w:t>
        </w:r>
        <w:r w:rsidR="00C700C4">
          <w:rPr>
            <w:webHidden/>
          </w:rPr>
          <w:tab/>
        </w:r>
        <w:r w:rsidR="00C700C4">
          <w:rPr>
            <w:webHidden/>
          </w:rPr>
          <w:fldChar w:fldCharType="begin"/>
        </w:r>
        <w:r w:rsidR="00C700C4">
          <w:rPr>
            <w:webHidden/>
          </w:rPr>
          <w:instrText xml:space="preserve"> PAGEREF _Toc505951164 \h </w:instrText>
        </w:r>
        <w:r w:rsidR="00C700C4">
          <w:rPr>
            <w:webHidden/>
          </w:rPr>
        </w:r>
        <w:r w:rsidR="00C700C4">
          <w:rPr>
            <w:webHidden/>
          </w:rPr>
          <w:fldChar w:fldCharType="separate"/>
        </w:r>
        <w:r>
          <w:rPr>
            <w:webHidden/>
          </w:rPr>
          <w:t>17</w:t>
        </w:r>
        <w:r w:rsidR="00C700C4">
          <w:rPr>
            <w:webHidden/>
          </w:rPr>
          <w:fldChar w:fldCharType="end"/>
        </w:r>
      </w:hyperlink>
    </w:p>
    <w:p w14:paraId="6B219D49" w14:textId="27A11B07" w:rsidR="00C700C4" w:rsidRDefault="00B76C90">
      <w:pPr>
        <w:pStyle w:val="TOC1"/>
        <w:tabs>
          <w:tab w:val="left" w:pos="958"/>
        </w:tabs>
        <w:rPr>
          <w:rFonts w:asciiTheme="minorHAnsi" w:eastAsiaTheme="minorEastAsia" w:hAnsiTheme="minorHAnsi" w:cstheme="minorBidi"/>
          <w:b w:val="0"/>
          <w:szCs w:val="22"/>
        </w:rPr>
      </w:pPr>
      <w:hyperlink w:anchor="_Toc505951165" w:history="1">
        <w:r w:rsidR="00C700C4" w:rsidRPr="002916D5">
          <w:rPr>
            <w:rStyle w:val="Hyperlink"/>
            <w:i/>
          </w:rPr>
          <w:t>6.1</w:t>
        </w:r>
        <w:r w:rsidR="00C700C4">
          <w:rPr>
            <w:rFonts w:asciiTheme="minorHAnsi" w:eastAsiaTheme="minorEastAsia" w:hAnsiTheme="minorHAnsi" w:cstheme="minorBidi"/>
            <w:b w:val="0"/>
            <w:szCs w:val="22"/>
          </w:rPr>
          <w:tab/>
        </w:r>
        <w:r w:rsidR="00C700C4" w:rsidRPr="002916D5">
          <w:rPr>
            <w:rStyle w:val="Hyperlink"/>
            <w:i/>
          </w:rPr>
          <w:t>Cashless debit card</w:t>
        </w:r>
        <w:r w:rsidR="00C700C4">
          <w:rPr>
            <w:webHidden/>
          </w:rPr>
          <w:tab/>
        </w:r>
        <w:r w:rsidR="00C700C4">
          <w:rPr>
            <w:webHidden/>
          </w:rPr>
          <w:fldChar w:fldCharType="begin"/>
        </w:r>
        <w:r w:rsidR="00C700C4">
          <w:rPr>
            <w:webHidden/>
          </w:rPr>
          <w:instrText xml:space="preserve"> PAGEREF _Toc505951165 \h </w:instrText>
        </w:r>
        <w:r w:rsidR="00C700C4">
          <w:rPr>
            <w:webHidden/>
          </w:rPr>
        </w:r>
        <w:r w:rsidR="00C700C4">
          <w:rPr>
            <w:webHidden/>
          </w:rPr>
          <w:fldChar w:fldCharType="separate"/>
        </w:r>
        <w:r>
          <w:rPr>
            <w:webHidden/>
          </w:rPr>
          <w:t>17</w:t>
        </w:r>
        <w:r w:rsidR="00C700C4">
          <w:rPr>
            <w:webHidden/>
          </w:rPr>
          <w:fldChar w:fldCharType="end"/>
        </w:r>
      </w:hyperlink>
    </w:p>
    <w:p w14:paraId="039BF71A" w14:textId="31661189" w:rsidR="00C700C4" w:rsidRDefault="00B76C90">
      <w:pPr>
        <w:pStyle w:val="TOC1"/>
        <w:tabs>
          <w:tab w:val="left" w:pos="958"/>
        </w:tabs>
        <w:rPr>
          <w:rFonts w:asciiTheme="minorHAnsi" w:eastAsiaTheme="minorEastAsia" w:hAnsiTheme="minorHAnsi" w:cstheme="minorBidi"/>
          <w:b w:val="0"/>
          <w:szCs w:val="22"/>
        </w:rPr>
      </w:pPr>
      <w:hyperlink w:anchor="_Toc505951166" w:history="1">
        <w:r w:rsidR="00C700C4" w:rsidRPr="002916D5">
          <w:rPr>
            <w:rStyle w:val="Hyperlink"/>
            <w:i/>
          </w:rPr>
          <w:t>6.2</w:t>
        </w:r>
        <w:r w:rsidR="00C700C4">
          <w:rPr>
            <w:rFonts w:asciiTheme="minorHAnsi" w:eastAsiaTheme="minorEastAsia" w:hAnsiTheme="minorHAnsi" w:cstheme="minorBidi"/>
            <w:b w:val="0"/>
            <w:szCs w:val="22"/>
          </w:rPr>
          <w:tab/>
        </w:r>
        <w:r w:rsidR="00C700C4" w:rsidRPr="002916D5">
          <w:rPr>
            <w:rStyle w:val="Hyperlink"/>
            <w:i/>
          </w:rPr>
          <w:t>Transition to a new model</w:t>
        </w:r>
        <w:r w:rsidR="00C700C4">
          <w:rPr>
            <w:webHidden/>
          </w:rPr>
          <w:tab/>
        </w:r>
        <w:r w:rsidR="00C700C4">
          <w:rPr>
            <w:webHidden/>
          </w:rPr>
          <w:fldChar w:fldCharType="begin"/>
        </w:r>
        <w:r w:rsidR="00C700C4">
          <w:rPr>
            <w:webHidden/>
          </w:rPr>
          <w:instrText xml:space="preserve"> PAGEREF _Toc505951166 \h </w:instrText>
        </w:r>
        <w:r w:rsidR="00C700C4">
          <w:rPr>
            <w:webHidden/>
          </w:rPr>
        </w:r>
        <w:r w:rsidR="00C700C4">
          <w:rPr>
            <w:webHidden/>
          </w:rPr>
          <w:fldChar w:fldCharType="separate"/>
        </w:r>
        <w:r>
          <w:rPr>
            <w:webHidden/>
          </w:rPr>
          <w:t>18</w:t>
        </w:r>
        <w:r w:rsidR="00C700C4">
          <w:rPr>
            <w:webHidden/>
          </w:rPr>
          <w:fldChar w:fldCharType="end"/>
        </w:r>
      </w:hyperlink>
    </w:p>
    <w:p w14:paraId="06A03306" w14:textId="77777777" w:rsidR="00B34946" w:rsidRPr="009640F7" w:rsidRDefault="00B63D24" w:rsidP="00B63D24">
      <w:r w:rsidRPr="009640F7">
        <w:fldChar w:fldCharType="end"/>
      </w:r>
    </w:p>
    <w:p w14:paraId="4AD21C02" w14:textId="77777777" w:rsidR="00B34946" w:rsidRPr="009640F7" w:rsidRDefault="00B34946">
      <w:pPr>
        <w:spacing w:before="0" w:after="0"/>
      </w:pPr>
      <w:r w:rsidRPr="009640F7">
        <w:br w:type="page"/>
      </w:r>
    </w:p>
    <w:p w14:paraId="798966B8" w14:textId="1A21DDCD" w:rsidR="00B34946" w:rsidRPr="009640F7" w:rsidRDefault="00B34946" w:rsidP="00170344">
      <w:pPr>
        <w:pStyle w:val="Heading1"/>
        <w:numPr>
          <w:ilvl w:val="0"/>
          <w:numId w:val="16"/>
        </w:numPr>
      </w:pPr>
      <w:bookmarkStart w:id="4" w:name="_Toc207761830"/>
      <w:bookmarkStart w:id="5" w:name="_Toc209578266"/>
      <w:bookmarkStart w:id="6" w:name="_Toc505951145"/>
      <w:r w:rsidRPr="009640F7">
        <w:lastRenderedPageBreak/>
        <w:t>Introduction</w:t>
      </w:r>
      <w:bookmarkEnd w:id="4"/>
      <w:bookmarkEnd w:id="5"/>
      <w:bookmarkEnd w:id="6"/>
      <w:r w:rsidRPr="009640F7">
        <w:t xml:space="preserve"> </w:t>
      </w:r>
    </w:p>
    <w:p w14:paraId="6331FE5B" w14:textId="2D8B0ADE" w:rsidR="000E241B" w:rsidRDefault="002D0FA8" w:rsidP="00A85E0E">
      <w:pPr>
        <w:pStyle w:val="SubmissionNormal"/>
      </w:pPr>
      <w:r>
        <w:t xml:space="preserve">The </w:t>
      </w:r>
      <w:r w:rsidR="000E241B">
        <w:t>Australian Human Rights Commission (the Commission)</w:t>
      </w:r>
      <w:r w:rsidR="000E241B">
        <w:rPr>
          <w:rStyle w:val="EndnoteReference"/>
          <w:rFonts w:eastAsia="MS Mincho"/>
        </w:rPr>
        <w:endnoteReference w:id="1"/>
      </w:r>
      <w:r>
        <w:t xml:space="preserve"> w</w:t>
      </w:r>
      <w:r w:rsidRPr="002D0FA8">
        <w:t>elcome</w:t>
      </w:r>
      <w:r>
        <w:t>s</w:t>
      </w:r>
      <w:r w:rsidRPr="002D0FA8">
        <w:t xml:space="preserve"> the opportunity to </w:t>
      </w:r>
      <w:r>
        <w:t xml:space="preserve">make a submission </w:t>
      </w:r>
      <w:r w:rsidRPr="002D0FA8">
        <w:t xml:space="preserve">to </w:t>
      </w:r>
      <w:r>
        <w:t xml:space="preserve">the Department of </w:t>
      </w:r>
      <w:r w:rsidR="00FE3ED4">
        <w:t xml:space="preserve">the </w:t>
      </w:r>
      <w:r>
        <w:t>Prime Minister and Cabinet in re</w:t>
      </w:r>
      <w:r w:rsidR="000E241B">
        <w:t xml:space="preserve">lation to the </w:t>
      </w:r>
      <w:r w:rsidR="004B14E5">
        <w:t>Discussion Paper</w:t>
      </w:r>
      <w:r w:rsidR="000E241B" w:rsidRPr="000E241B">
        <w:t xml:space="preserve"> </w:t>
      </w:r>
      <w:r w:rsidR="000E241B">
        <w:t>on remote employment and participation.</w:t>
      </w:r>
    </w:p>
    <w:p w14:paraId="70E63591" w14:textId="3957CB76" w:rsidR="002A38CA" w:rsidRDefault="002A38CA" w:rsidP="002A38CA">
      <w:pPr>
        <w:pStyle w:val="SubmissionNormal"/>
      </w:pPr>
      <w:r>
        <w:t xml:space="preserve">While the Community Development Programme (CDP) </w:t>
      </w:r>
      <w:r w:rsidR="00400835">
        <w:t xml:space="preserve">involves </w:t>
      </w:r>
      <w:r>
        <w:t xml:space="preserve">around 33,000 </w:t>
      </w:r>
      <w:r w:rsidR="00AD4E69">
        <w:t>participants</w:t>
      </w:r>
      <w:r>
        <w:t xml:space="preserve">, </w:t>
      </w:r>
      <w:r w:rsidR="005F2D2A">
        <w:t xml:space="preserve">this submission will focus </w:t>
      </w:r>
      <w:r>
        <w:t xml:space="preserve">on Aboriginal and Torres Strait Islander </w:t>
      </w:r>
      <w:r w:rsidR="000C64AF">
        <w:t>peoples</w:t>
      </w:r>
      <w:r>
        <w:t>, who comprise an estimated 8</w:t>
      </w:r>
      <w:r w:rsidR="00227026">
        <w:t>4</w:t>
      </w:r>
      <w:r>
        <w:t xml:space="preserve"> per cent of CDP participants.</w:t>
      </w:r>
      <w:r w:rsidR="004A035B">
        <w:rPr>
          <w:rStyle w:val="EndnoteReference"/>
        </w:rPr>
        <w:endnoteReference w:id="2"/>
      </w:r>
      <w:r>
        <w:t xml:space="preserve"> </w:t>
      </w:r>
    </w:p>
    <w:p w14:paraId="2616825A" w14:textId="10B7029F" w:rsidR="00FF2C65" w:rsidRDefault="00A85E0E" w:rsidP="00A85E0E">
      <w:pPr>
        <w:pStyle w:val="SubmissionNormal"/>
      </w:pPr>
      <w:r>
        <w:t xml:space="preserve">The Commission </w:t>
      </w:r>
      <w:r w:rsidR="0069180A">
        <w:t>commends</w:t>
      </w:r>
      <w:r>
        <w:t xml:space="preserve"> the Government’s commitment to developing a new employment and participation model to improve outcomes for remote job seekers a</w:t>
      </w:r>
      <w:r w:rsidR="00814F71">
        <w:t xml:space="preserve">nd communities, in partnership with Indigenous peoples. </w:t>
      </w:r>
    </w:p>
    <w:p w14:paraId="1E988627" w14:textId="0D34ECBE" w:rsidR="006269CD" w:rsidRDefault="005E2B45" w:rsidP="006269CD">
      <w:pPr>
        <w:pStyle w:val="SubmissionNormal"/>
      </w:pPr>
      <w:r>
        <w:t xml:space="preserve">Given that this new model of employment and participation is </w:t>
      </w:r>
      <w:r w:rsidR="002644D2">
        <w:t xml:space="preserve">still </w:t>
      </w:r>
      <w:r>
        <w:t>in the development stage</w:t>
      </w:r>
      <w:r w:rsidR="007D4237">
        <w:t>,</w:t>
      </w:r>
      <w:r w:rsidR="000F73A1">
        <w:t xml:space="preserve"> it is pertinent to consider how </w:t>
      </w:r>
      <w:proofErr w:type="gramStart"/>
      <w:r w:rsidR="000F73A1">
        <w:t>a human</w:t>
      </w:r>
      <w:proofErr w:type="gramEnd"/>
      <w:r w:rsidR="000F73A1">
        <w:t xml:space="preserve"> rights</w:t>
      </w:r>
      <w:r w:rsidR="007855D4">
        <w:t xml:space="preserve"> </w:t>
      </w:r>
      <w:r w:rsidR="000F73A1">
        <w:t xml:space="preserve">based approach </w:t>
      </w:r>
      <w:r w:rsidR="009441EE">
        <w:t xml:space="preserve">may be applied to </w:t>
      </w:r>
      <w:r w:rsidR="002644D2">
        <w:t xml:space="preserve">the proposals and options </w:t>
      </w:r>
      <w:r w:rsidR="002A456E">
        <w:t xml:space="preserve">contained in the </w:t>
      </w:r>
      <w:r w:rsidR="000D5CC6">
        <w:t>Discussion Paper</w:t>
      </w:r>
      <w:r w:rsidR="002644D2">
        <w:t xml:space="preserve">. Such an approach will help </w:t>
      </w:r>
      <w:r w:rsidR="00CD567F">
        <w:t xml:space="preserve">to ensure that the rights of Aboriginal and Torres Strait Islander peoples are </w:t>
      </w:r>
      <w:r w:rsidR="005B0919">
        <w:t>respected in</w:t>
      </w:r>
      <w:r w:rsidR="00CD567F">
        <w:t xml:space="preserve"> </w:t>
      </w:r>
      <w:r w:rsidR="008F331F">
        <w:t>the development and implementation of a</w:t>
      </w:r>
      <w:r w:rsidR="00CD567F">
        <w:t xml:space="preserve"> new </w:t>
      </w:r>
      <w:r w:rsidR="00376CE4">
        <w:t>CDP</w:t>
      </w:r>
      <w:r w:rsidR="008517A1">
        <w:t xml:space="preserve"> </w:t>
      </w:r>
      <w:r w:rsidR="00CD567F">
        <w:t>model.</w:t>
      </w:r>
      <w:r w:rsidR="006269CD" w:rsidRPr="006269CD">
        <w:t xml:space="preserve"> </w:t>
      </w:r>
    </w:p>
    <w:p w14:paraId="087547D1" w14:textId="7DB29A07" w:rsidR="00DB5201" w:rsidRDefault="00440FAB" w:rsidP="008F23D5">
      <w:pPr>
        <w:pStyle w:val="SubmissionNormal"/>
      </w:pPr>
      <w:r>
        <w:t>The Commission</w:t>
      </w:r>
      <w:r w:rsidR="00662191">
        <w:t xml:space="preserve"> has previously raised concerns that the CDP is inconsistent with Australia’s obligations under </w:t>
      </w:r>
      <w:r w:rsidR="00ED6902">
        <w:t xml:space="preserve">the International Covenant on Economic, Social and Cultural Rights, the International Convention on the Elimination of All Forms of Racial Discrimination </w:t>
      </w:r>
      <w:r w:rsidR="000E58BD">
        <w:t>a</w:t>
      </w:r>
      <w:r w:rsidR="00662191">
        <w:t xml:space="preserve">nd the </w:t>
      </w:r>
      <w:r w:rsidR="00ED6902">
        <w:t xml:space="preserve">United Nations Declaration on the Rights of Indigenous Peoples. These concerns relate </w:t>
      </w:r>
      <w:r w:rsidR="00571E30">
        <w:t>principally</w:t>
      </w:r>
      <w:r w:rsidR="00ED6902">
        <w:t xml:space="preserve"> to </w:t>
      </w:r>
      <w:r w:rsidR="00043E81">
        <w:t>the right to social security</w:t>
      </w:r>
      <w:r w:rsidR="009F1333">
        <w:t xml:space="preserve">, and the right to equality </w:t>
      </w:r>
      <w:r w:rsidR="00043E81">
        <w:t>and non-discrimination</w:t>
      </w:r>
      <w:r w:rsidR="008F23D5">
        <w:t xml:space="preserve">. </w:t>
      </w:r>
      <w:r w:rsidR="00DB5201">
        <w:t xml:space="preserve">The Commission </w:t>
      </w:r>
      <w:r w:rsidR="008F23D5">
        <w:t>has also raised concerns</w:t>
      </w:r>
      <w:r w:rsidR="00DB5201">
        <w:t xml:space="preserve"> that the CDP may breach the </w:t>
      </w:r>
      <w:r w:rsidR="00DB5201" w:rsidRPr="002C5138">
        <w:rPr>
          <w:i/>
        </w:rPr>
        <w:t xml:space="preserve">Racial Discrimination Act 1975 </w:t>
      </w:r>
      <w:r w:rsidR="00DB5201">
        <w:t>(</w:t>
      </w:r>
      <w:proofErr w:type="spellStart"/>
      <w:r w:rsidR="00DB5201">
        <w:t>Cth</w:t>
      </w:r>
      <w:proofErr w:type="spellEnd"/>
      <w:r w:rsidR="00DB5201">
        <w:t>)</w:t>
      </w:r>
      <w:r w:rsidR="000A3A02">
        <w:t xml:space="preserve">. The Commission continues to hold these concerns in relation to the CDP and its consistency with international human rights standards. </w:t>
      </w:r>
    </w:p>
    <w:p w14:paraId="512D4D4D" w14:textId="6AFA9582" w:rsidR="006B4B2E" w:rsidRDefault="009744C1" w:rsidP="00E55F3E">
      <w:pPr>
        <w:pStyle w:val="SubmissionNormal"/>
      </w:pPr>
      <w:r>
        <w:t>This reform process presents an important opportunity to</w:t>
      </w:r>
      <w:r w:rsidR="006711AE">
        <w:t xml:space="preserve"> </w:t>
      </w:r>
      <w:r>
        <w:t xml:space="preserve">replace </w:t>
      </w:r>
      <w:r w:rsidR="006711AE">
        <w:t xml:space="preserve">the CDP </w:t>
      </w:r>
      <w:r>
        <w:t xml:space="preserve">with a model that </w:t>
      </w:r>
      <w:r w:rsidR="006711AE">
        <w:t>move</w:t>
      </w:r>
      <w:r>
        <w:t xml:space="preserve">s away from the current </w:t>
      </w:r>
      <w:r w:rsidR="00BB5789">
        <w:t xml:space="preserve">top-down, </w:t>
      </w:r>
      <w:r>
        <w:t xml:space="preserve">short-term and inflexible approach, and moves towards a </w:t>
      </w:r>
      <w:r w:rsidR="008E31DD">
        <w:t>programme</w:t>
      </w:r>
      <w:r w:rsidR="006711AE">
        <w:t xml:space="preserve"> </w:t>
      </w:r>
      <w:r>
        <w:t xml:space="preserve">that is placed based, </w:t>
      </w:r>
      <w:r w:rsidR="00153602">
        <w:t xml:space="preserve">flexible, </w:t>
      </w:r>
      <w:r w:rsidR="00745431">
        <w:t>Aboriginal community-</w:t>
      </w:r>
      <w:r>
        <w:t>controlled</w:t>
      </w:r>
      <w:r w:rsidR="003733B5">
        <w:t xml:space="preserve">, and </w:t>
      </w:r>
      <w:r w:rsidR="00363CB9">
        <w:t>that would foster</w:t>
      </w:r>
      <w:r w:rsidR="003733B5">
        <w:t xml:space="preserve"> long-term economic, social and cultural development. </w:t>
      </w:r>
      <w:r w:rsidR="0089441E">
        <w:t>As noted by t</w:t>
      </w:r>
      <w:r w:rsidR="006B4B2E">
        <w:t xml:space="preserve">he </w:t>
      </w:r>
      <w:r w:rsidR="00AE5BEC">
        <w:t xml:space="preserve">Senate </w:t>
      </w:r>
      <w:r w:rsidR="006B4B2E" w:rsidRPr="006B4B2E">
        <w:t>Finance and Public Administration References Committee</w:t>
      </w:r>
      <w:r w:rsidR="006B4B2E">
        <w:t>:</w:t>
      </w:r>
    </w:p>
    <w:p w14:paraId="795FE620" w14:textId="22631F66" w:rsidR="006B4B2E" w:rsidRPr="00732A74" w:rsidRDefault="006B4B2E" w:rsidP="006B4B2E">
      <w:pPr>
        <w:pStyle w:val="SubmissionNormal"/>
        <w:numPr>
          <w:ilvl w:val="0"/>
          <w:numId w:val="0"/>
        </w:numPr>
        <w:ind w:left="993" w:right="848"/>
        <w:rPr>
          <w:sz w:val="22"/>
          <w:szCs w:val="22"/>
        </w:rPr>
      </w:pPr>
      <w:r w:rsidRPr="00732A74">
        <w:rPr>
          <w:sz w:val="22"/>
          <w:szCs w:val="22"/>
        </w:rPr>
        <w:t xml:space="preserve">The committee is of the view that CDP cannot and should not continue in its current form. A new </w:t>
      </w:r>
      <w:r w:rsidR="008E31DD" w:rsidRPr="00732A74">
        <w:rPr>
          <w:sz w:val="22"/>
          <w:szCs w:val="22"/>
        </w:rPr>
        <w:t>programme</w:t>
      </w:r>
      <w:r w:rsidRPr="00732A74">
        <w:rPr>
          <w:sz w:val="22"/>
          <w:szCs w:val="22"/>
        </w:rPr>
        <w:t xml:space="preserve"> needs to be developed which moves away from a centralised, top-down administration in which communities are told what to do and move towards a model where the local communities are empowered to make decisions that are best for them. The </w:t>
      </w:r>
      <w:r w:rsidR="008E31DD" w:rsidRPr="00732A74">
        <w:rPr>
          <w:sz w:val="22"/>
          <w:szCs w:val="22"/>
        </w:rPr>
        <w:t>programme</w:t>
      </w:r>
      <w:r w:rsidRPr="00732A74">
        <w:rPr>
          <w:sz w:val="22"/>
          <w:szCs w:val="22"/>
        </w:rPr>
        <w:t xml:space="preserve"> also needs to move from a punitive, attendance-focused approach towards one which rewards participation in activities that are selected and valued by the community and, in turn, provide skills and experiences which improve the job-readiness and quality of life of all participants.</w:t>
      </w:r>
      <w:r w:rsidR="00363CB9" w:rsidRPr="00732A74">
        <w:rPr>
          <w:rStyle w:val="EndnoteReference"/>
          <w:sz w:val="22"/>
          <w:szCs w:val="22"/>
        </w:rPr>
        <w:endnoteReference w:id="3"/>
      </w:r>
    </w:p>
    <w:p w14:paraId="227EA9D8" w14:textId="57547070" w:rsidR="00062A6E" w:rsidRDefault="005005E6" w:rsidP="005A4B6D">
      <w:pPr>
        <w:pStyle w:val="SubmissionNormal"/>
      </w:pPr>
      <w:r>
        <w:lastRenderedPageBreak/>
        <w:t xml:space="preserve">This approach </w:t>
      </w:r>
      <w:r w:rsidR="00E40B5E">
        <w:t>was</w:t>
      </w:r>
      <w:r>
        <w:t xml:space="preserve"> echoed </w:t>
      </w:r>
      <w:r w:rsidR="00952505">
        <w:t>by the Special Rapporteur on the right</w:t>
      </w:r>
      <w:r>
        <w:t>s</w:t>
      </w:r>
      <w:r w:rsidR="00952505">
        <w:t xml:space="preserve"> of Indigenous Peoples, Victoria </w:t>
      </w:r>
      <w:proofErr w:type="spellStart"/>
      <w:r w:rsidR="00952505">
        <w:t>Tauli-Corpuz</w:t>
      </w:r>
      <w:proofErr w:type="spellEnd"/>
      <w:r>
        <w:t>, following her country visit to Australia</w:t>
      </w:r>
      <w:r w:rsidR="0093401F">
        <w:t xml:space="preserve"> in 2017</w:t>
      </w:r>
      <w:r>
        <w:t>.</w:t>
      </w:r>
      <w:r w:rsidR="005A4B6D">
        <w:t xml:space="preserve"> </w:t>
      </w:r>
      <w:r>
        <w:t xml:space="preserve">In her report to the Human Rights Council, </w:t>
      </w:r>
      <w:r w:rsidR="005A4B6D">
        <w:t xml:space="preserve">she noted that the requirements under the CDP </w:t>
      </w:r>
      <w:r w:rsidR="005A4B6D" w:rsidRPr="005A4B6D">
        <w:t xml:space="preserve">are discriminatory, </w:t>
      </w:r>
      <w:r w:rsidR="00F66863">
        <w:t>as they are</w:t>
      </w:r>
      <w:r w:rsidR="005A4B6D" w:rsidRPr="005A4B6D">
        <w:t xml:space="preserve"> substantially more onerous than those t</w:t>
      </w:r>
      <w:r w:rsidR="006F688E">
        <w:t>hat apply to predominantly non-I</w:t>
      </w:r>
      <w:r w:rsidR="005A4B6D" w:rsidRPr="005A4B6D">
        <w:t>ndigenous jobseekers</w:t>
      </w:r>
      <w:r w:rsidR="005A4B6D">
        <w:t xml:space="preserve">, and </w:t>
      </w:r>
      <w:r w:rsidR="00062A6E">
        <w:t xml:space="preserve">recommended that: </w:t>
      </w:r>
    </w:p>
    <w:p w14:paraId="0FC61441" w14:textId="6948CC55" w:rsidR="00723AA8" w:rsidRDefault="001E21B1" w:rsidP="004B14E5">
      <w:pPr>
        <w:pStyle w:val="SubmissionNormal"/>
        <w:numPr>
          <w:ilvl w:val="0"/>
          <w:numId w:val="0"/>
        </w:numPr>
        <w:ind w:left="993" w:right="848"/>
      </w:pPr>
      <w:r w:rsidRPr="00605C82">
        <w:rPr>
          <w:sz w:val="22"/>
        </w:rPr>
        <w:t>T</w:t>
      </w:r>
      <w:r w:rsidR="00723AA8" w:rsidRPr="00605C82">
        <w:rPr>
          <w:sz w:val="22"/>
        </w:rPr>
        <w:t xml:space="preserve">he Government reform the Community Development Programme in consultation with indigenous communities, remove discriminatory and punitive measures and reconstruct the unemployment scheme in remote areas around positive incentives and long-term </w:t>
      </w:r>
      <w:r w:rsidR="00723AA8" w:rsidRPr="00605C82">
        <w:rPr>
          <w:sz w:val="22"/>
          <w:szCs w:val="22"/>
        </w:rPr>
        <w:t>opportunities.</w:t>
      </w:r>
      <w:r w:rsidR="004B14E5" w:rsidRPr="00605C82">
        <w:rPr>
          <w:rStyle w:val="EndnoteReference"/>
          <w:sz w:val="22"/>
          <w:szCs w:val="22"/>
        </w:rPr>
        <w:endnoteReference w:id="4"/>
      </w:r>
    </w:p>
    <w:p w14:paraId="2BD8CA8D" w14:textId="7F387062" w:rsidR="00E2672F" w:rsidRDefault="007952B9" w:rsidP="00B84D91">
      <w:pPr>
        <w:pStyle w:val="SubmissionNormal"/>
      </w:pPr>
      <w:r w:rsidRPr="007952B9">
        <w:t xml:space="preserve">A core component of </w:t>
      </w:r>
      <w:r w:rsidR="004B14E5">
        <w:t xml:space="preserve">the </w:t>
      </w:r>
      <w:r w:rsidRPr="007952B9">
        <w:t xml:space="preserve">CDP is not just job creation but </w:t>
      </w:r>
      <w:r w:rsidR="006D6A98">
        <w:t xml:space="preserve">also </w:t>
      </w:r>
      <w:r w:rsidRPr="007952B9">
        <w:t>commu</w:t>
      </w:r>
      <w:r w:rsidR="005565D1">
        <w:t>nity development, which takes in</w:t>
      </w:r>
      <w:r w:rsidRPr="007952B9">
        <w:t>to account the social, economic and cultural conditions of Aboriginal and Torres Strait Islander peoples,</w:t>
      </w:r>
      <w:r w:rsidR="00BA4B7C">
        <w:t xml:space="preserve"> their</w:t>
      </w:r>
      <w:r w:rsidRPr="007952B9">
        <w:t xml:space="preserve"> families and communities</w:t>
      </w:r>
      <w:r w:rsidR="007539E1">
        <w:t xml:space="preserve">. </w:t>
      </w:r>
      <w:r w:rsidR="00E735FF">
        <w:t>In recent times</w:t>
      </w:r>
      <w:r w:rsidR="00D60031">
        <w:t xml:space="preserve"> the Government</w:t>
      </w:r>
      <w:r w:rsidR="00E735FF">
        <w:t xml:space="preserve"> </w:t>
      </w:r>
      <w:r w:rsidR="00D60031">
        <w:t>has focused predominantly</w:t>
      </w:r>
      <w:r w:rsidR="006B3C74">
        <w:t xml:space="preserve"> on </w:t>
      </w:r>
      <w:r w:rsidR="00745431">
        <w:t xml:space="preserve">the </w:t>
      </w:r>
      <w:r w:rsidR="009E70CD">
        <w:t>‘</w:t>
      </w:r>
      <w:r w:rsidR="00745431">
        <w:t>jo</w:t>
      </w:r>
      <w:r w:rsidR="00484571">
        <w:t>b</w:t>
      </w:r>
      <w:r w:rsidR="00745431">
        <w:t>-</w:t>
      </w:r>
      <w:r w:rsidR="00601D17">
        <w:t>readiness</w:t>
      </w:r>
      <w:r w:rsidR="009E70CD">
        <w:t>’</w:t>
      </w:r>
      <w:r w:rsidR="00601D17">
        <w:t xml:space="preserve"> of individuals</w:t>
      </w:r>
      <w:r w:rsidR="00E735FF">
        <w:t>, at a time when the number of CDP participants in remote locations exceeds the number of jobs that are available.</w:t>
      </w:r>
      <w:r w:rsidR="00E735FF">
        <w:rPr>
          <w:rStyle w:val="EndnoteReference"/>
        </w:rPr>
        <w:endnoteReference w:id="5"/>
      </w:r>
      <w:r w:rsidR="00E735FF">
        <w:t xml:space="preserve"> </w:t>
      </w:r>
    </w:p>
    <w:p w14:paraId="046637EC" w14:textId="50D46A26" w:rsidR="00E735FF" w:rsidRDefault="00E735FF" w:rsidP="00B84D91">
      <w:pPr>
        <w:pStyle w:val="SubmissionNormal"/>
      </w:pPr>
      <w:r>
        <w:t xml:space="preserve">A central challenge for the CDP reform process is to ensure that the system not only enables an individual to be </w:t>
      </w:r>
      <w:r w:rsidR="009E70CD">
        <w:t>‘ready for work’</w:t>
      </w:r>
      <w:r>
        <w:t xml:space="preserve">, but also creates suitable economies and job opportunities in remote locations. </w:t>
      </w:r>
      <w:r w:rsidR="00D34F59">
        <w:t>To achieve this, the Government should focus on</w:t>
      </w:r>
      <w:r w:rsidR="008225B7">
        <w:t xml:space="preserve"> a dual strategy that </w:t>
      </w:r>
      <w:r w:rsidR="00465EDB">
        <w:t>implements</w:t>
      </w:r>
      <w:r>
        <w:t xml:space="preserve"> structural reforms to target syst</w:t>
      </w:r>
      <w:r w:rsidR="009E5DDF">
        <w:t>emic inequality, discrimination</w:t>
      </w:r>
      <w:r w:rsidR="007D2936">
        <w:t xml:space="preserve"> and</w:t>
      </w:r>
      <w:r w:rsidR="009E5DDF">
        <w:t xml:space="preserve"> </w:t>
      </w:r>
      <w:r>
        <w:t>full</w:t>
      </w:r>
      <w:r w:rsidR="005565D1">
        <w:t>-</w:t>
      </w:r>
      <w:r w:rsidR="00D27B56">
        <w:t xml:space="preserve">time employment opportunities, </w:t>
      </w:r>
      <w:r w:rsidR="005565D1">
        <w:t>while</w:t>
      </w:r>
      <w:r w:rsidR="00A54226">
        <w:t xml:space="preserve"> also involving</w:t>
      </w:r>
      <w:r w:rsidR="00BE04D8">
        <w:t xml:space="preserve"> </w:t>
      </w:r>
      <w:r w:rsidR="00310933">
        <w:t xml:space="preserve">Aboriginal and Torres Strait Islander peoples in </w:t>
      </w:r>
      <w:r w:rsidR="008E31DD">
        <w:t>programme</w:t>
      </w:r>
      <w:r w:rsidR="00310933">
        <w:t xml:space="preserve"> design and delivery. </w:t>
      </w:r>
      <w:r w:rsidR="00D27B56">
        <w:t xml:space="preserve"> </w:t>
      </w:r>
    </w:p>
    <w:p w14:paraId="66460E5E" w14:textId="0461EFB2" w:rsidR="004319AD" w:rsidRDefault="004319AD" w:rsidP="005F406F">
      <w:pPr>
        <w:pStyle w:val="SubmissionNormal"/>
      </w:pPr>
      <w:r>
        <w:t xml:space="preserve">A new CDP model will take time to develop and implement, and extensive community and stakeholder consultation </w:t>
      </w:r>
      <w:r w:rsidR="0014089B">
        <w:t>should</w:t>
      </w:r>
      <w:r>
        <w:t xml:space="preserve"> underpin this process. In particular, it is critical that the development and implementation of a new model is based on effective consultation with Aboriginal and Torres Strait Islander peoples. The Government has an obligation to </w:t>
      </w:r>
      <w:r w:rsidRPr="00E763C6">
        <w:t xml:space="preserve">consult and cooperate in good faith </w:t>
      </w:r>
      <w:r>
        <w:t>with Aboriginal and Torres Strait Islander peoples in order to obtain their free, prior and informed consent before adopting</w:t>
      </w:r>
      <w:r w:rsidR="00655A38">
        <w:t xml:space="preserve"> and implementing</w:t>
      </w:r>
      <w:r>
        <w:t xml:space="preserve"> legislative or administrative measures that may affect them.</w:t>
      </w:r>
      <w:r w:rsidR="00687296">
        <w:rPr>
          <w:rStyle w:val="EndnoteReference"/>
        </w:rPr>
        <w:endnoteReference w:id="6"/>
      </w:r>
      <w:r>
        <w:t xml:space="preserve"> Aboriginal and Torres Strait Islander peoples also have a right to participate in decision making in matters </w:t>
      </w:r>
      <w:r w:rsidR="00E61295">
        <w:t>that</w:t>
      </w:r>
      <w:r>
        <w:t xml:space="preserve"> would affect their rights</w:t>
      </w:r>
      <w:r w:rsidR="0004581D">
        <w:t>, through representatives chosen by themselves in accordance with their own procedures</w:t>
      </w:r>
      <w:r>
        <w:t>.</w:t>
      </w:r>
      <w:r w:rsidR="00EE14BD">
        <w:rPr>
          <w:rStyle w:val="EndnoteReference"/>
        </w:rPr>
        <w:endnoteReference w:id="7"/>
      </w:r>
      <w:r>
        <w:t xml:space="preserve"> Participation in decision making is one of the core principles of the United Nations Declaration on the Rights of Indigenous Peoples. </w:t>
      </w:r>
    </w:p>
    <w:p w14:paraId="43D30768" w14:textId="7FC88223" w:rsidR="00422E08" w:rsidRDefault="00422E08" w:rsidP="004319AD">
      <w:pPr>
        <w:pStyle w:val="SubmissionNormal"/>
      </w:pPr>
      <w:r>
        <w:t>This submission</w:t>
      </w:r>
      <w:r w:rsidR="000B05D3">
        <w:t xml:space="preserve"> </w:t>
      </w:r>
      <w:r w:rsidR="0031765B">
        <w:t>first provide</w:t>
      </w:r>
      <w:r w:rsidR="0001287D">
        <w:t>s</w:t>
      </w:r>
      <w:r w:rsidR="007855D4">
        <w:t xml:space="preserve"> an overview of a human rights </w:t>
      </w:r>
      <w:r w:rsidR="0031765B">
        <w:t xml:space="preserve">based approach to a new model for remote employment and participation, followed by an </w:t>
      </w:r>
      <w:r w:rsidR="007A50CD">
        <w:t>outline</w:t>
      </w:r>
      <w:r w:rsidR="0031765B">
        <w:t xml:space="preserve"> of the main </w:t>
      </w:r>
      <w:r w:rsidR="00E400F7">
        <w:t>issues</w:t>
      </w:r>
      <w:r w:rsidR="0031765B">
        <w:t xml:space="preserve"> </w:t>
      </w:r>
      <w:r w:rsidR="00E400F7">
        <w:t xml:space="preserve">with the </w:t>
      </w:r>
      <w:r w:rsidR="00CF693E">
        <w:t xml:space="preserve">current CDP model. </w:t>
      </w:r>
      <w:r w:rsidR="00E11BB8">
        <w:t>It conclude</w:t>
      </w:r>
      <w:r w:rsidR="0001287D">
        <w:t>s</w:t>
      </w:r>
      <w:r w:rsidR="00E11BB8">
        <w:t xml:space="preserve"> with an assessment of how the proposed options in the </w:t>
      </w:r>
      <w:r w:rsidR="004B14E5">
        <w:t>Discussion Paper</w:t>
      </w:r>
      <w:r w:rsidR="006A2BDC">
        <w:t xml:space="preserve"> address these issues, as well as</w:t>
      </w:r>
      <w:r w:rsidR="00E11BB8">
        <w:t xml:space="preserve"> </w:t>
      </w:r>
      <w:r w:rsidR="00305C8F">
        <w:t>factors</w:t>
      </w:r>
      <w:r w:rsidR="00C838A1">
        <w:t xml:space="preserve"> that </w:t>
      </w:r>
      <w:proofErr w:type="gramStart"/>
      <w:r w:rsidR="00C838A1">
        <w:t>should be considered</w:t>
      </w:r>
      <w:proofErr w:type="gramEnd"/>
      <w:r w:rsidR="00C838A1">
        <w:t xml:space="preserve"> in the transition </w:t>
      </w:r>
      <w:r w:rsidR="00B545F3">
        <w:t xml:space="preserve">to a new approach. </w:t>
      </w:r>
    </w:p>
    <w:p w14:paraId="46A27D1B" w14:textId="3B90FD4D" w:rsidR="00B34946" w:rsidRPr="006D3EA5" w:rsidRDefault="00B34946" w:rsidP="00170344">
      <w:pPr>
        <w:pStyle w:val="Heading1"/>
        <w:numPr>
          <w:ilvl w:val="0"/>
          <w:numId w:val="16"/>
        </w:numPr>
      </w:pPr>
      <w:bookmarkStart w:id="7" w:name="_Toc162769291"/>
      <w:bookmarkStart w:id="8" w:name="_Toc207761832"/>
      <w:bookmarkStart w:id="9" w:name="_Toc209578268"/>
      <w:bookmarkStart w:id="10" w:name="_Toc505951146"/>
      <w:r w:rsidRPr="006D3EA5">
        <w:lastRenderedPageBreak/>
        <w:t>Recommendations</w:t>
      </w:r>
      <w:bookmarkEnd w:id="7"/>
      <w:bookmarkEnd w:id="8"/>
      <w:bookmarkEnd w:id="9"/>
      <w:bookmarkEnd w:id="10"/>
    </w:p>
    <w:p w14:paraId="675FAB4F" w14:textId="56265DE7" w:rsidR="00072888" w:rsidRDefault="00072888" w:rsidP="00971881">
      <w:pPr>
        <w:pStyle w:val="SubmissionNormal"/>
      </w:pPr>
      <w:r>
        <w:t xml:space="preserve">The Commission </w:t>
      </w:r>
      <w:r>
        <w:rPr>
          <w:rStyle w:val="Heading3Char"/>
          <w:bCs w:val="0"/>
          <w:i w:val="0"/>
        </w:rPr>
        <w:t>re</w:t>
      </w:r>
      <w:r>
        <w:t>co</w:t>
      </w:r>
      <w:r>
        <w:rPr>
          <w:rStyle w:val="Heading4Char"/>
          <w:iCs w:val="0"/>
        </w:rPr>
        <w:t>mm</w:t>
      </w:r>
      <w:r>
        <w:t>ends that the Government:</w:t>
      </w:r>
    </w:p>
    <w:p w14:paraId="7937CD56" w14:textId="382F6246" w:rsidR="00072888" w:rsidRDefault="007D517C" w:rsidP="00460710">
      <w:pPr>
        <w:pStyle w:val="SubmissionNormal"/>
        <w:numPr>
          <w:ilvl w:val="0"/>
          <w:numId w:val="20"/>
        </w:numPr>
      </w:pPr>
      <w:r>
        <w:t>a</w:t>
      </w:r>
      <w:r w:rsidR="00412555">
        <w:t>pply a</w:t>
      </w:r>
      <w:r w:rsidR="00072888">
        <w:t xml:space="preserve"> human rights based approach </w:t>
      </w:r>
      <w:r w:rsidR="00412555">
        <w:t>to the development and implementation of a</w:t>
      </w:r>
      <w:r w:rsidR="00072888">
        <w:t xml:space="preserve"> new </w:t>
      </w:r>
      <w:r w:rsidR="004C13CA">
        <w:t>CDP model</w:t>
      </w:r>
      <w:r w:rsidR="00072888">
        <w:t xml:space="preserve">, with a particular focus on the </w:t>
      </w:r>
      <w:r w:rsidR="00D0345B">
        <w:t>United Nations Declaration on the Rights of Indigenous Peoples</w:t>
      </w:r>
      <w:r w:rsidR="00072888">
        <w:t xml:space="preserve"> </w:t>
      </w:r>
    </w:p>
    <w:p w14:paraId="136119B3" w14:textId="4FD88E6F" w:rsidR="00FA3049" w:rsidRDefault="007D517C" w:rsidP="00460710">
      <w:pPr>
        <w:pStyle w:val="SubmissionNormal"/>
        <w:numPr>
          <w:ilvl w:val="0"/>
          <w:numId w:val="20"/>
        </w:numPr>
      </w:pPr>
      <w:r>
        <w:t>g</w:t>
      </w:r>
      <w:r w:rsidR="00FA3049">
        <w:t xml:space="preserve">ive active consideration to the proposal of the Aboriginal Peak Organisations Northern Territory in developing </w:t>
      </w:r>
      <w:r w:rsidR="00BB2192">
        <w:t>the content of a new CDP model</w:t>
      </w:r>
    </w:p>
    <w:p w14:paraId="7519D452" w14:textId="1C3CC9E1" w:rsidR="006A57DC" w:rsidRDefault="007D517C" w:rsidP="009B193E">
      <w:pPr>
        <w:pStyle w:val="SubmissionNormal"/>
        <w:numPr>
          <w:ilvl w:val="0"/>
          <w:numId w:val="20"/>
        </w:numPr>
      </w:pPr>
      <w:r>
        <w:t>s</w:t>
      </w:r>
      <w:r w:rsidR="006A57DC">
        <w:t>upport Aboriginal and Torres Strait Islander community-led and controlled approaches to the</w:t>
      </w:r>
      <w:r w:rsidR="005D1433">
        <w:t xml:space="preserve"> development and</w:t>
      </w:r>
      <w:r w:rsidR="006A57DC">
        <w:t xml:space="preserve"> implementation of the new CDP model, including the nature of approved work activities</w:t>
      </w:r>
      <w:r w:rsidR="00DC39B2">
        <w:t>, in a manner consistent with</w:t>
      </w:r>
      <w:r w:rsidR="001E1114">
        <w:t xml:space="preserve"> Aboriginal and Torres Strait Islander people’s right to self-determination and the principle of f</w:t>
      </w:r>
      <w:r w:rsidR="00BB2192">
        <w:t>ree, prior and informed consent</w:t>
      </w:r>
    </w:p>
    <w:p w14:paraId="021B29BD" w14:textId="3B982F80" w:rsidR="008A6826" w:rsidRDefault="007D517C" w:rsidP="009B193E">
      <w:pPr>
        <w:pStyle w:val="SubmissionNormal"/>
        <w:numPr>
          <w:ilvl w:val="0"/>
          <w:numId w:val="20"/>
        </w:numPr>
      </w:pPr>
      <w:r>
        <w:t>e</w:t>
      </w:r>
      <w:r w:rsidR="001E1114">
        <w:t>nsure that local and I</w:t>
      </w:r>
      <w:r w:rsidR="008A6826">
        <w:t>ndigenous knowledge and experience</w:t>
      </w:r>
      <w:r w:rsidR="0072404E">
        <w:t>s</w:t>
      </w:r>
      <w:r w:rsidR="008A6826">
        <w:t xml:space="preserve"> </w:t>
      </w:r>
      <w:r w:rsidR="0072404E">
        <w:t>about the</w:t>
      </w:r>
      <w:r w:rsidR="008A6826">
        <w:t xml:space="preserve"> needs and aspirations of </w:t>
      </w:r>
      <w:r w:rsidR="0072404E">
        <w:t>Aboriginal and Torres Strait Islander peoples and their</w:t>
      </w:r>
      <w:r w:rsidR="008A6826">
        <w:t xml:space="preserve"> </w:t>
      </w:r>
      <w:r w:rsidR="0072404E">
        <w:t>communities i</w:t>
      </w:r>
      <w:r w:rsidR="008A6826">
        <w:t>nform</w:t>
      </w:r>
      <w:r w:rsidR="0072404E">
        <w:t>s</w:t>
      </w:r>
      <w:r w:rsidR="008A6826">
        <w:t xml:space="preserve"> the development and implementation</w:t>
      </w:r>
      <w:r w:rsidR="00BB2192">
        <w:t xml:space="preserve"> of the new CDP model</w:t>
      </w:r>
      <w:r w:rsidR="009B0141">
        <w:t>, and</w:t>
      </w:r>
    </w:p>
    <w:p w14:paraId="0627A12C" w14:textId="2885F6BB" w:rsidR="005D1433" w:rsidRDefault="007D517C" w:rsidP="009B193E">
      <w:pPr>
        <w:pStyle w:val="SubmissionNormal"/>
        <w:numPr>
          <w:ilvl w:val="0"/>
          <w:numId w:val="20"/>
        </w:numPr>
      </w:pPr>
      <w:r>
        <w:t>e</w:t>
      </w:r>
      <w:r w:rsidR="00521D96">
        <w:t>nsure</w:t>
      </w:r>
      <w:r w:rsidR="005D1433">
        <w:t xml:space="preserve"> that participation in work activities under the new CDP model is</w:t>
      </w:r>
      <w:r w:rsidR="00957B80">
        <w:t xml:space="preserve"> compensated through</w:t>
      </w:r>
      <w:r w:rsidR="00521D96">
        <w:t xml:space="preserve"> wages, which are set at lea</w:t>
      </w:r>
      <w:r w:rsidR="00BB2192">
        <w:t>st at the national minimum wage</w:t>
      </w:r>
    </w:p>
    <w:p w14:paraId="190A5DF0" w14:textId="12DBEB8A" w:rsidR="002E2A87" w:rsidRDefault="002E2A87" w:rsidP="002E2A87">
      <w:pPr>
        <w:pStyle w:val="SubmissionNormal"/>
      </w:pPr>
      <w:r>
        <w:t xml:space="preserve">The </w:t>
      </w:r>
      <w:r w:rsidR="00013C7A">
        <w:t>Commission</w:t>
      </w:r>
      <w:r>
        <w:t xml:space="preserve"> recommends that the Government immediately:</w:t>
      </w:r>
    </w:p>
    <w:p w14:paraId="50D295E3" w14:textId="548DB056" w:rsidR="002E2A87" w:rsidRDefault="0014478B" w:rsidP="00460710">
      <w:pPr>
        <w:pStyle w:val="SubmissionNormal"/>
        <w:numPr>
          <w:ilvl w:val="0"/>
          <w:numId w:val="20"/>
        </w:numPr>
      </w:pPr>
      <w:r>
        <w:t>c</w:t>
      </w:r>
      <w:r w:rsidR="004C1C10">
        <w:t>hange</w:t>
      </w:r>
      <w:r w:rsidR="002E2A87">
        <w:t xml:space="preserve"> the current CDP compliance regime </w:t>
      </w:r>
      <w:r w:rsidR="0072761A">
        <w:t xml:space="preserve">to ensure that the mutual obligation activities and penalties </w:t>
      </w:r>
      <w:r w:rsidR="000A0934">
        <w:t>are no more onerous</w:t>
      </w:r>
      <w:r w:rsidR="007A0AFD">
        <w:t xml:space="preserve"> for CDP participants</w:t>
      </w:r>
      <w:r w:rsidR="000A0934">
        <w:t xml:space="preserve"> than</w:t>
      </w:r>
      <w:r w:rsidR="007A0AFD">
        <w:t xml:space="preserve"> those </w:t>
      </w:r>
      <w:r w:rsidR="00426C5D">
        <w:t xml:space="preserve">participants </w:t>
      </w:r>
      <w:r w:rsidR="007A0AFD">
        <w:t>on</w:t>
      </w:r>
      <w:r w:rsidR="002E2A87">
        <w:t xml:space="preserve"> </w:t>
      </w:r>
      <w:r w:rsidR="007A0AFD">
        <w:t>income s</w:t>
      </w:r>
      <w:r w:rsidR="009B0141">
        <w:t>upport in non-remote locations</w:t>
      </w:r>
    </w:p>
    <w:p w14:paraId="10DB0222" w14:textId="413260E2" w:rsidR="004C1C10" w:rsidRDefault="0014478B" w:rsidP="00B14E93">
      <w:pPr>
        <w:pStyle w:val="SubmissionNormal"/>
        <w:numPr>
          <w:ilvl w:val="0"/>
          <w:numId w:val="20"/>
        </w:numPr>
      </w:pPr>
      <w:r>
        <w:t>r</w:t>
      </w:r>
      <w:r w:rsidR="00B14E93">
        <w:t xml:space="preserve">emove the </w:t>
      </w:r>
      <w:r w:rsidR="004C1C10">
        <w:t xml:space="preserve">financial disincentive for providers to exercise their discretion in cases of non-compliance with attendance requirements </w:t>
      </w:r>
    </w:p>
    <w:p w14:paraId="00C290EA" w14:textId="227292C5" w:rsidR="00917497" w:rsidRPr="008D0E5C" w:rsidRDefault="008413C9" w:rsidP="00170344">
      <w:pPr>
        <w:pStyle w:val="Heading1"/>
        <w:numPr>
          <w:ilvl w:val="0"/>
          <w:numId w:val="16"/>
        </w:numPr>
      </w:pPr>
      <w:bookmarkStart w:id="11" w:name="_Toc505951147"/>
      <w:bookmarkStart w:id="12" w:name="_Toc162769295"/>
      <w:r>
        <w:t>A human rights</w:t>
      </w:r>
      <w:r w:rsidR="007855D4">
        <w:t xml:space="preserve"> </w:t>
      </w:r>
      <w:r>
        <w:t>based approach</w:t>
      </w:r>
      <w:bookmarkEnd w:id="11"/>
      <w:r>
        <w:t xml:space="preserve"> </w:t>
      </w:r>
    </w:p>
    <w:bookmarkEnd w:id="12"/>
    <w:p w14:paraId="1F881F93" w14:textId="334929A3" w:rsidR="00767176" w:rsidRDefault="00767176" w:rsidP="00767176">
      <w:pPr>
        <w:pStyle w:val="SubmissionNormal"/>
      </w:pPr>
      <w:r>
        <w:t xml:space="preserve">The International Convention on the Elimination of All Forms of Racial Discrimination (ICERD) and the International Covenant on Economic, Social and Cultural Rights (ICESCR) </w:t>
      </w:r>
      <w:r w:rsidR="00665882">
        <w:t>set out the rights and principles under international human rights law</w:t>
      </w:r>
      <w:r>
        <w:t xml:space="preserve"> through which we can assess the compliance of </w:t>
      </w:r>
      <w:r w:rsidR="00571E30">
        <w:t>the CDP</w:t>
      </w:r>
      <w:r>
        <w:t xml:space="preserve"> </w:t>
      </w:r>
      <w:r w:rsidR="00571E30">
        <w:t>w</w:t>
      </w:r>
      <w:r w:rsidR="00EB5B54">
        <w:t>i</w:t>
      </w:r>
      <w:r>
        <w:t xml:space="preserve">th human rights standards. </w:t>
      </w:r>
    </w:p>
    <w:p w14:paraId="44300E4A" w14:textId="23732443" w:rsidR="00767176" w:rsidRDefault="00767176" w:rsidP="00767176">
      <w:pPr>
        <w:pStyle w:val="SubmissionNormal"/>
      </w:pPr>
      <w:r>
        <w:t>The United Nations Declaration on the Rights of Indigenous Peoples (the Declaration) articulates how the human rights principles in ICERD and ICESCR apply to Indigenous peoples, in particular the</w:t>
      </w:r>
      <w:r w:rsidR="007C7D4A">
        <w:t xml:space="preserve"> four</w:t>
      </w:r>
      <w:r>
        <w:t xml:space="preserve"> principles of:</w:t>
      </w:r>
    </w:p>
    <w:p w14:paraId="02A0F618" w14:textId="5B8C48DE" w:rsidR="00767176" w:rsidRDefault="00767176" w:rsidP="00460710">
      <w:pPr>
        <w:pStyle w:val="SubmissionNormal"/>
        <w:numPr>
          <w:ilvl w:val="0"/>
          <w:numId w:val="19"/>
        </w:numPr>
        <w:ind w:left="1418"/>
      </w:pPr>
      <w:r>
        <w:t>self-determination</w:t>
      </w:r>
    </w:p>
    <w:p w14:paraId="740D9596" w14:textId="65ADAA86" w:rsidR="00767176" w:rsidRDefault="00767176" w:rsidP="00460710">
      <w:pPr>
        <w:pStyle w:val="SubmissionNormal"/>
        <w:numPr>
          <w:ilvl w:val="0"/>
          <w:numId w:val="19"/>
        </w:numPr>
        <w:ind w:left="1418"/>
      </w:pPr>
      <w:r>
        <w:lastRenderedPageBreak/>
        <w:t xml:space="preserve">free, prior and informed consent </w:t>
      </w:r>
    </w:p>
    <w:p w14:paraId="58E70B67" w14:textId="1E857743" w:rsidR="00E55F3E" w:rsidRDefault="00B3079B" w:rsidP="00460710">
      <w:pPr>
        <w:pStyle w:val="SubmissionNormal"/>
        <w:numPr>
          <w:ilvl w:val="0"/>
          <w:numId w:val="19"/>
        </w:numPr>
        <w:ind w:left="1418"/>
      </w:pPr>
      <w:r>
        <w:t>respect for and protection of culture</w:t>
      </w:r>
      <w:r w:rsidR="009B0141">
        <w:t>,</w:t>
      </w:r>
      <w:r w:rsidR="00E55F3E">
        <w:t xml:space="preserve"> </w:t>
      </w:r>
      <w:r w:rsidR="00CB1B3D">
        <w:t>and</w:t>
      </w:r>
    </w:p>
    <w:p w14:paraId="48309567" w14:textId="77777777" w:rsidR="00767176" w:rsidRDefault="00767176" w:rsidP="00460710">
      <w:pPr>
        <w:pStyle w:val="SubmissionNormal"/>
        <w:numPr>
          <w:ilvl w:val="0"/>
          <w:numId w:val="19"/>
        </w:numPr>
        <w:ind w:left="1418"/>
      </w:pPr>
      <w:r>
        <w:t>non-discrimination and equality.</w:t>
      </w:r>
    </w:p>
    <w:p w14:paraId="78C6C531" w14:textId="0AD04C29" w:rsidR="008413C9" w:rsidRDefault="00EC027B" w:rsidP="003B1BC4">
      <w:pPr>
        <w:pStyle w:val="SubmissionNormal"/>
      </w:pPr>
      <w:r>
        <w:t>Features of a h</w:t>
      </w:r>
      <w:r w:rsidR="008413C9">
        <w:t>uman rights</w:t>
      </w:r>
      <w:r w:rsidR="007855D4">
        <w:t xml:space="preserve"> </w:t>
      </w:r>
      <w:r w:rsidR="008413C9">
        <w:t xml:space="preserve">based approach will vary depending on the nature of the organisation concerned </w:t>
      </w:r>
      <w:r w:rsidR="006845C4">
        <w:t>and the is</w:t>
      </w:r>
      <w:r>
        <w:t>sues it deals with. However,</w:t>
      </w:r>
      <w:r w:rsidR="006845C4">
        <w:t xml:space="preserve"> common principles have been identified through the following </w:t>
      </w:r>
      <w:r w:rsidR="008413C9">
        <w:t>PANEL principles:</w:t>
      </w:r>
    </w:p>
    <w:p w14:paraId="6F9FB0A8" w14:textId="77777777" w:rsidR="008413C9" w:rsidRDefault="008413C9" w:rsidP="00460710">
      <w:pPr>
        <w:pStyle w:val="SubmissionNormal"/>
        <w:numPr>
          <w:ilvl w:val="0"/>
          <w:numId w:val="19"/>
        </w:numPr>
        <w:ind w:left="1418"/>
      </w:pPr>
      <w:r w:rsidRPr="008413C9">
        <w:rPr>
          <w:b/>
        </w:rPr>
        <w:t>Participation</w:t>
      </w:r>
      <w:r>
        <w:t>: everyone has the right to participate in decisions which affect their human rights. Participation must be active, free and meaningful, and give attention to issues of accessibility, including access to information in a form and a language which can be understood.</w:t>
      </w:r>
    </w:p>
    <w:p w14:paraId="38CA36C2" w14:textId="528457D3" w:rsidR="008413C9" w:rsidRDefault="008413C9" w:rsidP="00460710">
      <w:pPr>
        <w:pStyle w:val="SubmissionNormal"/>
        <w:numPr>
          <w:ilvl w:val="0"/>
          <w:numId w:val="19"/>
        </w:numPr>
        <w:ind w:left="1418"/>
      </w:pPr>
      <w:r w:rsidRPr="008413C9">
        <w:rPr>
          <w:b/>
        </w:rPr>
        <w:t>Accountability</w:t>
      </w:r>
      <w:r>
        <w:t>: accountability requires effective monitoring of compliance with human rights standards and achievement of human rights goals, as well as effective remedies for human rights breaches. For accountability to be effective there must be appropriate laws, policies, institutions, administrative procedures and mechanisms of redress in order to secure human rights. This also requires the development and use of appropriate human rights indicators.</w:t>
      </w:r>
    </w:p>
    <w:p w14:paraId="2EB5F043" w14:textId="0259419D" w:rsidR="008413C9" w:rsidRDefault="008413C9" w:rsidP="00460710">
      <w:pPr>
        <w:pStyle w:val="SubmissionNormal"/>
        <w:numPr>
          <w:ilvl w:val="0"/>
          <w:numId w:val="19"/>
        </w:numPr>
        <w:ind w:left="1418"/>
      </w:pPr>
      <w:r w:rsidRPr="008413C9">
        <w:rPr>
          <w:b/>
        </w:rPr>
        <w:t>Non-discrimination and equality</w:t>
      </w:r>
      <w:r>
        <w:t xml:space="preserve">: all forms of discrimination must be prohibited, prevented and eliminated. </w:t>
      </w:r>
      <w:r w:rsidR="006454A5">
        <w:t>P</w:t>
      </w:r>
      <w:r>
        <w:t xml:space="preserve">riority should be given to people in the most marginalised or vulnerable situations who face the biggest barriers to realising their rights. </w:t>
      </w:r>
    </w:p>
    <w:p w14:paraId="4147C91E" w14:textId="77777777" w:rsidR="008413C9" w:rsidRDefault="008413C9" w:rsidP="00460710">
      <w:pPr>
        <w:pStyle w:val="SubmissionNormal"/>
        <w:numPr>
          <w:ilvl w:val="0"/>
          <w:numId w:val="19"/>
        </w:numPr>
        <w:ind w:left="1418"/>
      </w:pPr>
      <w:r w:rsidRPr="008413C9">
        <w:rPr>
          <w:b/>
        </w:rPr>
        <w:t>Empowerment</w:t>
      </w:r>
      <w:r>
        <w:t xml:space="preserve">: everyone is entitled to claim and exercise their rights and freedoms. Individuals and communities need to be able to understand their rights, and to participate fully in the development of policy and practices which affect their lives. </w:t>
      </w:r>
    </w:p>
    <w:p w14:paraId="20B8EE8C" w14:textId="258F1A99" w:rsidR="008413C9" w:rsidRDefault="008413C9" w:rsidP="00460710">
      <w:pPr>
        <w:pStyle w:val="SubmissionNormal"/>
        <w:numPr>
          <w:ilvl w:val="0"/>
          <w:numId w:val="19"/>
        </w:numPr>
        <w:ind w:left="1418"/>
      </w:pPr>
      <w:r w:rsidRPr="008413C9">
        <w:rPr>
          <w:b/>
        </w:rPr>
        <w:t>Legality</w:t>
      </w:r>
      <w:r w:rsidR="006454A5">
        <w:t xml:space="preserve">: </w:t>
      </w:r>
      <w:r>
        <w:t xml:space="preserve">the law recognises human rights and freedoms as legally enforceable entitlements, and the law itself is consistent with human rights </w:t>
      </w:r>
      <w:r w:rsidR="00257439">
        <w:t>principles.</w:t>
      </w:r>
      <w:r w:rsidR="00B91E31">
        <w:rPr>
          <w:rStyle w:val="EndnoteReference"/>
        </w:rPr>
        <w:endnoteReference w:id="8"/>
      </w:r>
    </w:p>
    <w:p w14:paraId="77A539D7" w14:textId="6FD2894F" w:rsidR="008413C9" w:rsidRDefault="000110CF" w:rsidP="003B1BC4">
      <w:pPr>
        <w:pStyle w:val="SubmissionNormal"/>
      </w:pPr>
      <w:r>
        <w:t>In order to ensure consistency with Australia’s obligations under international human rights law</w:t>
      </w:r>
      <w:r w:rsidR="008413C9">
        <w:t xml:space="preserve">, </w:t>
      </w:r>
      <w:r w:rsidR="00A77D9F">
        <w:t>the features of the proposed new remote employment and participation model</w:t>
      </w:r>
      <w:r w:rsidR="008413C9">
        <w:t xml:space="preserve"> should</w:t>
      </w:r>
      <w:r>
        <w:t xml:space="preserve"> be consistent with these PANEL principles. In particular the model should</w:t>
      </w:r>
      <w:r w:rsidR="008413C9">
        <w:t xml:space="preserve"> be non-discriminatory and promote the ability of Aboriginal and Torres Strait Islander peoples to exercise ch</w:t>
      </w:r>
      <w:r w:rsidR="00E9224B">
        <w:t xml:space="preserve">oice, participation and control in a manner consistent with the right to self-determination and the principle of free, prior and informed consent, as set out in the Declaration. </w:t>
      </w:r>
    </w:p>
    <w:p w14:paraId="062C29F0" w14:textId="2587576A" w:rsidR="00B95450" w:rsidRPr="002F2A52" w:rsidRDefault="00EA720C" w:rsidP="00F06EEF">
      <w:pPr>
        <w:pStyle w:val="Heading1"/>
        <w:numPr>
          <w:ilvl w:val="1"/>
          <w:numId w:val="16"/>
        </w:numPr>
        <w:rPr>
          <w:i/>
        </w:rPr>
      </w:pPr>
      <w:bookmarkStart w:id="13" w:name="_Toc505951148"/>
      <w:r>
        <w:rPr>
          <w:i/>
        </w:rPr>
        <w:t>T</w:t>
      </w:r>
      <w:r w:rsidR="00B95450" w:rsidRPr="002F2A52">
        <w:rPr>
          <w:i/>
        </w:rPr>
        <w:t>he Racial Discrimination Act</w:t>
      </w:r>
      <w:bookmarkEnd w:id="13"/>
      <w:r w:rsidR="00B95450" w:rsidRPr="002F2A52">
        <w:rPr>
          <w:i/>
        </w:rPr>
        <w:t xml:space="preserve"> </w:t>
      </w:r>
    </w:p>
    <w:p w14:paraId="03DD2CE3" w14:textId="5846F9BB" w:rsidR="00B95450" w:rsidRDefault="00237FE3" w:rsidP="003B1BC4">
      <w:pPr>
        <w:pStyle w:val="SubmissionNormal"/>
      </w:pPr>
      <w:r>
        <w:t xml:space="preserve">The </w:t>
      </w:r>
      <w:r w:rsidRPr="00E10DD1">
        <w:rPr>
          <w:i/>
        </w:rPr>
        <w:t>Racial Discrimination Act 1975</w:t>
      </w:r>
      <w:r>
        <w:t xml:space="preserve"> (</w:t>
      </w:r>
      <w:proofErr w:type="spellStart"/>
      <w:r>
        <w:t>Cth</w:t>
      </w:r>
      <w:proofErr w:type="spellEnd"/>
      <w:r>
        <w:t>) (RDA) is based on Australia’s international legal obligations under ICERD</w:t>
      </w:r>
      <w:r w:rsidR="0061797C">
        <w:t>.</w:t>
      </w:r>
      <w:r w:rsidR="000C53D1">
        <w:t xml:space="preserve"> There are three key questions </w:t>
      </w:r>
      <w:r w:rsidR="000C53D1">
        <w:lastRenderedPageBreak/>
        <w:t>that need to be asked to assess whether initiatives are consistent with the RDA:</w:t>
      </w:r>
      <w:r w:rsidR="00765089">
        <w:rPr>
          <w:rStyle w:val="EndnoteReference"/>
        </w:rPr>
        <w:endnoteReference w:id="9"/>
      </w:r>
      <w:r w:rsidR="000C53D1">
        <w:t xml:space="preserve"> </w:t>
      </w:r>
    </w:p>
    <w:p w14:paraId="6C32C918" w14:textId="3249BA17" w:rsidR="000C53D1" w:rsidRDefault="000C53D1" w:rsidP="00BF36ED">
      <w:pPr>
        <w:pStyle w:val="SubmissionNormal"/>
        <w:numPr>
          <w:ilvl w:val="0"/>
          <w:numId w:val="19"/>
        </w:numPr>
        <w:ind w:left="1418"/>
      </w:pPr>
      <w:r>
        <w:t>Where the measure is established by legislation, does it guarantee equality before the law?</w:t>
      </w:r>
      <w:r w:rsidR="007658A6">
        <w:rPr>
          <w:rStyle w:val="EndnoteReference"/>
        </w:rPr>
        <w:endnoteReference w:id="10"/>
      </w:r>
    </w:p>
    <w:p w14:paraId="73598903" w14:textId="09FF6C6D" w:rsidR="000C53D1" w:rsidRDefault="000C53D1" w:rsidP="00BF36ED">
      <w:pPr>
        <w:pStyle w:val="SubmissionNormal"/>
        <w:numPr>
          <w:ilvl w:val="0"/>
          <w:numId w:val="19"/>
        </w:numPr>
        <w:ind w:left="1418"/>
      </w:pPr>
      <w:r>
        <w:t>Is the measure implemented in such a way that avoids both direct and indirect discrimination?</w:t>
      </w:r>
      <w:r w:rsidR="007658A6">
        <w:rPr>
          <w:rStyle w:val="EndnoteReference"/>
        </w:rPr>
        <w:endnoteReference w:id="11"/>
      </w:r>
    </w:p>
    <w:p w14:paraId="7D42109F" w14:textId="2886BA85" w:rsidR="000C53D1" w:rsidRDefault="000C53D1" w:rsidP="00BF36ED">
      <w:pPr>
        <w:pStyle w:val="SubmissionNormal"/>
        <w:numPr>
          <w:ilvl w:val="0"/>
          <w:numId w:val="19"/>
        </w:numPr>
        <w:ind w:left="1418"/>
      </w:pPr>
      <w:r>
        <w:t>Is the measure exempt as a special measure?</w:t>
      </w:r>
      <w:r w:rsidR="007658A6">
        <w:rPr>
          <w:rStyle w:val="EndnoteReference"/>
        </w:rPr>
        <w:endnoteReference w:id="12"/>
      </w:r>
    </w:p>
    <w:p w14:paraId="702BF1B6" w14:textId="0568E90F" w:rsidR="00701170" w:rsidRDefault="002B036B" w:rsidP="00695217">
      <w:pPr>
        <w:pStyle w:val="SubmissionNormal"/>
      </w:pPr>
      <w:r>
        <w:t xml:space="preserve">The Commission </w:t>
      </w:r>
      <w:r w:rsidR="00BE513F">
        <w:t>has</w:t>
      </w:r>
      <w:r>
        <w:t xml:space="preserve"> previously </w:t>
      </w:r>
      <w:r w:rsidR="00BE513F">
        <w:t>expressed its</w:t>
      </w:r>
      <w:r>
        <w:t xml:space="preserve"> concern that </w:t>
      </w:r>
      <w:r w:rsidR="008268B7">
        <w:t>the</w:t>
      </w:r>
      <w:r w:rsidR="00C30AEF">
        <w:t xml:space="preserve"> CDP</w:t>
      </w:r>
      <w:r w:rsidR="008268B7">
        <w:t xml:space="preserve"> </w:t>
      </w:r>
      <w:r>
        <w:t>may breach the RDA.</w:t>
      </w:r>
      <w:r w:rsidR="00B07790">
        <w:rPr>
          <w:rStyle w:val="EndnoteReference"/>
        </w:rPr>
        <w:endnoteReference w:id="13"/>
      </w:r>
      <w:r w:rsidR="00E070AE">
        <w:t xml:space="preserve"> </w:t>
      </w:r>
      <w:r w:rsidR="00B1616E">
        <w:t xml:space="preserve">In particular, </w:t>
      </w:r>
      <w:r w:rsidR="00701170">
        <w:t xml:space="preserve">the Commission </w:t>
      </w:r>
      <w:r w:rsidR="00BA3932">
        <w:t xml:space="preserve">has </w:t>
      </w:r>
      <w:r w:rsidR="00701170">
        <w:t xml:space="preserve">noted that any scheme </w:t>
      </w:r>
      <w:r w:rsidR="00701170" w:rsidRPr="00701170">
        <w:t>that imposes more stringent obligations and compliance requirements on remote job seekers will have a disproportionate impact on Aboriginal and Torres Strait Islander people</w:t>
      </w:r>
      <w:r w:rsidR="00695217">
        <w:t xml:space="preserve">, as </w:t>
      </w:r>
      <w:r w:rsidR="002F1178">
        <w:t>8</w:t>
      </w:r>
      <w:r w:rsidR="00DF18C6">
        <w:t>4</w:t>
      </w:r>
      <w:r w:rsidR="002F1178">
        <w:t xml:space="preserve"> per cent</w:t>
      </w:r>
      <w:r w:rsidR="00695217" w:rsidRPr="00695217">
        <w:t xml:space="preserve"> of people participating in the CDP are </w:t>
      </w:r>
      <w:r w:rsidR="006F688E">
        <w:t>I</w:t>
      </w:r>
      <w:r w:rsidR="00E070AE">
        <w:t>ndigenous</w:t>
      </w:r>
      <w:r w:rsidR="00701170" w:rsidRPr="00701170">
        <w:t>.</w:t>
      </w:r>
      <w:r w:rsidR="00DF18C6">
        <w:rPr>
          <w:rStyle w:val="EndnoteReference"/>
        </w:rPr>
        <w:endnoteReference w:id="14"/>
      </w:r>
      <w:r w:rsidR="00701170" w:rsidRPr="00701170">
        <w:t xml:space="preserve"> This gives rise to concerns about indirect discrimination under section 9 of the RDA and the right to equality before the law under section 10 of the RDA</w:t>
      </w:r>
      <w:r w:rsidR="00701170">
        <w:t>.</w:t>
      </w:r>
      <w:r w:rsidR="0030359E">
        <w:t xml:space="preserve"> </w:t>
      </w:r>
    </w:p>
    <w:p w14:paraId="3B2E6F47" w14:textId="7999B4CA" w:rsidR="00DE7FDC" w:rsidRPr="002F2A52" w:rsidRDefault="0010594F" w:rsidP="00F06EEF">
      <w:pPr>
        <w:pStyle w:val="Heading1"/>
        <w:numPr>
          <w:ilvl w:val="1"/>
          <w:numId w:val="16"/>
        </w:numPr>
        <w:rPr>
          <w:i/>
        </w:rPr>
      </w:pPr>
      <w:bookmarkStart w:id="14" w:name="_Toc505951149"/>
      <w:r>
        <w:rPr>
          <w:i/>
        </w:rPr>
        <w:t>T</w:t>
      </w:r>
      <w:r w:rsidR="00F06EEF" w:rsidRPr="002F2A52">
        <w:rPr>
          <w:i/>
        </w:rPr>
        <w:t>he right to social security</w:t>
      </w:r>
      <w:bookmarkEnd w:id="14"/>
    </w:p>
    <w:p w14:paraId="7FAF297E" w14:textId="54DEAD46" w:rsidR="002C3839" w:rsidRDefault="00F06EEF" w:rsidP="00E55F3E">
      <w:pPr>
        <w:pStyle w:val="SubmissionNormal"/>
      </w:pPr>
      <w:r>
        <w:t xml:space="preserve"> </w:t>
      </w:r>
      <w:r w:rsidR="00DA1B26">
        <w:t xml:space="preserve">The ICESCR </w:t>
      </w:r>
      <w:r w:rsidR="007D626E">
        <w:t>provides a right to social security,</w:t>
      </w:r>
      <w:r w:rsidR="00DA1B26">
        <w:rPr>
          <w:rStyle w:val="EndnoteReference"/>
        </w:rPr>
        <w:endnoteReference w:id="15"/>
      </w:r>
      <w:r w:rsidR="007D626E">
        <w:t xml:space="preserve"> which is to be enjoyed without discrimination of any kind.</w:t>
      </w:r>
      <w:r w:rsidR="007D626E">
        <w:rPr>
          <w:rStyle w:val="EndnoteReference"/>
        </w:rPr>
        <w:endnoteReference w:id="16"/>
      </w:r>
      <w:r w:rsidR="007D626E">
        <w:t xml:space="preserve"> </w:t>
      </w:r>
      <w:r w:rsidR="000167C6">
        <w:t xml:space="preserve">Similarly, ICERD </w:t>
      </w:r>
      <w:r w:rsidR="0079718C">
        <w:t>states</w:t>
      </w:r>
      <w:r w:rsidR="000167C6">
        <w:t xml:space="preserve"> that the right to social security is to be enjoyed without distinction as to race, colo</w:t>
      </w:r>
      <w:r w:rsidR="006A12A3">
        <w:t>ur or national or ethnic origin</w:t>
      </w:r>
      <w:r w:rsidR="00B546DA">
        <w:t>.</w:t>
      </w:r>
      <w:r w:rsidR="000167C6">
        <w:rPr>
          <w:rStyle w:val="EndnoteReference"/>
        </w:rPr>
        <w:endnoteReference w:id="17"/>
      </w:r>
      <w:r w:rsidR="000167C6">
        <w:t xml:space="preserve"> </w:t>
      </w:r>
      <w:r w:rsidR="00EC6C53">
        <w:t xml:space="preserve">The form in which social security payments are provided must </w:t>
      </w:r>
      <w:r w:rsidR="00E070AE">
        <w:t xml:space="preserve">therefore </w:t>
      </w:r>
      <w:r w:rsidR="00EC6C53">
        <w:t>respect the principles of human dignity and non-discrimination.</w:t>
      </w:r>
      <w:r w:rsidR="00F94F97">
        <w:rPr>
          <w:rStyle w:val="EndnoteReference"/>
        </w:rPr>
        <w:endnoteReference w:id="18"/>
      </w:r>
      <w:r w:rsidR="00EC6C53">
        <w:t xml:space="preserve"> </w:t>
      </w:r>
      <w:r w:rsidR="002C3839">
        <w:t xml:space="preserve">This means that the accessibility element of the right to social security must ensure that: </w:t>
      </w:r>
    </w:p>
    <w:p w14:paraId="23E70061" w14:textId="007F0223" w:rsidR="002C3839" w:rsidRDefault="002C3839" w:rsidP="002C3839">
      <w:pPr>
        <w:pStyle w:val="SubmissionNormal"/>
        <w:numPr>
          <w:ilvl w:val="0"/>
          <w:numId w:val="19"/>
        </w:numPr>
        <w:ind w:left="1418"/>
      </w:pPr>
      <w:r>
        <w:t>eligibility conditions are reasonable, proportionate and transparent</w:t>
      </w:r>
    </w:p>
    <w:p w14:paraId="3F4A90FE" w14:textId="00F4A28A" w:rsidR="002C3839" w:rsidRDefault="002C3839" w:rsidP="003B1BC4">
      <w:pPr>
        <w:pStyle w:val="SubmissionNormal"/>
        <w:numPr>
          <w:ilvl w:val="0"/>
          <w:numId w:val="19"/>
        </w:numPr>
        <w:ind w:left="1418"/>
      </w:pPr>
      <w:r>
        <w:t>the withdrawal, reduction or suspension of benefits are circumscribed, based on grounds that are reasonable and proport</w:t>
      </w:r>
      <w:r w:rsidR="005F406F">
        <w:t>ionate, and provided for by law,</w:t>
      </w:r>
      <w:r>
        <w:t xml:space="preserve"> and</w:t>
      </w:r>
    </w:p>
    <w:p w14:paraId="0A96AE6C" w14:textId="4D4BB317" w:rsidR="002C3839" w:rsidRDefault="002C3839" w:rsidP="005F406F">
      <w:pPr>
        <w:pStyle w:val="SubmissionNormal"/>
        <w:numPr>
          <w:ilvl w:val="0"/>
          <w:numId w:val="19"/>
        </w:numPr>
        <w:ind w:left="1418"/>
      </w:pPr>
      <w:r>
        <w:t>social security recipients participate in the administration of the social security system.</w:t>
      </w:r>
      <w:r w:rsidR="005F406F">
        <w:rPr>
          <w:rStyle w:val="EndnoteReference"/>
        </w:rPr>
        <w:endnoteReference w:id="19"/>
      </w:r>
    </w:p>
    <w:p w14:paraId="4B571B97" w14:textId="2A6C321A" w:rsidR="00B546DA" w:rsidRDefault="00EC6C53" w:rsidP="00430743">
      <w:pPr>
        <w:pStyle w:val="SubmissionNormal"/>
      </w:pPr>
      <w:r>
        <w:t xml:space="preserve">The right to social security </w:t>
      </w:r>
      <w:r w:rsidR="00862F74">
        <w:t>also</w:t>
      </w:r>
      <w:r w:rsidR="009B0B97">
        <w:t xml:space="preserve"> </w:t>
      </w:r>
      <w:r w:rsidR="009E70CD">
        <w:t>‘</w:t>
      </w:r>
      <w:r>
        <w:t>includes the right not to be subject to arbitrary and unreasonable restrictions of ex</w:t>
      </w:r>
      <w:r w:rsidR="009E70CD">
        <w:t>isting social security coverage’</w:t>
      </w:r>
      <w:r>
        <w:rPr>
          <w:rStyle w:val="EndnoteReference"/>
        </w:rPr>
        <w:endnoteReference w:id="20"/>
      </w:r>
      <w:r>
        <w:t xml:space="preserve"> and requires public authorities to </w:t>
      </w:r>
      <w:r w:rsidR="009E70CD">
        <w:t>‘</w:t>
      </w:r>
      <w:r>
        <w:t>take responsibility for the effective administration or supervision of the system</w:t>
      </w:r>
      <w:r w:rsidR="009E70CD">
        <w:t>’</w:t>
      </w:r>
      <w:r>
        <w:t xml:space="preserve"> in order to ensure consistency and certainty in service delivery.</w:t>
      </w:r>
      <w:r>
        <w:rPr>
          <w:rStyle w:val="EndnoteReference"/>
        </w:rPr>
        <w:endnoteReference w:id="21"/>
      </w:r>
      <w:r w:rsidR="009D192C">
        <w:t xml:space="preserve"> </w:t>
      </w:r>
    </w:p>
    <w:p w14:paraId="551182F2" w14:textId="61B9C960" w:rsidR="00EF4620" w:rsidRDefault="00EF4620" w:rsidP="00430743">
      <w:pPr>
        <w:pStyle w:val="SubmissionNormal"/>
      </w:pPr>
      <w:r>
        <w:t xml:space="preserve">The </w:t>
      </w:r>
      <w:r w:rsidRPr="00EF4620">
        <w:t>Committee on Economic, Soci</w:t>
      </w:r>
      <w:r>
        <w:t>al and Cultural Rights (CESCR)</w:t>
      </w:r>
      <w:r w:rsidR="00640316">
        <w:t xml:space="preserve"> has </w:t>
      </w:r>
      <w:r w:rsidR="003419C6">
        <w:t>specifically</w:t>
      </w:r>
      <w:r w:rsidR="008D4F3C">
        <w:t xml:space="preserve"> commented on the right to social security as it relates to the specific circumstances of </w:t>
      </w:r>
      <w:r w:rsidR="006F688E">
        <w:t>I</w:t>
      </w:r>
      <w:r w:rsidR="008D4F3C">
        <w:t>ndigenous peoples, stating that:</w:t>
      </w:r>
      <w:r>
        <w:t xml:space="preserve"> </w:t>
      </w:r>
    </w:p>
    <w:p w14:paraId="1CDC957D" w14:textId="48CA3051" w:rsidR="008D4F3C" w:rsidRDefault="00C448AE" w:rsidP="005F406F">
      <w:pPr>
        <w:pStyle w:val="SubmissionNormal"/>
        <w:numPr>
          <w:ilvl w:val="0"/>
          <w:numId w:val="0"/>
        </w:numPr>
        <w:ind w:left="993" w:right="848"/>
      </w:pPr>
      <w:r w:rsidRPr="00605C82">
        <w:rPr>
          <w:sz w:val="22"/>
        </w:rPr>
        <w:t xml:space="preserve">States parties should take particular care that indigenous peoples and ethnic and linguistic minorities are not excluded from social security </w:t>
      </w:r>
      <w:r w:rsidRPr="00605C82">
        <w:rPr>
          <w:sz w:val="22"/>
        </w:rPr>
        <w:lastRenderedPageBreak/>
        <w:t xml:space="preserve">systems through direct or indirect discrimination, particularly through the imposition of unreasonable eligibility conditions or lack of </w:t>
      </w:r>
      <w:r w:rsidR="005F406F" w:rsidRPr="00605C82">
        <w:rPr>
          <w:sz w:val="22"/>
        </w:rPr>
        <w:t>adequate access to information.</w:t>
      </w:r>
      <w:r w:rsidR="005F406F">
        <w:rPr>
          <w:rStyle w:val="EndnoteReference"/>
        </w:rPr>
        <w:endnoteReference w:id="22"/>
      </w:r>
    </w:p>
    <w:p w14:paraId="1B718BCB" w14:textId="03060AFE" w:rsidR="003419C6" w:rsidRDefault="003419C6" w:rsidP="00406EFD">
      <w:pPr>
        <w:pStyle w:val="SubmissionNormal"/>
      </w:pPr>
      <w:r>
        <w:t xml:space="preserve">This </w:t>
      </w:r>
      <w:r w:rsidR="00406EFD">
        <w:t xml:space="preserve">observation </w:t>
      </w:r>
      <w:r>
        <w:t xml:space="preserve">is </w:t>
      </w:r>
      <w:r w:rsidR="00406EFD">
        <w:t xml:space="preserve">consistent with the Declaration, which </w:t>
      </w:r>
      <w:r>
        <w:t xml:space="preserve">states that </w:t>
      </w:r>
      <w:r w:rsidR="006F688E">
        <w:t>I</w:t>
      </w:r>
      <w:r>
        <w:t>ndigenous peoples have the right, without discrimination, to the improvement of their economic and social conditions, including in the area of social security.</w:t>
      </w:r>
      <w:r w:rsidR="00A67298">
        <w:rPr>
          <w:rStyle w:val="EndnoteReference"/>
        </w:rPr>
        <w:endnoteReference w:id="23"/>
      </w:r>
    </w:p>
    <w:p w14:paraId="19DC9CBB" w14:textId="3560526E" w:rsidR="006A7997" w:rsidRDefault="006A7997" w:rsidP="006A7997">
      <w:pPr>
        <w:pStyle w:val="SubmissionNormal"/>
      </w:pPr>
      <w:r>
        <w:t>T</w:t>
      </w:r>
      <w:r w:rsidRPr="004E7FF7">
        <w:t>he former Aboriginal and Torres Strait Islander Social Justice Commissioner, Mick Gooda,</w:t>
      </w:r>
      <w:r>
        <w:t xml:space="preserve"> raised concerns</w:t>
      </w:r>
      <w:r w:rsidR="008A284D">
        <w:t xml:space="preserve"> in 2015</w:t>
      </w:r>
      <w:r>
        <w:t xml:space="preserve"> </w:t>
      </w:r>
      <w:r w:rsidR="00AC5A60">
        <w:t>about the impact of the</w:t>
      </w:r>
      <w:r>
        <w:t xml:space="preserve"> CDP </w:t>
      </w:r>
      <w:r w:rsidR="00AC5A60">
        <w:t>on</w:t>
      </w:r>
      <w:r>
        <w:t xml:space="preserve"> the right of Aboriginal and Torres Strait Islander peoples to social security, stating that: </w:t>
      </w:r>
    </w:p>
    <w:p w14:paraId="4764BC22" w14:textId="3F95E813" w:rsidR="006A7997" w:rsidRPr="00605C82" w:rsidRDefault="00AC5A60" w:rsidP="005F406F">
      <w:pPr>
        <w:pStyle w:val="SubmissionNormal"/>
        <w:numPr>
          <w:ilvl w:val="0"/>
          <w:numId w:val="0"/>
        </w:numPr>
        <w:ind w:left="993" w:right="848"/>
        <w:rPr>
          <w:sz w:val="22"/>
          <w:szCs w:val="22"/>
        </w:rPr>
      </w:pPr>
      <w:r w:rsidRPr="00605C82">
        <w:rPr>
          <w:sz w:val="22"/>
        </w:rPr>
        <w:t xml:space="preserve">the implementation of Work for the Dole in remote communities may give rise to indirect discrimination and </w:t>
      </w:r>
      <w:r w:rsidR="006A7997" w:rsidRPr="00605C82">
        <w:rPr>
          <w:sz w:val="22"/>
        </w:rPr>
        <w:t xml:space="preserve">have a negative impact on the ability of Aboriginal and Torres Strait Islander peoples to enjoy their rights, particularly the right to social security. Income is fundamental to wellbeing and the ability of people to realise other economic, social and cultural rights. The recognition of social security as a human right acknowledges the particular vulnerability </w:t>
      </w:r>
      <w:r w:rsidR="006A7997" w:rsidRPr="00605C82">
        <w:rPr>
          <w:sz w:val="22"/>
          <w:szCs w:val="22"/>
        </w:rPr>
        <w:t>and insecure circumstances of people who are unable to obtain paid employment.</w:t>
      </w:r>
      <w:r w:rsidR="005F406F" w:rsidRPr="00605C82">
        <w:rPr>
          <w:rStyle w:val="EndnoteReference"/>
          <w:sz w:val="22"/>
          <w:szCs w:val="22"/>
        </w:rPr>
        <w:endnoteReference w:id="24"/>
      </w:r>
    </w:p>
    <w:p w14:paraId="27E4999D" w14:textId="2A040BB5" w:rsidR="00B02366" w:rsidRDefault="00E14353" w:rsidP="00B02366">
      <w:pPr>
        <w:pStyle w:val="SubmissionNormal"/>
      </w:pPr>
      <w:r>
        <w:t xml:space="preserve">The Commission continues to hold concerns that the </w:t>
      </w:r>
      <w:r w:rsidR="00DC7F28">
        <w:t xml:space="preserve">current </w:t>
      </w:r>
      <w:r>
        <w:t>CDP</w:t>
      </w:r>
      <w:r w:rsidR="00C72234">
        <w:t xml:space="preserve"> model</w:t>
      </w:r>
      <w:r>
        <w:t xml:space="preserve"> is inconsistent with Australia’s obligations</w:t>
      </w:r>
      <w:r w:rsidR="0054016C">
        <w:t xml:space="preserve"> under ICESCR, ICERD and the Declaration in relation to the right to social security</w:t>
      </w:r>
      <w:r w:rsidR="002E2FA1">
        <w:t xml:space="preserve">. </w:t>
      </w:r>
    </w:p>
    <w:p w14:paraId="0759D28D" w14:textId="3A533C27" w:rsidR="00917497" w:rsidRPr="009640F7" w:rsidRDefault="000A07EA" w:rsidP="00170344">
      <w:pPr>
        <w:pStyle w:val="Heading1"/>
        <w:numPr>
          <w:ilvl w:val="0"/>
          <w:numId w:val="16"/>
        </w:numPr>
      </w:pPr>
      <w:bookmarkStart w:id="15" w:name="_Toc505951150"/>
      <w:r>
        <w:t>The Community Development Programme</w:t>
      </w:r>
      <w:bookmarkEnd w:id="15"/>
    </w:p>
    <w:p w14:paraId="1BEAD9BE" w14:textId="7911526E" w:rsidR="00C2342D" w:rsidRDefault="00C2342D" w:rsidP="003A1730">
      <w:pPr>
        <w:pStyle w:val="SubmissionNormal"/>
      </w:pPr>
      <w:r>
        <w:t xml:space="preserve">As stated in the </w:t>
      </w:r>
      <w:r w:rsidR="000D5CC6">
        <w:t>Discussion Paper</w:t>
      </w:r>
      <w:r>
        <w:t xml:space="preserve">, in 2015 the Government introduced the CDP to </w:t>
      </w:r>
      <w:r w:rsidR="00D410A3">
        <w:t xml:space="preserve">provide pathways to </w:t>
      </w:r>
      <w:r w:rsidR="00707EB0">
        <w:t>transition</w:t>
      </w:r>
      <w:r w:rsidR="00D410A3">
        <w:t xml:space="preserve"> remote job seekers </w:t>
      </w:r>
      <w:r w:rsidR="00707EB0">
        <w:t>off welfare and into</w:t>
      </w:r>
      <w:r w:rsidR="00D410A3">
        <w:t xml:space="preserve"> work</w:t>
      </w:r>
      <w:r w:rsidR="00CA5222">
        <w:t>,</w:t>
      </w:r>
      <w:r w:rsidR="00D410A3">
        <w:t xml:space="preserve"> and to address a number of issues that it believed the former Remote Jobs and Communities Programme (RJCP) and the Community Development Employment Projects (CDEP) had failed to resolve. </w:t>
      </w:r>
      <w:r w:rsidR="0032173B">
        <w:t>However, s</w:t>
      </w:r>
      <w:r w:rsidR="0058535F">
        <w:t>ubstantial evidence and feedback from st</w:t>
      </w:r>
      <w:r w:rsidR="008832B9">
        <w:t xml:space="preserve">akeholders and CDP participants have </w:t>
      </w:r>
      <w:r w:rsidR="0032173B">
        <w:t>indicated t</w:t>
      </w:r>
      <w:r w:rsidR="0058535F">
        <w:t xml:space="preserve">hat the </w:t>
      </w:r>
      <w:r w:rsidR="008E31DD">
        <w:t>programme</w:t>
      </w:r>
      <w:r w:rsidR="0058535F">
        <w:t xml:space="preserve"> is not working for its participants, their families and their communities. </w:t>
      </w:r>
      <w:r w:rsidR="000A2ABC">
        <w:t>The r</w:t>
      </w:r>
      <w:r w:rsidR="00B8534C">
        <w:t>easons for</w:t>
      </w:r>
      <w:r w:rsidR="000A2ABC">
        <w:t xml:space="preserve"> these</w:t>
      </w:r>
      <w:r w:rsidR="00B8534C">
        <w:t xml:space="preserve"> </w:t>
      </w:r>
      <w:r w:rsidR="000A2ABC">
        <w:t>failings</w:t>
      </w:r>
      <w:r w:rsidR="00B8534C">
        <w:t xml:space="preserve"> include</w:t>
      </w:r>
      <w:r w:rsidR="00EF4687">
        <w:t>:</w:t>
      </w:r>
      <w:r w:rsidR="00B8534C">
        <w:t xml:space="preserve"> a lack of Aboriginal community control</w:t>
      </w:r>
      <w:r w:rsidR="00EF4687">
        <w:t xml:space="preserve"> in the design and delivery of the </w:t>
      </w:r>
      <w:r w:rsidR="008E31DD">
        <w:t>programme</w:t>
      </w:r>
      <w:r w:rsidR="00EF4687">
        <w:t xml:space="preserve">; </w:t>
      </w:r>
      <w:r w:rsidR="00B8534C">
        <w:t xml:space="preserve">insufficient </w:t>
      </w:r>
      <w:r w:rsidR="00277624">
        <w:t>economic development opportunities</w:t>
      </w:r>
      <w:r w:rsidR="00EF4687">
        <w:t>; a focus on short-term outcomes rather than long</w:t>
      </w:r>
      <w:r w:rsidR="00E927F1">
        <w:t>-</w:t>
      </w:r>
      <w:r w:rsidR="00EF4687">
        <w:t>term economic, social and cultural development; a lack of flexibility in CDP implementation; and a focus on individuals at the expense of community development and systemic factors.</w:t>
      </w:r>
      <w:r w:rsidR="00054FE8">
        <w:t xml:space="preserve"> </w:t>
      </w:r>
      <w:r w:rsidR="00CD2C54">
        <w:t xml:space="preserve">These </w:t>
      </w:r>
      <w:r w:rsidR="008E31DD">
        <w:t>programme</w:t>
      </w:r>
      <w:r w:rsidR="00CD2C54">
        <w:t xml:space="preserve"> design flaws </w:t>
      </w:r>
      <w:r w:rsidR="00687595">
        <w:t xml:space="preserve">have led to a number of discrete issues that are explored in more detail below. </w:t>
      </w:r>
    </w:p>
    <w:p w14:paraId="7DEC4645" w14:textId="7C52C842" w:rsidR="006763D9" w:rsidRPr="00393791" w:rsidRDefault="00F132A2" w:rsidP="00575A6F">
      <w:pPr>
        <w:pStyle w:val="Heading1"/>
        <w:numPr>
          <w:ilvl w:val="1"/>
          <w:numId w:val="16"/>
        </w:numPr>
        <w:rPr>
          <w:i/>
        </w:rPr>
      </w:pPr>
      <w:bookmarkStart w:id="16" w:name="_Toc505951151"/>
      <w:r w:rsidRPr="00393791">
        <w:rPr>
          <w:i/>
        </w:rPr>
        <w:t>Wage conditions</w:t>
      </w:r>
      <w:bookmarkEnd w:id="16"/>
      <w:r w:rsidRPr="00393791">
        <w:rPr>
          <w:i/>
        </w:rPr>
        <w:t xml:space="preserve"> </w:t>
      </w:r>
    </w:p>
    <w:p w14:paraId="72BDE723" w14:textId="19D73776" w:rsidR="00AD5594" w:rsidRDefault="009C3E12" w:rsidP="00AF0697">
      <w:pPr>
        <w:pStyle w:val="SubmissionNormal"/>
      </w:pPr>
      <w:r>
        <w:t xml:space="preserve">Under </w:t>
      </w:r>
      <w:r w:rsidR="00C95CB1">
        <w:t>the CDP, participants with full-</w:t>
      </w:r>
      <w:r>
        <w:t>time work capacity and who are aged between 18</w:t>
      </w:r>
      <w:r w:rsidR="00C95CB1">
        <w:t>–</w:t>
      </w:r>
      <w:r>
        <w:t xml:space="preserve">49 years old must complete 25 hours </w:t>
      </w:r>
      <w:r w:rsidR="004A3125">
        <w:t xml:space="preserve">of work </w:t>
      </w:r>
      <w:r>
        <w:t xml:space="preserve">per week </w:t>
      </w:r>
      <w:r w:rsidR="00742803">
        <w:t xml:space="preserve">from day one of the </w:t>
      </w:r>
      <w:r w:rsidR="008E31DD">
        <w:t>programme</w:t>
      </w:r>
      <w:r>
        <w:t xml:space="preserve">. These hours must be scheduled over </w:t>
      </w:r>
      <w:r w:rsidR="00740489">
        <w:t>five</w:t>
      </w:r>
      <w:r>
        <w:t xml:space="preserve"> days per week from Monday to Friday, </w:t>
      </w:r>
      <w:r w:rsidR="008554A0">
        <w:t xml:space="preserve">and for </w:t>
      </w:r>
      <w:r>
        <w:t xml:space="preserve">at least 46 weeks </w:t>
      </w:r>
      <w:r w:rsidR="008554A0">
        <w:t>each</w:t>
      </w:r>
      <w:r>
        <w:t xml:space="preserve"> year. This </w:t>
      </w:r>
      <w:r>
        <w:lastRenderedPageBreak/>
        <w:t xml:space="preserve">amounts to 1150 hours per year. A provider may give a participant up to </w:t>
      </w:r>
      <w:r w:rsidR="008554A0">
        <w:t>4</w:t>
      </w:r>
      <w:r>
        <w:t xml:space="preserve"> weeks of leave each year from Work for the Dole activities.</w:t>
      </w:r>
      <w:r w:rsidR="00742803">
        <w:t xml:space="preserve"> </w:t>
      </w:r>
    </w:p>
    <w:p w14:paraId="276DDD2A" w14:textId="4D0BB282" w:rsidR="008655DF" w:rsidRDefault="00C31D51" w:rsidP="00015B6C">
      <w:pPr>
        <w:pStyle w:val="SubmissionNormal"/>
      </w:pPr>
      <w:r>
        <w:t>T</w:t>
      </w:r>
      <w:r w:rsidR="004A3125">
        <w:t>hese CDP requirements place more onerous obligations on participants than other e</w:t>
      </w:r>
      <w:r w:rsidR="007A1536">
        <w:t xml:space="preserve">quivalent </w:t>
      </w:r>
      <w:r w:rsidR="008E31DD">
        <w:t>programme</w:t>
      </w:r>
      <w:r w:rsidR="007A1536">
        <w:t xml:space="preserve">s such as the </w:t>
      </w:r>
      <w:proofErr w:type="spellStart"/>
      <w:r w:rsidR="007A1536">
        <w:t>JobA</w:t>
      </w:r>
      <w:r w:rsidR="004A3125">
        <w:t>ctive</w:t>
      </w:r>
      <w:proofErr w:type="spellEnd"/>
      <w:r w:rsidR="004A3125">
        <w:t xml:space="preserve"> </w:t>
      </w:r>
      <w:r w:rsidR="008E31DD">
        <w:t>programme</w:t>
      </w:r>
      <w:r w:rsidR="004A3125">
        <w:t>.</w:t>
      </w:r>
      <w:r w:rsidR="00564931">
        <w:t xml:space="preserve"> </w:t>
      </w:r>
      <w:r w:rsidR="00287086">
        <w:t xml:space="preserve">Under the </w:t>
      </w:r>
      <w:proofErr w:type="spellStart"/>
      <w:r w:rsidR="007A1536">
        <w:t>JobA</w:t>
      </w:r>
      <w:r w:rsidR="00287086">
        <w:t>ctive</w:t>
      </w:r>
      <w:proofErr w:type="spellEnd"/>
      <w:r w:rsidR="00287086">
        <w:t xml:space="preserve"> </w:t>
      </w:r>
      <w:r w:rsidR="008E31DD">
        <w:t>programme</w:t>
      </w:r>
      <w:r w:rsidR="00287086">
        <w:t xml:space="preserve">, the ‘mutual obligation activities’ only start for participants at least 12 months after they have started the </w:t>
      </w:r>
      <w:r w:rsidR="008E31DD">
        <w:t>programme</w:t>
      </w:r>
      <w:r w:rsidR="00287086">
        <w:t xml:space="preserve">. They are also only required to participate in the </w:t>
      </w:r>
      <w:r w:rsidR="008E31DD">
        <w:t>programme</w:t>
      </w:r>
      <w:r w:rsidR="00430832">
        <w:t xml:space="preserve"> for 6 months in each year, and to complete 15 hours per week, with no requirement for these hours to be completed from Monday to Friday. </w:t>
      </w:r>
      <w:r w:rsidR="00280C9B">
        <w:t>This</w:t>
      </w:r>
      <w:r w:rsidR="00015B6C">
        <w:t xml:space="preserve"> commitment amounts to around 350-650 hours of work per year.</w:t>
      </w:r>
      <w:r w:rsidR="00015B6C">
        <w:rPr>
          <w:rStyle w:val="EndnoteReference"/>
        </w:rPr>
        <w:endnoteReference w:id="25"/>
      </w:r>
    </w:p>
    <w:p w14:paraId="2D1D9F8C" w14:textId="07C76A32" w:rsidR="001348D3" w:rsidRDefault="00CF7215" w:rsidP="00670EEE">
      <w:pPr>
        <w:pStyle w:val="SubmissionNormal"/>
      </w:pPr>
      <w:r>
        <w:t xml:space="preserve">A concerning </w:t>
      </w:r>
      <w:r w:rsidR="00B11B57">
        <w:t>feature</w:t>
      </w:r>
      <w:r>
        <w:t xml:space="preserve"> </w:t>
      </w:r>
      <w:r w:rsidR="00B11B57">
        <w:t xml:space="preserve">of </w:t>
      </w:r>
      <w:r w:rsidR="0099689E">
        <w:t xml:space="preserve">the </w:t>
      </w:r>
      <w:r w:rsidR="00B11B57">
        <w:t xml:space="preserve">CDP </w:t>
      </w:r>
      <w:r>
        <w:t xml:space="preserve">that has been reported, is that </w:t>
      </w:r>
      <w:r w:rsidR="00B11B57">
        <w:t xml:space="preserve">it creates the opportunity for employers to </w:t>
      </w:r>
      <w:r w:rsidR="005C1FEF">
        <w:t>substitute</w:t>
      </w:r>
      <w:r w:rsidR="00B11B57">
        <w:t xml:space="preserve"> </w:t>
      </w:r>
      <w:r w:rsidR="0009576D">
        <w:t xml:space="preserve">paid </w:t>
      </w:r>
      <w:r w:rsidR="005C1FEF">
        <w:t>CDP workers</w:t>
      </w:r>
      <w:r w:rsidR="0009576D">
        <w:t xml:space="preserve"> for </w:t>
      </w:r>
      <w:r w:rsidR="005C1FEF">
        <w:t>paid employees</w:t>
      </w:r>
      <w:r w:rsidR="00B11B57">
        <w:t>.</w:t>
      </w:r>
      <w:r w:rsidR="00B11B57">
        <w:rPr>
          <w:rStyle w:val="EndnoteReference"/>
        </w:rPr>
        <w:endnoteReference w:id="26"/>
      </w:r>
      <w:r w:rsidR="00064B3C">
        <w:t xml:space="preserve"> </w:t>
      </w:r>
      <w:r w:rsidR="00310D62">
        <w:t xml:space="preserve">Research has shown that up to half of providers reported that local governments are likely to rely on CDP </w:t>
      </w:r>
      <w:r w:rsidR="00852B1C">
        <w:t>participants</w:t>
      </w:r>
      <w:r w:rsidR="00310D62">
        <w:t xml:space="preserve"> to do tasks that fall within the responsibility of</w:t>
      </w:r>
      <w:r w:rsidR="00707F75">
        <w:t xml:space="preserve"> council workers, and nearly 40 per cent</w:t>
      </w:r>
      <w:r w:rsidR="00310D62">
        <w:t xml:space="preserve"> report private employers asking for CDP labour rather than employing people who work under normal </w:t>
      </w:r>
      <w:r w:rsidR="003E5811">
        <w:t>employment</w:t>
      </w:r>
      <w:r w:rsidR="001515C0">
        <w:t xml:space="preserve"> </w:t>
      </w:r>
      <w:r w:rsidR="00310D62">
        <w:t>conditions.</w:t>
      </w:r>
      <w:r w:rsidR="00695730">
        <w:rPr>
          <w:rStyle w:val="EndnoteReference"/>
        </w:rPr>
        <w:endnoteReference w:id="27"/>
      </w:r>
      <w:r w:rsidR="00852B1C">
        <w:t xml:space="preserve"> </w:t>
      </w:r>
    </w:p>
    <w:p w14:paraId="40A8F19A" w14:textId="7744FFFE" w:rsidR="00774704" w:rsidRDefault="00852B1C" w:rsidP="00AF0697">
      <w:pPr>
        <w:pStyle w:val="SubmissionNormal"/>
      </w:pPr>
      <w:r>
        <w:t>A contributing factor to this trend is that providers and other employers in remote locations are</w:t>
      </w:r>
      <w:r w:rsidR="00774704">
        <w:t xml:space="preserve"> often</w:t>
      </w:r>
      <w:r>
        <w:t xml:space="preserve"> under-resourced</w:t>
      </w:r>
      <w:r w:rsidR="00774704">
        <w:t xml:space="preserve"> and the cost of living and labour i</w:t>
      </w:r>
      <w:r w:rsidR="00631C1D">
        <w:t>n these location i</w:t>
      </w:r>
      <w:r w:rsidR="00774704">
        <w:t xml:space="preserve">s much higher. This means that CDP participants, as a cheap form of labour, are an attractive alternative to employees working at least on the minimum wage with employment benefits such as superannuation.  </w:t>
      </w:r>
    </w:p>
    <w:p w14:paraId="757B0C97" w14:textId="3095B0B8" w:rsidR="001171BF" w:rsidRPr="00393791" w:rsidRDefault="00782213" w:rsidP="00575A6F">
      <w:pPr>
        <w:pStyle w:val="Heading1"/>
        <w:numPr>
          <w:ilvl w:val="1"/>
          <w:numId w:val="16"/>
        </w:numPr>
        <w:rPr>
          <w:i/>
        </w:rPr>
      </w:pPr>
      <w:bookmarkStart w:id="17" w:name="_Toc505951152"/>
      <w:r>
        <w:rPr>
          <w:i/>
        </w:rPr>
        <w:t>T</w:t>
      </w:r>
      <w:r w:rsidR="001171BF" w:rsidRPr="00393791">
        <w:rPr>
          <w:i/>
        </w:rPr>
        <w:t>ransition to long</w:t>
      </w:r>
      <w:r w:rsidR="00663BFE">
        <w:rPr>
          <w:i/>
        </w:rPr>
        <w:t>-</w:t>
      </w:r>
      <w:r w:rsidR="001171BF" w:rsidRPr="00393791">
        <w:rPr>
          <w:i/>
        </w:rPr>
        <w:t>term employment</w:t>
      </w:r>
      <w:bookmarkEnd w:id="17"/>
      <w:r w:rsidR="001171BF" w:rsidRPr="00393791">
        <w:rPr>
          <w:i/>
        </w:rPr>
        <w:t xml:space="preserve"> </w:t>
      </w:r>
    </w:p>
    <w:p w14:paraId="5837AFE6" w14:textId="6E7AB5AF" w:rsidR="00A05384" w:rsidRPr="001171BF" w:rsidRDefault="004B759F" w:rsidP="00782213">
      <w:pPr>
        <w:pStyle w:val="SubmissionNormal"/>
      </w:pPr>
      <w:r>
        <w:t xml:space="preserve">The </w:t>
      </w:r>
      <w:r w:rsidR="004B14E5">
        <w:t xml:space="preserve">Discussion Paper </w:t>
      </w:r>
      <w:r w:rsidR="00CD28EF">
        <w:t>states that</w:t>
      </w:r>
      <w:r w:rsidR="009E70CD">
        <w:t xml:space="preserve"> ‘</w:t>
      </w:r>
      <w:r>
        <w:t>there has been a significant increase in the number of job seekers engaged</w:t>
      </w:r>
      <w:r w:rsidR="00CD28EF">
        <w:t xml:space="preserve"> in activities</w:t>
      </w:r>
      <w:r w:rsidR="009E70CD">
        <w:t>’</w:t>
      </w:r>
      <w:r>
        <w:rPr>
          <w:rStyle w:val="EndnoteReference"/>
        </w:rPr>
        <w:endnoteReference w:id="28"/>
      </w:r>
      <w:r w:rsidR="00DF32AB">
        <w:t xml:space="preserve"> </w:t>
      </w:r>
      <w:r w:rsidR="00CD28EF">
        <w:t>since the introduction of</w:t>
      </w:r>
      <w:r w:rsidR="00663BFE">
        <w:t xml:space="preserve"> the</w:t>
      </w:r>
      <w:r w:rsidR="00CD28EF">
        <w:t xml:space="preserve"> CDP. </w:t>
      </w:r>
      <w:r w:rsidR="00DF32AB">
        <w:t xml:space="preserve">Research, however, </w:t>
      </w:r>
      <w:r w:rsidR="00DA4D19">
        <w:t>indicates that the CDP has not led to Aboriginal and Torres Strait Islander peoples w</w:t>
      </w:r>
      <w:r w:rsidR="005A7847">
        <w:t>ho are on the scheme transitioning</w:t>
      </w:r>
      <w:r w:rsidR="00DA4D19">
        <w:t xml:space="preserve"> to </w:t>
      </w:r>
      <w:r w:rsidR="0068650A">
        <w:t>long-term</w:t>
      </w:r>
      <w:r w:rsidR="00DA4D19">
        <w:t xml:space="preserve"> employment.</w:t>
      </w:r>
      <w:r w:rsidR="00DA4D19">
        <w:rPr>
          <w:rStyle w:val="EndnoteReference"/>
        </w:rPr>
        <w:endnoteReference w:id="29"/>
      </w:r>
      <w:r w:rsidR="0012687E" w:rsidRPr="0012687E">
        <w:t xml:space="preserve"> </w:t>
      </w:r>
      <w:r w:rsidR="0012687E">
        <w:t>The Federal Government has</w:t>
      </w:r>
      <w:r w:rsidR="00201DDF">
        <w:t xml:space="preserve"> also</w:t>
      </w:r>
      <w:r w:rsidR="0012687E">
        <w:t xml:space="preserve"> stated that the CDP has resulted in 13 and 26 week job outcomes.</w:t>
      </w:r>
      <w:r w:rsidR="0012687E">
        <w:rPr>
          <w:rStyle w:val="EndnoteReference"/>
        </w:rPr>
        <w:endnoteReference w:id="30"/>
      </w:r>
      <w:r w:rsidR="00DF32AB">
        <w:t xml:space="preserve"> I</w:t>
      </w:r>
      <w:r w:rsidR="0012687E">
        <w:t>t is not clear whether these are new full</w:t>
      </w:r>
      <w:r w:rsidR="00D40778">
        <w:t>-</w:t>
      </w:r>
      <w:r w:rsidR="0012687E">
        <w:t xml:space="preserve">time jobs, or seasonal or casual jobs that would have been filled irrespective of </w:t>
      </w:r>
      <w:r w:rsidR="00D40778">
        <w:t xml:space="preserve">the </w:t>
      </w:r>
      <w:r w:rsidR="0012687E">
        <w:t xml:space="preserve">CDP. </w:t>
      </w:r>
    </w:p>
    <w:p w14:paraId="28CE1583" w14:textId="1EB2C538" w:rsidR="00782213" w:rsidRDefault="00782213" w:rsidP="00A11C29">
      <w:pPr>
        <w:pStyle w:val="Heading1"/>
        <w:numPr>
          <w:ilvl w:val="1"/>
          <w:numId w:val="16"/>
        </w:numPr>
        <w:rPr>
          <w:i/>
        </w:rPr>
      </w:pPr>
      <w:bookmarkStart w:id="18" w:name="_Toc505951153"/>
      <w:r>
        <w:rPr>
          <w:i/>
        </w:rPr>
        <w:t>Job creation</w:t>
      </w:r>
      <w:bookmarkEnd w:id="18"/>
    </w:p>
    <w:p w14:paraId="20553DFE" w14:textId="12DC6130" w:rsidR="00C1749D" w:rsidRDefault="00782213" w:rsidP="00C1749D">
      <w:pPr>
        <w:pStyle w:val="SubmissionNormal"/>
      </w:pPr>
      <w:r>
        <w:t xml:space="preserve">The </w:t>
      </w:r>
      <w:r w:rsidRPr="000E7E66">
        <w:t>lack of employment opportunities</w:t>
      </w:r>
      <w:r w:rsidR="00ED08EE">
        <w:t xml:space="preserve"> in remote communities </w:t>
      </w:r>
      <w:r w:rsidRPr="000E7E66">
        <w:t xml:space="preserve">is the single </w:t>
      </w:r>
      <w:r w:rsidR="00176F47">
        <w:t>largest</w:t>
      </w:r>
      <w:r w:rsidRPr="000E7E66">
        <w:t xml:space="preserve"> cause of joblessness in most areas covered by </w:t>
      </w:r>
      <w:r w:rsidR="00A96A25">
        <w:t xml:space="preserve">the </w:t>
      </w:r>
      <w:r w:rsidRPr="000E7E66">
        <w:t>CDP</w:t>
      </w:r>
      <w:r>
        <w:t xml:space="preserve">. </w:t>
      </w:r>
      <w:r w:rsidR="00C1749D" w:rsidRPr="00351E9E">
        <w:t>As noted by the Aboriginal Peak Organisations Northern Territory</w:t>
      </w:r>
      <w:r w:rsidR="00C1749D">
        <w:t>:</w:t>
      </w:r>
    </w:p>
    <w:p w14:paraId="4B44B016" w14:textId="42BB5F80" w:rsidR="00782213" w:rsidRDefault="00C1749D" w:rsidP="00C1749D">
      <w:pPr>
        <w:pStyle w:val="SubmissionNormal"/>
        <w:numPr>
          <w:ilvl w:val="0"/>
          <w:numId w:val="0"/>
        </w:numPr>
        <w:ind w:left="993" w:right="848"/>
      </w:pPr>
      <w:r w:rsidRPr="00605C82">
        <w:rPr>
          <w:sz w:val="22"/>
        </w:rPr>
        <w:t>Unless the lack of access t</w:t>
      </w:r>
      <w:r w:rsidR="00CC62B6" w:rsidRPr="00605C82">
        <w:rPr>
          <w:sz w:val="22"/>
        </w:rPr>
        <w:t xml:space="preserve">o employment in remote areas is </w:t>
      </w:r>
      <w:r w:rsidRPr="00605C82">
        <w:rPr>
          <w:sz w:val="22"/>
        </w:rPr>
        <w:t>addressed, many Indigenous peoples living in remote communities will end up unemployed for years, with only occasional opportunities to earn</w:t>
      </w:r>
      <w:r w:rsidRPr="00605C82">
        <w:rPr>
          <w:sz w:val="22"/>
          <w:szCs w:val="22"/>
        </w:rPr>
        <w:t>.</w:t>
      </w:r>
      <w:r w:rsidR="00A96A25" w:rsidRPr="00605C82">
        <w:rPr>
          <w:rStyle w:val="EndnoteReference"/>
          <w:sz w:val="22"/>
          <w:szCs w:val="22"/>
        </w:rPr>
        <w:endnoteReference w:id="31"/>
      </w:r>
    </w:p>
    <w:p w14:paraId="4A48BA23" w14:textId="7CBB0F4A" w:rsidR="00A168B5" w:rsidRDefault="00A168B5" w:rsidP="00A168B5">
      <w:pPr>
        <w:pStyle w:val="SubmissionNormal"/>
      </w:pPr>
      <w:r>
        <w:t>E</w:t>
      </w:r>
      <w:r w:rsidRPr="003B0988">
        <w:t>ven if all jobs in remote communities were filled by job seekers</w:t>
      </w:r>
      <w:r>
        <w:t>,</w:t>
      </w:r>
      <w:r w:rsidRPr="003B0988">
        <w:t xml:space="preserve"> there would</w:t>
      </w:r>
      <w:r>
        <w:t xml:space="preserve"> still</w:t>
      </w:r>
      <w:r w:rsidRPr="003B0988">
        <w:t xml:space="preserve"> be a significant </w:t>
      </w:r>
      <w:r w:rsidRPr="000E7E66">
        <w:t>labour</w:t>
      </w:r>
      <w:r w:rsidRPr="003B0988">
        <w:t xml:space="preserve"> over supply</w:t>
      </w:r>
      <w:r>
        <w:t xml:space="preserve">. For example, in some of the </w:t>
      </w:r>
      <w:r w:rsidRPr="003B0988">
        <w:t>larger remote communities</w:t>
      </w:r>
      <w:r>
        <w:t xml:space="preserve"> </w:t>
      </w:r>
      <w:r w:rsidR="0068650A">
        <w:t xml:space="preserve">in the </w:t>
      </w:r>
      <w:r>
        <w:t xml:space="preserve">Northern Territory, </w:t>
      </w:r>
      <w:r w:rsidRPr="003B0988">
        <w:t xml:space="preserve">if every job </w:t>
      </w:r>
      <w:r>
        <w:t xml:space="preserve">in that community </w:t>
      </w:r>
      <w:r>
        <w:lastRenderedPageBreak/>
        <w:t xml:space="preserve">was taken up </w:t>
      </w:r>
      <w:r w:rsidR="001A1815">
        <w:t xml:space="preserve">by </w:t>
      </w:r>
      <w:r>
        <w:t xml:space="preserve">a CDP participant, </w:t>
      </w:r>
      <w:r w:rsidRPr="003B0988">
        <w:t>the employment rate would still only be half of the national average</w:t>
      </w:r>
      <w:r>
        <w:t>.</w:t>
      </w:r>
      <w:r>
        <w:rPr>
          <w:rStyle w:val="EndnoteReference"/>
        </w:rPr>
        <w:endnoteReference w:id="32"/>
      </w:r>
    </w:p>
    <w:p w14:paraId="161270C0" w14:textId="200AD052" w:rsidR="00A11C29" w:rsidRPr="00393791" w:rsidRDefault="00A11C29" w:rsidP="00A11C29">
      <w:pPr>
        <w:pStyle w:val="Heading1"/>
        <w:numPr>
          <w:ilvl w:val="1"/>
          <w:numId w:val="16"/>
        </w:numPr>
        <w:rPr>
          <w:i/>
        </w:rPr>
      </w:pPr>
      <w:bookmarkStart w:id="19" w:name="_Toc505951154"/>
      <w:r w:rsidRPr="00393791">
        <w:rPr>
          <w:i/>
        </w:rPr>
        <w:t>Penalties</w:t>
      </w:r>
      <w:bookmarkEnd w:id="19"/>
    </w:p>
    <w:p w14:paraId="65BD2D84" w14:textId="423D1B51" w:rsidR="00FD18DA" w:rsidRDefault="002A08F0" w:rsidP="00FE25E0">
      <w:pPr>
        <w:pStyle w:val="SubmissionNormal"/>
      </w:pPr>
      <w:r>
        <w:t>A</w:t>
      </w:r>
      <w:r w:rsidR="008655DF" w:rsidRPr="00E005D7">
        <w:t xml:space="preserve"> direct correlation</w:t>
      </w:r>
      <w:r>
        <w:t xml:space="preserve"> exists</w:t>
      </w:r>
      <w:r w:rsidR="008655DF" w:rsidRPr="00E005D7">
        <w:t xml:space="preserve"> between the number of hours that a CDP participant works and the amount of service fees that a provider receives. </w:t>
      </w:r>
      <w:r w:rsidR="00FD18DA">
        <w:t xml:space="preserve">In order to be paid for the hours a participant works, the provider must enter into the IT system the participant’s hours of attendance. </w:t>
      </w:r>
      <w:r w:rsidR="008655DF" w:rsidRPr="00E005D7">
        <w:t xml:space="preserve">If a </w:t>
      </w:r>
      <w:r w:rsidR="00747E5B" w:rsidRPr="00E005D7">
        <w:t>participant does not turn up for work</w:t>
      </w:r>
      <w:r w:rsidR="00C41358" w:rsidRPr="00E005D7">
        <w:t xml:space="preserve">, </w:t>
      </w:r>
      <w:r w:rsidR="00747E5B" w:rsidRPr="00E005D7">
        <w:t xml:space="preserve">a provider must determine whether a valid reason exists for this non-attendance and record </w:t>
      </w:r>
      <w:r w:rsidR="00A36656">
        <w:t>the</w:t>
      </w:r>
      <w:r w:rsidR="00747E5B" w:rsidRPr="00E005D7">
        <w:t xml:space="preserve"> reason in the IT system. </w:t>
      </w:r>
      <w:r w:rsidR="00FD18DA" w:rsidRPr="00FD18DA">
        <w:t xml:space="preserve">If the provider believes that there is no valid reason then they can recommend to </w:t>
      </w:r>
      <w:r w:rsidR="00AF1386">
        <w:t xml:space="preserve">the Department of Human Services (DHS) </w:t>
      </w:r>
      <w:r w:rsidR="00FD18DA" w:rsidRPr="00FD18DA">
        <w:t xml:space="preserve">that a penalty be </w:t>
      </w:r>
      <w:r w:rsidR="001E06BA">
        <w:t>issued to the participant</w:t>
      </w:r>
      <w:r w:rsidR="00AF1386" w:rsidRPr="00AF1386">
        <w:t xml:space="preserve">. If the provider does </w:t>
      </w:r>
      <w:r w:rsidR="008E2815">
        <w:t xml:space="preserve">not recommend compliance action, </w:t>
      </w:r>
      <w:r w:rsidR="00AF1386" w:rsidRPr="00AF1386">
        <w:t>they will not be paid the service fees for that day of non-attendance.</w:t>
      </w:r>
      <w:r w:rsidR="00044DA1">
        <w:t xml:space="preserve"> If compliance action is recommended and the provider is able to re-engage the CDP participant within 14 days, the provider will be paid for the day of non-attendance.</w:t>
      </w:r>
      <w:r w:rsidR="00AF1386" w:rsidRPr="00AF1386">
        <w:t xml:space="preserve"> </w:t>
      </w:r>
      <w:r w:rsidR="00AF1386">
        <w:t>There is therefore a financial incentive for providers to recommend compliance action.</w:t>
      </w:r>
    </w:p>
    <w:p w14:paraId="36B982A7" w14:textId="51EDEDC9" w:rsidR="00D545A1" w:rsidRDefault="006D5B59" w:rsidP="00044DA1">
      <w:pPr>
        <w:pStyle w:val="SubmissionNormal"/>
      </w:pPr>
      <w:r>
        <w:t>The</w:t>
      </w:r>
      <w:r w:rsidR="00EB3A3A">
        <w:t xml:space="preserve"> </w:t>
      </w:r>
      <w:r w:rsidR="002A08F0">
        <w:t xml:space="preserve">increased working hours for </w:t>
      </w:r>
      <w:r>
        <w:t xml:space="preserve">CDP </w:t>
      </w:r>
      <w:r w:rsidR="00472BB8">
        <w:t>participants</w:t>
      </w:r>
      <w:r w:rsidR="008E2815">
        <w:t>,</w:t>
      </w:r>
      <w:r w:rsidR="00472BB8">
        <w:t xml:space="preserve"> coupled with an </w:t>
      </w:r>
      <w:r w:rsidR="002A08F0">
        <w:t xml:space="preserve">incentive for providers to </w:t>
      </w:r>
      <w:r w:rsidR="00472BB8">
        <w:t>recommend</w:t>
      </w:r>
      <w:r w:rsidR="002A08F0">
        <w:t xml:space="preserve"> compliance action</w:t>
      </w:r>
      <w:r w:rsidR="00B373C5">
        <w:t xml:space="preserve"> to the DHS</w:t>
      </w:r>
      <w:r w:rsidR="008E2815">
        <w:t>,</w:t>
      </w:r>
      <w:r w:rsidR="002A08F0">
        <w:t xml:space="preserve"> </w:t>
      </w:r>
      <w:r>
        <w:t>has led to</w:t>
      </w:r>
      <w:r w:rsidR="00ED4A79">
        <w:t xml:space="preserve"> a higher number of penalties </w:t>
      </w:r>
      <w:r>
        <w:t>being issue</w:t>
      </w:r>
      <w:r w:rsidR="00E17A12">
        <w:t>d</w:t>
      </w:r>
      <w:r>
        <w:t xml:space="preserve"> to</w:t>
      </w:r>
      <w:r w:rsidR="00ED4A79">
        <w:t xml:space="preserve"> CDP participants for non-compliance.</w:t>
      </w:r>
      <w:r w:rsidR="005661B5">
        <w:rPr>
          <w:rStyle w:val="EndnoteReference"/>
        </w:rPr>
        <w:endnoteReference w:id="33"/>
      </w:r>
      <w:r w:rsidR="00BA4A3A">
        <w:t xml:space="preserve"> </w:t>
      </w:r>
      <w:r w:rsidR="00D545A1">
        <w:t>Although the CDP applies to all unemployed people in remote location</w:t>
      </w:r>
      <w:r w:rsidR="001C6CDD">
        <w:t>s</w:t>
      </w:r>
      <w:r w:rsidR="00D545A1">
        <w:t>,</w:t>
      </w:r>
      <w:r w:rsidR="00D545A1" w:rsidRPr="005F727B">
        <w:t xml:space="preserve"> </w:t>
      </w:r>
      <w:r w:rsidR="008E2815">
        <w:t>in 2016-</w:t>
      </w:r>
      <w:r w:rsidR="00707F75">
        <w:t xml:space="preserve">17 90 per cent </w:t>
      </w:r>
      <w:r w:rsidR="00D545A1">
        <w:t>of those</w:t>
      </w:r>
      <w:r w:rsidR="001C6CDD">
        <w:t xml:space="preserve"> CDP</w:t>
      </w:r>
      <w:r w:rsidR="00D545A1">
        <w:t xml:space="preserve"> </w:t>
      </w:r>
      <w:r w:rsidR="00950E53">
        <w:t>participants</w:t>
      </w:r>
      <w:r w:rsidR="00467750">
        <w:t xml:space="preserve"> </w:t>
      </w:r>
      <w:r w:rsidR="001C6CDD">
        <w:t xml:space="preserve">who were </w:t>
      </w:r>
      <w:r w:rsidR="00D545A1">
        <w:t xml:space="preserve">penalised </w:t>
      </w:r>
      <w:r w:rsidR="00D53F17">
        <w:t xml:space="preserve">for non-attendance </w:t>
      </w:r>
      <w:r w:rsidR="00D545A1">
        <w:t>were Aboriginal and Torres Strait Islander people</w:t>
      </w:r>
      <w:r w:rsidR="007A0699">
        <w:t>s</w:t>
      </w:r>
      <w:r w:rsidR="00D545A1">
        <w:t>.</w:t>
      </w:r>
      <w:r w:rsidR="00BC3011">
        <w:rPr>
          <w:rStyle w:val="EndnoteReference"/>
        </w:rPr>
        <w:endnoteReference w:id="34"/>
      </w:r>
    </w:p>
    <w:p w14:paraId="32B828D5" w14:textId="2EA4A9EA" w:rsidR="000F1034" w:rsidRDefault="00A62970" w:rsidP="005F406F">
      <w:pPr>
        <w:pStyle w:val="SubmissionNormal"/>
      </w:pPr>
      <w:r>
        <w:t>In the 18 months bef</w:t>
      </w:r>
      <w:r w:rsidR="009E70CD">
        <w:t>ore CDP was introduced, 26,690 ‘</w:t>
      </w:r>
      <w:r>
        <w:t>No Sh</w:t>
      </w:r>
      <w:r w:rsidR="009E70CD">
        <w:t>ow No Pay’</w:t>
      </w:r>
      <w:r w:rsidR="00B40D18">
        <w:t xml:space="preserve"> penalties were issued</w:t>
      </w:r>
      <w:r>
        <w:t>.</w:t>
      </w:r>
      <w:r w:rsidR="00297599">
        <w:rPr>
          <w:rStyle w:val="EndnoteReference"/>
        </w:rPr>
        <w:endnoteReference w:id="35"/>
      </w:r>
      <w:r>
        <w:t xml:space="preserve"> </w:t>
      </w:r>
      <w:r w:rsidR="009D5DDC">
        <w:t>By contrast</w:t>
      </w:r>
      <w:r w:rsidR="00AB4DFF">
        <w:t>, in</w:t>
      </w:r>
      <w:r w:rsidR="00BA4A3A">
        <w:t xml:space="preserve"> the </w:t>
      </w:r>
      <w:r w:rsidR="00BA0412">
        <w:t>18</w:t>
      </w:r>
      <w:r w:rsidR="00BA4A3A">
        <w:t xml:space="preserve"> months </w:t>
      </w:r>
      <w:r w:rsidR="00BA0412">
        <w:t>following its introduction</w:t>
      </w:r>
      <w:r w:rsidR="00BA4A3A">
        <w:t xml:space="preserve">, CDP participants received </w:t>
      </w:r>
      <w:r w:rsidR="006D5B59">
        <w:t>2</w:t>
      </w:r>
      <w:r w:rsidR="00BA0412">
        <w:t>05</w:t>
      </w:r>
      <w:r w:rsidR="00B40D18">
        <w:t>,</w:t>
      </w:r>
      <w:r w:rsidR="00BA0412">
        <w:t>994</w:t>
      </w:r>
      <w:r w:rsidR="006D5B59">
        <w:t xml:space="preserve"> financial penalties.</w:t>
      </w:r>
      <w:r w:rsidR="00B664B6">
        <w:rPr>
          <w:rStyle w:val="EndnoteReference"/>
        </w:rPr>
        <w:endnoteReference w:id="36"/>
      </w:r>
      <w:r w:rsidR="000F2BEE">
        <w:t xml:space="preserve"> O</w:t>
      </w:r>
      <w:r w:rsidR="007A1536">
        <w:t xml:space="preserve">ver the same period, </w:t>
      </w:r>
      <w:proofErr w:type="spellStart"/>
      <w:r w:rsidR="007A1536">
        <w:t>JobA</w:t>
      </w:r>
      <w:r w:rsidR="00BA4A3A">
        <w:t>ctive</w:t>
      </w:r>
      <w:proofErr w:type="spellEnd"/>
      <w:r w:rsidR="00BA4A3A">
        <w:t xml:space="preserve"> participants received 237,3</w:t>
      </w:r>
      <w:r w:rsidR="007A18FF">
        <w:t>3</w:t>
      </w:r>
      <w:r w:rsidR="00BA4A3A">
        <w:t xml:space="preserve">3 penalties, </w:t>
      </w:r>
      <w:r w:rsidR="00AD42A5">
        <w:t>even though the</w:t>
      </w:r>
      <w:r w:rsidR="000D05FF">
        <w:t xml:space="preserve"> </w:t>
      </w:r>
      <w:proofErr w:type="spellStart"/>
      <w:r w:rsidR="007A1536">
        <w:t>JobA</w:t>
      </w:r>
      <w:r w:rsidR="00F14746">
        <w:t>ctive</w:t>
      </w:r>
      <w:proofErr w:type="spellEnd"/>
      <w:r w:rsidR="000D05FF">
        <w:t xml:space="preserve"> caseload</w:t>
      </w:r>
      <w:r w:rsidR="00AD42A5">
        <w:t xml:space="preserve"> is more than 20 times larger than the CDP</w:t>
      </w:r>
      <w:r w:rsidR="00F713C4">
        <w:t xml:space="preserve"> caseload</w:t>
      </w:r>
      <w:r w:rsidR="00F14746">
        <w:t>.</w:t>
      </w:r>
      <w:r w:rsidR="00297599">
        <w:rPr>
          <w:rStyle w:val="EndnoteReference"/>
        </w:rPr>
        <w:endnoteReference w:id="37"/>
      </w:r>
      <w:r w:rsidR="000F1034">
        <w:t xml:space="preserve"> Indeed, in the first year of </w:t>
      </w:r>
      <w:r w:rsidR="008E2815">
        <w:t xml:space="preserve">the </w:t>
      </w:r>
      <w:r w:rsidR="000F1034">
        <w:t>CDP, over 20,000 people</w:t>
      </w:r>
      <w:r w:rsidR="007D17AD">
        <w:t xml:space="preserve"> were penalised </w:t>
      </w:r>
      <w:r w:rsidR="00C95CB1">
        <w:t>–</w:t>
      </w:r>
      <w:r w:rsidR="007D17AD">
        <w:t xml:space="preserve"> most more than once.</w:t>
      </w:r>
      <w:r w:rsidR="007D17AD">
        <w:rPr>
          <w:rStyle w:val="EndnoteReference"/>
        </w:rPr>
        <w:endnoteReference w:id="38"/>
      </w:r>
      <w:r w:rsidR="007D17AD">
        <w:t xml:space="preserve"> This is a </w:t>
      </w:r>
      <w:r w:rsidR="00B53CBA">
        <w:t>significant statistic</w:t>
      </w:r>
      <w:r w:rsidR="007D17AD">
        <w:t xml:space="preserve"> when</w:t>
      </w:r>
      <w:r w:rsidR="00733F5E">
        <w:t xml:space="preserve"> one</w:t>
      </w:r>
      <w:r w:rsidR="007D17AD">
        <w:t xml:space="preserve"> considers that there are around 35,000 participants in the entire scheme. </w:t>
      </w:r>
    </w:p>
    <w:p w14:paraId="3CC2ECF7" w14:textId="350EAFDB" w:rsidR="00CB6157" w:rsidRDefault="00512DE1" w:rsidP="00393791">
      <w:pPr>
        <w:pStyle w:val="SubmissionNormal"/>
      </w:pPr>
      <w:r>
        <w:t>CDP p</w:t>
      </w:r>
      <w:r w:rsidR="002671F2">
        <w:t>articipants</w:t>
      </w:r>
      <w:r w:rsidR="00D80FC9">
        <w:t xml:space="preserve"> report that they</w:t>
      </w:r>
      <w:r w:rsidR="002671F2">
        <w:t xml:space="preserve"> often feel like they are penalised for </w:t>
      </w:r>
      <w:r w:rsidR="00E65CDA">
        <w:t>factors</w:t>
      </w:r>
      <w:r w:rsidR="002671F2">
        <w:t xml:space="preserve"> outside of their control, </w:t>
      </w:r>
      <w:r w:rsidR="00D5136B">
        <w:t xml:space="preserve">including family violence, carer responsibilities </w:t>
      </w:r>
      <w:r w:rsidR="00FC73E7">
        <w:t>and</w:t>
      </w:r>
      <w:r w:rsidR="00D5136B">
        <w:t xml:space="preserve"> cultural business, </w:t>
      </w:r>
      <w:r w:rsidR="003A0224">
        <w:t xml:space="preserve">and that not enough </w:t>
      </w:r>
      <w:r w:rsidR="00D03FFE">
        <w:t>weight</w:t>
      </w:r>
      <w:r w:rsidR="003A0224">
        <w:t xml:space="preserve"> is placed on these f</w:t>
      </w:r>
      <w:r w:rsidR="00D5136B">
        <w:t xml:space="preserve">actors to </w:t>
      </w:r>
      <w:r w:rsidR="007328EB">
        <w:t>satisfy</w:t>
      </w:r>
      <w:r w:rsidR="00D5136B">
        <w:t xml:space="preserve"> non-attendance</w:t>
      </w:r>
      <w:r w:rsidR="007328EB">
        <w:t xml:space="preserve"> exemptions</w:t>
      </w:r>
      <w:r w:rsidR="003A0224">
        <w:t>.</w:t>
      </w:r>
      <w:r w:rsidR="000422A6">
        <w:rPr>
          <w:rStyle w:val="EndnoteReference"/>
        </w:rPr>
        <w:endnoteReference w:id="39"/>
      </w:r>
      <w:r w:rsidR="003A0224">
        <w:t xml:space="preserve"> For example, </w:t>
      </w:r>
      <w:r w:rsidR="008E2815">
        <w:t>in the 2016-</w:t>
      </w:r>
      <w:r w:rsidR="00CA6E0F">
        <w:t xml:space="preserve">2017 financial year, </w:t>
      </w:r>
      <w:r w:rsidR="00CE001A">
        <w:t xml:space="preserve">only </w:t>
      </w:r>
      <w:r w:rsidR="00CA6E0F">
        <w:t>120 CDP participants were granted exemptions due to family violence.</w:t>
      </w:r>
      <w:r w:rsidR="00F75BC2">
        <w:rPr>
          <w:rStyle w:val="EndnoteReference"/>
        </w:rPr>
        <w:endnoteReference w:id="40"/>
      </w:r>
    </w:p>
    <w:p w14:paraId="2C339598" w14:textId="333CC0F3" w:rsidR="00CA38B0" w:rsidRDefault="00CA6E0F" w:rsidP="00393791">
      <w:pPr>
        <w:pStyle w:val="SubmissionNormal"/>
      </w:pPr>
      <w:r>
        <w:t>I</w:t>
      </w:r>
      <w:r w:rsidR="00CE5DD7">
        <w:t>t has been argued that women sho</w:t>
      </w:r>
      <w:r>
        <w:t>uld be granted more exemptions</w:t>
      </w:r>
      <w:r w:rsidR="00D93A51">
        <w:t xml:space="preserve"> from non-attendance</w:t>
      </w:r>
      <w:r>
        <w:t xml:space="preserve"> </w:t>
      </w:r>
      <w:r w:rsidR="002F6BF1">
        <w:t>due to</w:t>
      </w:r>
      <w:r w:rsidR="00CE5DD7">
        <w:t xml:space="preserve"> family violence</w:t>
      </w:r>
      <w:r>
        <w:t>, particularly considering that</w:t>
      </w:r>
      <w:r w:rsidR="009D05EE">
        <w:t xml:space="preserve"> I</w:t>
      </w:r>
      <w:r w:rsidR="004A2CA5">
        <w:t>ndigenous women are 35 times more likely to experience family violence than the general population.</w:t>
      </w:r>
      <w:r w:rsidR="00356B4C">
        <w:rPr>
          <w:rStyle w:val="EndnoteReference"/>
        </w:rPr>
        <w:endnoteReference w:id="41"/>
      </w:r>
      <w:r w:rsidR="004A2CA5">
        <w:t xml:space="preserve">   </w:t>
      </w:r>
    </w:p>
    <w:p w14:paraId="7A7D5087" w14:textId="519401DE" w:rsidR="00071205" w:rsidRPr="00393791" w:rsidRDefault="00071205" w:rsidP="00071205">
      <w:pPr>
        <w:pStyle w:val="Heading1"/>
        <w:numPr>
          <w:ilvl w:val="1"/>
          <w:numId w:val="16"/>
        </w:numPr>
        <w:rPr>
          <w:i/>
        </w:rPr>
      </w:pPr>
      <w:bookmarkStart w:id="20" w:name="_Toc505951155"/>
      <w:r w:rsidRPr="00393791">
        <w:rPr>
          <w:i/>
        </w:rPr>
        <w:lastRenderedPageBreak/>
        <w:t>Administrative burden</w:t>
      </w:r>
      <w:bookmarkEnd w:id="20"/>
    </w:p>
    <w:p w14:paraId="192E31D2" w14:textId="0858B532" w:rsidR="001F45D1" w:rsidRDefault="008B0629" w:rsidP="00430743">
      <w:pPr>
        <w:pStyle w:val="SubmissionNormal"/>
      </w:pPr>
      <w:r>
        <w:t>The emphasis on</w:t>
      </w:r>
      <w:r w:rsidR="00430743">
        <w:t xml:space="preserve"> reporting </w:t>
      </w:r>
      <w:r>
        <w:t>and compliance</w:t>
      </w:r>
      <w:r w:rsidR="00430743">
        <w:t xml:space="preserve"> </w:t>
      </w:r>
      <w:r w:rsidR="005C60B3">
        <w:t>has</w:t>
      </w:r>
      <w:r w:rsidR="00430743">
        <w:t xml:space="preserve"> led to a substantial increase in </w:t>
      </w:r>
      <w:r w:rsidR="005E58FF">
        <w:t>the level of resourcing that i</w:t>
      </w:r>
      <w:r>
        <w:t>s invested in to administration of the CDP.</w:t>
      </w:r>
      <w:r w:rsidR="005E58FF">
        <w:t xml:space="preserve"> Re</w:t>
      </w:r>
      <w:r w:rsidR="00707F75">
        <w:t xml:space="preserve">search indicates that up to 84 per cent </w:t>
      </w:r>
      <w:r w:rsidR="005E58FF">
        <w:t xml:space="preserve">of providers </w:t>
      </w:r>
      <w:r w:rsidR="005C60B3">
        <w:t>survey</w:t>
      </w:r>
      <w:r w:rsidR="00E879F3">
        <w:t>ed</w:t>
      </w:r>
      <w:r w:rsidR="005C60B3">
        <w:t xml:space="preserve"> </w:t>
      </w:r>
      <w:r w:rsidR="008E2815">
        <w:t>report that IT processes guide</w:t>
      </w:r>
      <w:r w:rsidR="005E58FF">
        <w:t xml:space="preserve"> a lot of the day-to-day work, while 70</w:t>
      </w:r>
      <w:r w:rsidR="00707F75">
        <w:t xml:space="preserve"> per cent</w:t>
      </w:r>
      <w:r w:rsidR="005E58FF">
        <w:t xml:space="preserve"> believe that a lot of their work with clients is about compliance, not what</w:t>
      </w:r>
      <w:r w:rsidR="004565E0">
        <w:t xml:space="preserve"> the CDP participant </w:t>
      </w:r>
      <w:r w:rsidR="005E58FF">
        <w:t>want</w:t>
      </w:r>
      <w:r w:rsidR="004565E0">
        <w:t>s or needs to improve their employment circumstances</w:t>
      </w:r>
      <w:r w:rsidR="00C632A2">
        <w:t>.</w:t>
      </w:r>
      <w:r w:rsidR="00C632A2">
        <w:rPr>
          <w:rStyle w:val="EndnoteReference"/>
        </w:rPr>
        <w:endnoteReference w:id="42"/>
      </w:r>
      <w:r w:rsidR="00C632A2">
        <w:t xml:space="preserve"> T</w:t>
      </w:r>
      <w:r w:rsidR="009A2544">
        <w:t xml:space="preserve">his has raised concerns that the administrative burden of the CDP is reducing the amount of time that providers </w:t>
      </w:r>
      <w:r w:rsidR="007D48B6">
        <w:t>can allocate</w:t>
      </w:r>
      <w:r w:rsidR="009A2544">
        <w:t xml:space="preserve"> to supporting CDP p</w:t>
      </w:r>
      <w:r w:rsidR="007D48B6">
        <w:t>articipants to become job-ready.</w:t>
      </w:r>
      <w:r w:rsidR="00BB6AC2">
        <w:rPr>
          <w:rStyle w:val="EndnoteReference"/>
        </w:rPr>
        <w:endnoteReference w:id="43"/>
      </w:r>
    </w:p>
    <w:p w14:paraId="45D9C569" w14:textId="47524E23" w:rsidR="00575A6F" w:rsidRPr="00393791" w:rsidRDefault="00575A6F" w:rsidP="00575A6F">
      <w:pPr>
        <w:pStyle w:val="Heading1"/>
        <w:numPr>
          <w:ilvl w:val="1"/>
          <w:numId w:val="16"/>
        </w:numPr>
        <w:rPr>
          <w:i/>
        </w:rPr>
      </w:pPr>
      <w:bookmarkStart w:id="21" w:name="_Toc505951156"/>
      <w:r w:rsidRPr="00393791">
        <w:rPr>
          <w:i/>
        </w:rPr>
        <w:t>Access to Centrelink</w:t>
      </w:r>
      <w:bookmarkEnd w:id="21"/>
      <w:r w:rsidRPr="00393791">
        <w:rPr>
          <w:i/>
        </w:rPr>
        <w:t xml:space="preserve"> </w:t>
      </w:r>
    </w:p>
    <w:p w14:paraId="267839A2" w14:textId="78B38AA0" w:rsidR="00281D66" w:rsidRDefault="004A7456" w:rsidP="00670EEE">
      <w:pPr>
        <w:pStyle w:val="SubmissionNormal"/>
      </w:pPr>
      <w:r>
        <w:t>The</w:t>
      </w:r>
      <w:r w:rsidR="00DC10DA">
        <w:t xml:space="preserve"> increase in compliance obligations and penalties</w:t>
      </w:r>
      <w:r w:rsidR="00985E0B">
        <w:t>, coupled with a decrease in provider discretion,</w:t>
      </w:r>
      <w:r w:rsidR="00DC10DA">
        <w:t xml:space="preserve"> has led to </w:t>
      </w:r>
      <w:r w:rsidR="00B07AF1">
        <w:t>an increase in the number of</w:t>
      </w:r>
      <w:r w:rsidR="00985E0B">
        <w:t xml:space="preserve"> </w:t>
      </w:r>
      <w:r w:rsidR="006C2016">
        <w:t xml:space="preserve">CDP </w:t>
      </w:r>
      <w:r w:rsidR="00985E0B">
        <w:t xml:space="preserve">participants </w:t>
      </w:r>
      <w:r w:rsidR="00F0246E">
        <w:t>contact</w:t>
      </w:r>
      <w:r w:rsidR="006C2016">
        <w:t xml:space="preserve">ing </w:t>
      </w:r>
      <w:r w:rsidR="00F0246E">
        <w:t>DHS for assistance.</w:t>
      </w:r>
    </w:p>
    <w:p w14:paraId="456D8A3C" w14:textId="3404D40C" w:rsidR="00281D66" w:rsidRDefault="00F0246E" w:rsidP="00670EEE">
      <w:pPr>
        <w:pStyle w:val="SubmissionNormal"/>
      </w:pPr>
      <w:r>
        <w:t xml:space="preserve">Prior to the introduction of the CDP, many Aboriginal and Torres Strait Islander peoples </w:t>
      </w:r>
      <w:r w:rsidR="003E2529">
        <w:t xml:space="preserve">already </w:t>
      </w:r>
      <w:r>
        <w:t xml:space="preserve">had difficulties engaging with DHS due to Centrelink </w:t>
      </w:r>
      <w:r w:rsidR="008E2815">
        <w:t xml:space="preserve">offices </w:t>
      </w:r>
      <w:r>
        <w:t xml:space="preserve">not being </w:t>
      </w:r>
      <w:r w:rsidR="008E2815">
        <w:t xml:space="preserve">physically </w:t>
      </w:r>
      <w:r>
        <w:t xml:space="preserve">present in </w:t>
      </w:r>
      <w:r w:rsidR="005A2696">
        <w:t>remote</w:t>
      </w:r>
      <w:r>
        <w:t xml:space="preserve"> communities, </w:t>
      </w:r>
      <w:r w:rsidR="004D3EDE">
        <w:t>long telephone wait times</w:t>
      </w:r>
      <w:r w:rsidR="00E73839">
        <w:t xml:space="preserve">, </w:t>
      </w:r>
      <w:r w:rsidR="00A205D6">
        <w:t xml:space="preserve">the </w:t>
      </w:r>
      <w:r w:rsidR="00E73839">
        <w:t xml:space="preserve">failure </w:t>
      </w:r>
      <w:r w:rsidR="00A205D6">
        <w:t xml:space="preserve">of </w:t>
      </w:r>
      <w:r w:rsidR="00E73839">
        <w:t>Centrelink to return calls,</w:t>
      </w:r>
      <w:r w:rsidR="004D3EDE">
        <w:t xml:space="preserve"> and poor internet connectivity</w:t>
      </w:r>
      <w:r w:rsidR="00E73839">
        <w:t>. A</w:t>
      </w:r>
      <w:r>
        <w:t>ccessibility issues such as disability, and a lack of English language</w:t>
      </w:r>
      <w:r w:rsidR="00E73839">
        <w:t xml:space="preserve">, literacy and numeracy skills further frustrated this process. </w:t>
      </w:r>
    </w:p>
    <w:p w14:paraId="2DB18CCB" w14:textId="32320EC6" w:rsidR="00985E0B" w:rsidRDefault="00C34E3B" w:rsidP="00670EEE">
      <w:pPr>
        <w:pStyle w:val="SubmissionNormal"/>
      </w:pPr>
      <w:r>
        <w:t xml:space="preserve">Since the introduction of the CDP, these issues have </w:t>
      </w:r>
      <w:r w:rsidR="00FB3FEB">
        <w:t>been exacerbated</w:t>
      </w:r>
      <w:r w:rsidR="00E97D74">
        <w:t xml:space="preserve"> due to the </w:t>
      </w:r>
      <w:r w:rsidR="006C2016">
        <w:t xml:space="preserve">increase in demand </w:t>
      </w:r>
      <w:r>
        <w:t xml:space="preserve">from CDP participants on </w:t>
      </w:r>
      <w:r w:rsidR="002137E7">
        <w:t>DHS support services</w:t>
      </w:r>
      <w:r w:rsidR="00C632A2">
        <w:t>, without a commensurate increase in resourcing to improve DHS accessibility</w:t>
      </w:r>
      <w:r w:rsidR="002137E7">
        <w:t>.</w:t>
      </w:r>
      <w:r w:rsidR="002137E7">
        <w:rPr>
          <w:rStyle w:val="EndnoteReference"/>
        </w:rPr>
        <w:endnoteReference w:id="44"/>
      </w:r>
      <w:r w:rsidR="000C539F">
        <w:t xml:space="preserve"> </w:t>
      </w:r>
    </w:p>
    <w:p w14:paraId="5122CEFC" w14:textId="58792AE6" w:rsidR="00826489" w:rsidRPr="00393791" w:rsidRDefault="00826489" w:rsidP="00C846A8">
      <w:pPr>
        <w:pStyle w:val="Heading1"/>
        <w:numPr>
          <w:ilvl w:val="1"/>
          <w:numId w:val="16"/>
        </w:numPr>
        <w:rPr>
          <w:i/>
        </w:rPr>
      </w:pPr>
      <w:bookmarkStart w:id="22" w:name="_Toc505951157"/>
      <w:r w:rsidRPr="00393791">
        <w:rPr>
          <w:i/>
        </w:rPr>
        <w:t>Education and Training</w:t>
      </w:r>
      <w:bookmarkEnd w:id="22"/>
      <w:r w:rsidRPr="00393791">
        <w:rPr>
          <w:i/>
        </w:rPr>
        <w:t xml:space="preserve"> </w:t>
      </w:r>
    </w:p>
    <w:p w14:paraId="293AAE4A" w14:textId="7DC3B37E" w:rsidR="004E4C3A" w:rsidRDefault="00BD5B8D" w:rsidP="007159C9">
      <w:pPr>
        <w:pStyle w:val="SubmissionNormal"/>
      </w:pPr>
      <w:r w:rsidRPr="00BD5B8D">
        <w:t xml:space="preserve">Under the RJCP, </w:t>
      </w:r>
      <w:r>
        <w:t xml:space="preserve">training could be used to fulfil activity obligations. However, this was abolished under </w:t>
      </w:r>
      <w:r w:rsidR="002830B3">
        <w:t xml:space="preserve">the </w:t>
      </w:r>
      <w:r>
        <w:t>CDP.</w:t>
      </w:r>
      <w:r w:rsidR="00D047A7">
        <w:t xml:space="preserve"> </w:t>
      </w:r>
      <w:r w:rsidR="00DF4F7F">
        <w:t>The incentive for providers to provide education or training to participants therefore no longer exists as p</w:t>
      </w:r>
      <w:r w:rsidR="00D047A7" w:rsidRPr="00D047A7">
        <w:t xml:space="preserve">ayments </w:t>
      </w:r>
      <w:r w:rsidR="00D047A7">
        <w:t>are no longer made to providers</w:t>
      </w:r>
      <w:r w:rsidR="00A80BFD">
        <w:t xml:space="preserve"> for</w:t>
      </w:r>
      <w:r w:rsidR="00D047A7">
        <w:t xml:space="preserve"> </w:t>
      </w:r>
      <w:r w:rsidR="00D047A7" w:rsidRPr="00D047A7">
        <w:t xml:space="preserve">training outcomes that </w:t>
      </w:r>
      <w:r w:rsidR="00A80BFD">
        <w:t>do not</w:t>
      </w:r>
      <w:r w:rsidR="00D047A7" w:rsidRPr="00D047A7">
        <w:t xml:space="preserve"> relate to an apprenticeship or traineeship</w:t>
      </w:r>
      <w:r w:rsidR="00DF4F7F">
        <w:t>.</w:t>
      </w:r>
      <w:r w:rsidR="00DF4F7F">
        <w:rPr>
          <w:rStyle w:val="EndnoteReference"/>
        </w:rPr>
        <w:endnoteReference w:id="45"/>
      </w:r>
      <w:r w:rsidR="00DF4F7F">
        <w:t xml:space="preserve"> </w:t>
      </w:r>
    </w:p>
    <w:p w14:paraId="088106C8" w14:textId="5662D21D" w:rsidR="00DF4F7F" w:rsidRDefault="00525C7E" w:rsidP="007159C9">
      <w:pPr>
        <w:pStyle w:val="SubmissionNormal"/>
      </w:pPr>
      <w:r>
        <w:t>Under the CDP, t</w:t>
      </w:r>
      <w:r w:rsidR="00BD5B8D">
        <w:t xml:space="preserve">raining must now be connected to a job or a Work for the Dole activity unless it involves literacy, numeracy or driver training. </w:t>
      </w:r>
      <w:r w:rsidR="00DE56C2">
        <w:t xml:space="preserve">Research by the Australian Institute of Health and Welfare, supported by ABS analysis, found that the difference in </w:t>
      </w:r>
      <w:r w:rsidR="00DE56C2" w:rsidRPr="00513FDA">
        <w:t>educational attainment between Aboriginal and Torres Strait Islander and non-Indigenous people was a critical factor in the difference in employment rates</w:t>
      </w:r>
      <w:r w:rsidR="00A13187">
        <w:t>.</w:t>
      </w:r>
      <w:r w:rsidR="00A13187">
        <w:rPr>
          <w:rStyle w:val="EndnoteReference"/>
        </w:rPr>
        <w:endnoteReference w:id="46"/>
      </w:r>
    </w:p>
    <w:p w14:paraId="07BB38C9" w14:textId="19930B07" w:rsidR="00C846A8" w:rsidRPr="008567E6" w:rsidRDefault="00C846A8" w:rsidP="00C846A8">
      <w:pPr>
        <w:pStyle w:val="Heading1"/>
        <w:numPr>
          <w:ilvl w:val="1"/>
          <w:numId w:val="16"/>
        </w:numPr>
        <w:rPr>
          <w:i/>
        </w:rPr>
      </w:pPr>
      <w:bookmarkStart w:id="23" w:name="_Toc505951158"/>
      <w:r w:rsidRPr="008567E6">
        <w:rPr>
          <w:i/>
        </w:rPr>
        <w:t>Disproportionate impact on persons with disabilities</w:t>
      </w:r>
      <w:bookmarkEnd w:id="23"/>
      <w:r w:rsidRPr="008567E6">
        <w:rPr>
          <w:i/>
        </w:rPr>
        <w:t xml:space="preserve"> </w:t>
      </w:r>
    </w:p>
    <w:p w14:paraId="158E032E" w14:textId="158E07F0" w:rsidR="003A1656" w:rsidRDefault="00D4325E" w:rsidP="004E3EAA">
      <w:pPr>
        <w:pStyle w:val="SubmissionNormal"/>
      </w:pPr>
      <w:r>
        <w:t xml:space="preserve">The lack of DHS services in remote locations and </w:t>
      </w:r>
      <w:r w:rsidR="008E31DD">
        <w:t>programme</w:t>
      </w:r>
      <w:r>
        <w:t xml:space="preserve"> </w:t>
      </w:r>
      <w:r w:rsidR="00FF44CB">
        <w:t xml:space="preserve">inflexibility has meant that </w:t>
      </w:r>
      <w:r w:rsidR="00784DF4">
        <w:t>health</w:t>
      </w:r>
      <w:r w:rsidR="00FF44CB">
        <w:t xml:space="preserve"> screenings of CDP participants </w:t>
      </w:r>
      <w:r w:rsidR="001D0330">
        <w:t>are</w:t>
      </w:r>
      <w:r w:rsidR="003A1656">
        <w:t xml:space="preserve"> normally</w:t>
      </w:r>
      <w:r w:rsidR="001D0330">
        <w:t xml:space="preserve"> </w:t>
      </w:r>
      <w:r w:rsidR="00FF44CB">
        <w:t xml:space="preserve">conducted </w:t>
      </w:r>
      <w:r w:rsidR="003A1656">
        <w:t xml:space="preserve">without access to interpreters and </w:t>
      </w:r>
      <w:r w:rsidR="00FF44CB">
        <w:t>by telephone</w:t>
      </w:r>
      <w:r w:rsidR="001A32F9">
        <w:t>,</w:t>
      </w:r>
      <w:r w:rsidR="00D0566A">
        <w:t xml:space="preserve"> instead of through </w:t>
      </w:r>
      <w:r w:rsidR="001A32F9">
        <w:t>face-to-</w:t>
      </w:r>
      <w:r w:rsidR="001A32F9">
        <w:lastRenderedPageBreak/>
        <w:t>face</w:t>
      </w:r>
      <w:r w:rsidR="00D0566A">
        <w:t xml:space="preserve"> assessments</w:t>
      </w:r>
      <w:r w:rsidR="00994E30">
        <w:t xml:space="preserve">. </w:t>
      </w:r>
      <w:r w:rsidR="00A91860">
        <w:t>Furthermore, p</w:t>
      </w:r>
      <w:r w:rsidR="00D0566A">
        <w:t>ersons with disabilities in remote locations do not have access to</w:t>
      </w:r>
      <w:r w:rsidR="00AC7E07">
        <w:t xml:space="preserve"> Disability Employment </w:t>
      </w:r>
      <w:r w:rsidR="00BD52A9">
        <w:t>Services, which is available in non-remote locations</w:t>
      </w:r>
      <w:r w:rsidR="00450F2F">
        <w:t xml:space="preserve"> and does not include mandatory annual activities</w:t>
      </w:r>
      <w:r w:rsidR="00AC7E07">
        <w:t xml:space="preserve">. </w:t>
      </w:r>
    </w:p>
    <w:p w14:paraId="0A962744" w14:textId="774EF8C4" w:rsidR="00C846A8" w:rsidRDefault="008F1EB0" w:rsidP="00A6660A">
      <w:pPr>
        <w:pStyle w:val="SubmissionNormal"/>
      </w:pPr>
      <w:r>
        <w:t xml:space="preserve">As a result, </w:t>
      </w:r>
      <w:r w:rsidR="00B50965">
        <w:t>Aboriginal and Torres Strait Islander peoples</w:t>
      </w:r>
      <w:r>
        <w:t xml:space="preserve"> are</w:t>
      </w:r>
      <w:r w:rsidR="00D34C2D">
        <w:t xml:space="preserve"> incorrectly placed </w:t>
      </w:r>
      <w:r w:rsidR="00B364F4">
        <w:t>on</w:t>
      </w:r>
      <w:r w:rsidR="00D34C2D">
        <w:t xml:space="preserve"> the CDP when they should be receiving disability support pensions.</w:t>
      </w:r>
      <w:r w:rsidR="003B6D9B">
        <w:rPr>
          <w:rStyle w:val="EndnoteReference"/>
        </w:rPr>
        <w:endnoteReference w:id="47"/>
      </w:r>
      <w:r w:rsidR="00D34C2D">
        <w:t xml:space="preserve"> </w:t>
      </w:r>
      <w:r w:rsidR="00463E45">
        <w:t>Due to their disability, m</w:t>
      </w:r>
      <w:r w:rsidR="001D0330">
        <w:t>any of these people are unable to satisfy the</w:t>
      </w:r>
      <w:r w:rsidR="00560EDA">
        <w:t xml:space="preserve"> required</w:t>
      </w:r>
      <w:r w:rsidR="001D0330">
        <w:t xml:space="preserve"> 25 hours of work per week, which </w:t>
      </w:r>
      <w:r w:rsidR="00463E45">
        <w:t xml:space="preserve">in turn </w:t>
      </w:r>
      <w:r w:rsidR="001D0330">
        <w:t>resu</w:t>
      </w:r>
      <w:r w:rsidR="00B364F4">
        <w:t xml:space="preserve">lts in </w:t>
      </w:r>
      <w:r w:rsidR="00463E45">
        <w:t xml:space="preserve">a penalty </w:t>
      </w:r>
      <w:r w:rsidR="00876557">
        <w:t xml:space="preserve">when they cannot </w:t>
      </w:r>
      <w:r w:rsidR="00ED630D">
        <w:t>comply</w:t>
      </w:r>
      <w:r w:rsidR="00876557">
        <w:t xml:space="preserve"> with their </w:t>
      </w:r>
      <w:r w:rsidR="00ED630D">
        <w:t>activity</w:t>
      </w:r>
      <w:r w:rsidR="00876557">
        <w:t xml:space="preserve"> obligations</w:t>
      </w:r>
      <w:r w:rsidR="00B364F4">
        <w:t xml:space="preserve">. </w:t>
      </w:r>
    </w:p>
    <w:p w14:paraId="39F9BFC7" w14:textId="1595743E" w:rsidR="0034359F" w:rsidRPr="00393791" w:rsidRDefault="0034359F" w:rsidP="00430832">
      <w:pPr>
        <w:pStyle w:val="Heading1"/>
        <w:numPr>
          <w:ilvl w:val="1"/>
          <w:numId w:val="16"/>
        </w:numPr>
        <w:rPr>
          <w:i/>
        </w:rPr>
      </w:pPr>
      <w:bookmarkStart w:id="24" w:name="_Toc505951159"/>
      <w:r w:rsidRPr="00393791">
        <w:rPr>
          <w:i/>
        </w:rPr>
        <w:t>Youth</w:t>
      </w:r>
      <w:bookmarkEnd w:id="24"/>
      <w:r w:rsidRPr="00393791">
        <w:rPr>
          <w:i/>
        </w:rPr>
        <w:t xml:space="preserve"> </w:t>
      </w:r>
    </w:p>
    <w:p w14:paraId="5BEA9C34" w14:textId="30D0FEC3" w:rsidR="0034359F" w:rsidRPr="0034359F" w:rsidRDefault="00475D85" w:rsidP="0034359F">
      <w:pPr>
        <w:pStyle w:val="SubmissionNormal"/>
      </w:pPr>
      <w:r>
        <w:t>Concerns have</w:t>
      </w:r>
      <w:r w:rsidR="00DB1C3D">
        <w:t xml:space="preserve"> been</w:t>
      </w:r>
      <w:r>
        <w:t xml:space="preserve"> raised that youth are choosing either not to claim income support or have left income support in order to avoid the </w:t>
      </w:r>
      <w:r w:rsidR="00881283">
        <w:t xml:space="preserve">onerous </w:t>
      </w:r>
      <w:r w:rsidR="00E23B52">
        <w:t xml:space="preserve">compliance </w:t>
      </w:r>
      <w:r>
        <w:t xml:space="preserve">obligations </w:t>
      </w:r>
      <w:r w:rsidR="008225BA">
        <w:t>under the CDP. This means that a significant number of Aboriginal and Torres Strait Islander youth are left with</w:t>
      </w:r>
      <w:r w:rsidR="00DB1C3D">
        <w:t>out</w:t>
      </w:r>
      <w:r w:rsidR="008225BA">
        <w:t xml:space="preserve"> access to </w:t>
      </w:r>
      <w:r w:rsidR="00DF3EF9">
        <w:t xml:space="preserve">social security, </w:t>
      </w:r>
      <w:r w:rsidR="00DC70F4">
        <w:t xml:space="preserve">as schemes such as the Transition to </w:t>
      </w:r>
      <w:r w:rsidR="00850D56">
        <w:t>Work</w:t>
      </w:r>
      <w:r w:rsidR="00DC70F4">
        <w:t xml:space="preserve"> Scheme</w:t>
      </w:r>
      <w:r w:rsidR="00E84675">
        <w:t xml:space="preserve"> </w:t>
      </w:r>
      <w:r w:rsidR="00443699">
        <w:t>and</w:t>
      </w:r>
      <w:r w:rsidR="00E84675">
        <w:t xml:space="preserve"> the</w:t>
      </w:r>
      <w:r w:rsidR="00D92A53">
        <w:t xml:space="preserve"> Youth Jobs</w:t>
      </w:r>
      <w:r w:rsidR="00E84675">
        <w:t xml:space="preserve"> </w:t>
      </w:r>
      <w:proofErr w:type="spellStart"/>
      <w:r w:rsidR="00E84675">
        <w:t>PaTH</w:t>
      </w:r>
      <w:proofErr w:type="spellEnd"/>
      <w:r w:rsidR="00E84675">
        <w:t xml:space="preserve"> </w:t>
      </w:r>
      <w:r w:rsidR="008E31DD">
        <w:t>programme</w:t>
      </w:r>
      <w:r w:rsidR="00DC70F4">
        <w:t xml:space="preserve"> do not exist </w:t>
      </w:r>
      <w:r w:rsidR="002576A8">
        <w:t>in remote areas.</w:t>
      </w:r>
    </w:p>
    <w:p w14:paraId="39DF8F17" w14:textId="5B6BD67A" w:rsidR="000A07EA" w:rsidRDefault="000A07EA" w:rsidP="000A07EA">
      <w:pPr>
        <w:pStyle w:val="Heading1"/>
        <w:numPr>
          <w:ilvl w:val="0"/>
          <w:numId w:val="16"/>
        </w:numPr>
      </w:pPr>
      <w:bookmarkStart w:id="25" w:name="_Toc505951160"/>
      <w:r>
        <w:t xml:space="preserve">Options for a </w:t>
      </w:r>
      <w:r w:rsidR="00445776">
        <w:t>new</w:t>
      </w:r>
      <w:r>
        <w:t xml:space="preserve"> </w:t>
      </w:r>
      <w:r w:rsidR="00445776">
        <w:t xml:space="preserve">CDP </w:t>
      </w:r>
      <w:r>
        <w:t>model</w:t>
      </w:r>
      <w:bookmarkEnd w:id="25"/>
    </w:p>
    <w:p w14:paraId="7B37B07A" w14:textId="54EE0C21" w:rsidR="001A3CDA" w:rsidRDefault="00D85D5E" w:rsidP="00670EEE">
      <w:pPr>
        <w:pStyle w:val="SubmissionNormal"/>
      </w:pPr>
      <w:r>
        <w:t xml:space="preserve">As stated above, the </w:t>
      </w:r>
      <w:r w:rsidR="00FE3354">
        <w:t xml:space="preserve">Commission is of the view that the </w:t>
      </w:r>
      <w:r w:rsidR="00D3625A">
        <w:t>new</w:t>
      </w:r>
      <w:r>
        <w:t xml:space="preserve"> CDP model should be based on a human rights based approach that </w:t>
      </w:r>
      <w:r w:rsidR="00D54E86">
        <w:t>is consistent with</w:t>
      </w:r>
      <w:r>
        <w:t xml:space="preserve"> the PANEL principles. </w:t>
      </w:r>
      <w:r w:rsidR="007E6928">
        <w:t xml:space="preserve">It is </w:t>
      </w:r>
      <w:r>
        <w:t xml:space="preserve">also </w:t>
      </w:r>
      <w:r w:rsidR="007E6928">
        <w:t>critical that the new model addresses long-term solutions to joblessness</w:t>
      </w:r>
      <w:r w:rsidR="00B43AE1">
        <w:t xml:space="preserve"> in remote communities</w:t>
      </w:r>
      <w:r w:rsidR="007E6928">
        <w:t xml:space="preserve">, </w:t>
      </w:r>
      <w:r w:rsidR="00CE22CC">
        <w:t>and</w:t>
      </w:r>
      <w:r w:rsidR="0064638B">
        <w:t xml:space="preserve"> </w:t>
      </w:r>
      <w:r w:rsidR="003A2C7A">
        <w:t>that these solutions are</w:t>
      </w:r>
      <w:r w:rsidR="007E6928">
        <w:t xml:space="preserve"> consistent with the </w:t>
      </w:r>
      <w:r w:rsidR="00946C68">
        <w:t xml:space="preserve">social, economic and cultural </w:t>
      </w:r>
      <w:r w:rsidR="007E6928">
        <w:t>aspirations and needs of Aboriginal and Torres Strait Islander peoples.</w:t>
      </w:r>
      <w:r>
        <w:t xml:space="preserve"> </w:t>
      </w:r>
    </w:p>
    <w:p w14:paraId="537098DB" w14:textId="1ADE85C1" w:rsidR="00BA7757" w:rsidRDefault="00971E41" w:rsidP="00670EEE">
      <w:pPr>
        <w:pStyle w:val="SubmissionNormal"/>
      </w:pPr>
      <w:r>
        <w:t>To achieve this, t</w:t>
      </w:r>
      <w:r w:rsidR="00BA7757">
        <w:t>he</w:t>
      </w:r>
      <w:r w:rsidR="00661AEF">
        <w:t xml:space="preserve"> current</w:t>
      </w:r>
      <w:r w:rsidR="00BA7757">
        <w:t xml:space="preserve"> CDP</w:t>
      </w:r>
      <w:r w:rsidR="00661AEF">
        <w:t xml:space="preserve"> model</w:t>
      </w:r>
      <w:r w:rsidR="00BA7757">
        <w:t xml:space="preserve"> should</w:t>
      </w:r>
      <w:r w:rsidR="001A3CDA">
        <w:t xml:space="preserve"> </w:t>
      </w:r>
      <w:r w:rsidR="00BA7757">
        <w:t>be replaced by a model</w:t>
      </w:r>
      <w:r w:rsidR="009B0CCA">
        <w:t xml:space="preserve"> that is flexible, </w:t>
      </w:r>
      <w:r w:rsidR="00CA6123">
        <w:t>place-based</w:t>
      </w:r>
      <w:r w:rsidR="00A61B36">
        <w:t>, and</w:t>
      </w:r>
      <w:r w:rsidR="0098511E">
        <w:t xml:space="preserve"> </w:t>
      </w:r>
      <w:r w:rsidR="00BA7757">
        <w:t>in</w:t>
      </w:r>
      <w:r w:rsidR="001F7CAD">
        <w:t>crease</w:t>
      </w:r>
      <w:r w:rsidR="00A61B36">
        <w:t>s</w:t>
      </w:r>
      <w:r w:rsidR="00233999">
        <w:t xml:space="preserve"> economic opportunities</w:t>
      </w:r>
      <w:r w:rsidR="00895AF8">
        <w:t xml:space="preserve"> that </w:t>
      </w:r>
      <w:r w:rsidR="008A0939">
        <w:t>foster long-term economic, social and cultural development</w:t>
      </w:r>
      <w:r>
        <w:t>,</w:t>
      </w:r>
      <w:r w:rsidR="008A0939">
        <w:t xml:space="preserve"> and </w:t>
      </w:r>
      <w:r w:rsidR="00E50BED">
        <w:t>allow</w:t>
      </w:r>
      <w:r w:rsidR="00BA7757">
        <w:t xml:space="preserve"> Aboriginal and Torres Strait Islander peoples</w:t>
      </w:r>
      <w:r w:rsidR="00B82780">
        <w:t xml:space="preserve"> </w:t>
      </w:r>
      <w:r w:rsidR="00BA7757">
        <w:t>to have meaning</w:t>
      </w:r>
      <w:r w:rsidR="008A0939">
        <w:t>ful control over their own lives</w:t>
      </w:r>
      <w:r w:rsidR="00921B87">
        <w:t xml:space="preserve">. </w:t>
      </w:r>
    </w:p>
    <w:p w14:paraId="48C21B94" w14:textId="1D644E85" w:rsidR="005C3ED2" w:rsidRDefault="00997BD7" w:rsidP="00A6660A">
      <w:pPr>
        <w:pStyle w:val="SubmissionNormal"/>
      </w:pPr>
      <w:r>
        <w:t>The Commission</w:t>
      </w:r>
      <w:r w:rsidR="00895AF8">
        <w:t xml:space="preserve"> therefore</w:t>
      </w:r>
      <w:r w:rsidR="00B76E41">
        <w:t xml:space="preserve"> </w:t>
      </w:r>
      <w:r>
        <w:t xml:space="preserve">commends the Government for including </w:t>
      </w:r>
      <w:r w:rsidR="009E70CD">
        <w:t>‘</w:t>
      </w:r>
      <w:r>
        <w:t>greater community control</w:t>
      </w:r>
      <w:r w:rsidR="009E70CD">
        <w:t>’</w:t>
      </w:r>
      <w:r>
        <w:t xml:space="preserve"> </w:t>
      </w:r>
      <w:r w:rsidR="0084493B">
        <w:t xml:space="preserve">in the </w:t>
      </w:r>
      <w:r w:rsidR="004B14E5">
        <w:t>Discussion Paper</w:t>
      </w:r>
      <w:r w:rsidR="0084493B">
        <w:t xml:space="preserve"> </w:t>
      </w:r>
      <w:r>
        <w:t>as one of the proposed objectives</w:t>
      </w:r>
      <w:r w:rsidR="001E7276">
        <w:t xml:space="preserve"> </w:t>
      </w:r>
      <w:r>
        <w:t xml:space="preserve">for a new approach to CDP. </w:t>
      </w:r>
      <w:r w:rsidR="002A6891">
        <w:t xml:space="preserve">Many </w:t>
      </w:r>
      <w:r w:rsidR="00D534D7">
        <w:t>Aboriginal an</w:t>
      </w:r>
      <w:r w:rsidR="0084493B">
        <w:t>d Torres Strait Islander people</w:t>
      </w:r>
      <w:r w:rsidR="00D534D7">
        <w:t xml:space="preserve"> view</w:t>
      </w:r>
      <w:r w:rsidR="00334C3F">
        <w:t xml:space="preserve"> </w:t>
      </w:r>
      <w:r w:rsidR="00D534D7">
        <w:t>CDP</w:t>
      </w:r>
      <w:r w:rsidR="008D673B">
        <w:t xml:space="preserve"> as </w:t>
      </w:r>
      <w:r w:rsidR="00BC14E8">
        <w:t>an overly top-down and punitive Government scheme,</w:t>
      </w:r>
      <w:r w:rsidR="002C4E23">
        <w:t xml:space="preserve"> which has </w:t>
      </w:r>
      <w:r w:rsidR="00966439">
        <w:t>reduced</w:t>
      </w:r>
      <w:r w:rsidR="008D673B">
        <w:t xml:space="preserve"> community con</w:t>
      </w:r>
      <w:r w:rsidR="00D534D7">
        <w:t>trol</w:t>
      </w:r>
      <w:r w:rsidR="00C632C6">
        <w:t xml:space="preserve"> by not placing </w:t>
      </w:r>
      <w:r w:rsidR="002C4E23">
        <w:t xml:space="preserve">enough value on </w:t>
      </w:r>
      <w:r w:rsidR="00C632C6">
        <w:t>the strength of I</w:t>
      </w:r>
      <w:r w:rsidR="00792EDC">
        <w:t>ndigenous</w:t>
      </w:r>
      <w:r w:rsidR="002C4E23">
        <w:t xml:space="preserve"> knowledge</w:t>
      </w:r>
      <w:r w:rsidR="00D534D7">
        <w:t>.</w:t>
      </w:r>
    </w:p>
    <w:p w14:paraId="412A3FFF" w14:textId="2AFA1B92" w:rsidR="00AE3403" w:rsidRDefault="003D5C7A" w:rsidP="00A6660A">
      <w:pPr>
        <w:pStyle w:val="SubmissionNormal"/>
      </w:pPr>
      <w:r>
        <w:t xml:space="preserve">The new </w:t>
      </w:r>
      <w:r w:rsidR="008C4CA2">
        <w:t xml:space="preserve">CDP </w:t>
      </w:r>
      <w:r>
        <w:t xml:space="preserve">model </w:t>
      </w:r>
      <w:r w:rsidR="00E12D33">
        <w:t>should</w:t>
      </w:r>
      <w:r>
        <w:t xml:space="preserve"> work from a</w:t>
      </w:r>
      <w:r w:rsidR="00FE0F31">
        <w:t xml:space="preserve"> strengths-</w:t>
      </w:r>
      <w:r>
        <w:t xml:space="preserve">based, rather than </w:t>
      </w:r>
      <w:r w:rsidR="00E97DCF">
        <w:t>punitive</w:t>
      </w:r>
      <w:r>
        <w:t xml:space="preserve">, approach, which </w:t>
      </w:r>
      <w:r w:rsidR="009D05EE">
        <w:t xml:space="preserve">places value on </w:t>
      </w:r>
      <w:r w:rsidR="00AC3D5E">
        <w:t xml:space="preserve">local and </w:t>
      </w:r>
      <w:r w:rsidR="009D05EE">
        <w:t>I</w:t>
      </w:r>
      <w:r w:rsidR="00FE0F31">
        <w:t>ndigenous knowledge</w:t>
      </w:r>
      <w:r w:rsidR="004B03E1">
        <w:t>. A model of this nature recognises that,</w:t>
      </w:r>
      <w:r>
        <w:t xml:space="preserve"> </w:t>
      </w:r>
      <w:r w:rsidR="004B03E1">
        <w:t xml:space="preserve">when Aboriginal and Torres Strait Islander peoples have control over their own lives, </w:t>
      </w:r>
      <w:r w:rsidR="00FE0F31">
        <w:t>Aboriginal</w:t>
      </w:r>
      <w:r>
        <w:t xml:space="preserve"> community controlled organisations </w:t>
      </w:r>
      <w:r w:rsidR="004B03E1">
        <w:t xml:space="preserve">are able </w:t>
      </w:r>
      <w:r>
        <w:t xml:space="preserve">to achieve sustainable change in the social, health and economic conditions </w:t>
      </w:r>
      <w:r w:rsidR="00EF2E67">
        <w:t>of</w:t>
      </w:r>
      <w:r>
        <w:t xml:space="preserve"> remote communities</w:t>
      </w:r>
      <w:r w:rsidR="00AB16CA">
        <w:t>.</w:t>
      </w:r>
      <w:r w:rsidR="00231C40" w:rsidRPr="00231C40">
        <w:t xml:space="preserve"> </w:t>
      </w:r>
      <w:r w:rsidR="00231C40">
        <w:t xml:space="preserve">The model </w:t>
      </w:r>
      <w:r w:rsidR="00D57DBE">
        <w:t>should</w:t>
      </w:r>
      <w:r w:rsidR="00231C40">
        <w:t xml:space="preserve"> </w:t>
      </w:r>
      <w:r w:rsidR="005A7B0E">
        <w:t xml:space="preserve">also </w:t>
      </w:r>
      <w:r w:rsidR="00231C40">
        <w:t>support communities’ aspirations for self-determination by strengthening governance and decision-making processes.</w:t>
      </w:r>
    </w:p>
    <w:p w14:paraId="44FFA3B3" w14:textId="38D40815" w:rsidR="009C3E1E" w:rsidRDefault="00C716BB" w:rsidP="00670EEE">
      <w:pPr>
        <w:pStyle w:val="SubmissionNormal"/>
      </w:pPr>
      <w:r>
        <w:lastRenderedPageBreak/>
        <w:t xml:space="preserve">The Aboriginal Peak Organisations Northern Territory (APO NT) </w:t>
      </w:r>
      <w:r w:rsidR="003C77A8">
        <w:t xml:space="preserve">proposal </w:t>
      </w:r>
      <w:r w:rsidR="00D57E39">
        <w:t xml:space="preserve">highlights the </w:t>
      </w:r>
      <w:r w:rsidR="00AF0697">
        <w:t>Warlpiri Youth Develop</w:t>
      </w:r>
      <w:r w:rsidR="00D57E39">
        <w:t>ment Aboriginal Corporation as an example of the type</w:t>
      </w:r>
      <w:r w:rsidR="00AF0697">
        <w:t xml:space="preserve"> of</w:t>
      </w:r>
      <w:r w:rsidR="00676AB5">
        <w:t xml:space="preserve"> locally-</w:t>
      </w:r>
      <w:r w:rsidR="003C77A8">
        <w:t>driven strategy that the new CDP model could support.</w:t>
      </w:r>
      <w:r w:rsidR="00C638B9">
        <w:rPr>
          <w:rStyle w:val="EndnoteReference"/>
        </w:rPr>
        <w:endnoteReference w:id="48"/>
      </w:r>
      <w:r w:rsidR="003C77A8">
        <w:t xml:space="preserve"> </w:t>
      </w:r>
      <w:r w:rsidR="00AF0697">
        <w:t xml:space="preserve">Through this </w:t>
      </w:r>
      <w:r w:rsidR="008E31DD">
        <w:t>programme</w:t>
      </w:r>
      <w:r w:rsidR="00AF0697">
        <w:t xml:space="preserve">, young people participate in the running of a range of activities for younger community members, such as bush camps with community elders. The </w:t>
      </w:r>
      <w:r w:rsidR="008E31DD">
        <w:t>programme</w:t>
      </w:r>
      <w:r w:rsidR="00AF0697">
        <w:t xml:space="preserve"> has strong community support and involvement, including through traditional owners allocating a substantial amount of their payments from mining agreements to the </w:t>
      </w:r>
      <w:r w:rsidR="008E31DD">
        <w:t>programme</w:t>
      </w:r>
      <w:r w:rsidR="00AF0697">
        <w:t>. An evaluation conducted in 2015 found that 92 per cent of participants from the 2006 cohort are now employed.</w:t>
      </w:r>
      <w:r w:rsidR="00B943DF">
        <w:rPr>
          <w:rStyle w:val="EndnoteReference"/>
        </w:rPr>
        <w:endnoteReference w:id="49"/>
      </w:r>
      <w:r w:rsidR="00025F8A">
        <w:t xml:space="preserve"> The evaluation also highlighted that the </w:t>
      </w:r>
      <w:r w:rsidR="008E31DD">
        <w:t>programme</w:t>
      </w:r>
      <w:r w:rsidR="00025F8A">
        <w:t>’s informality is on</w:t>
      </w:r>
      <w:r w:rsidR="00240F79">
        <w:t>e</w:t>
      </w:r>
      <w:r w:rsidR="00025F8A">
        <w:t xml:space="preserve"> of its strength, with participants </w:t>
      </w:r>
      <w:r w:rsidR="00A6111C">
        <w:t>continuing to be</w:t>
      </w:r>
      <w:r w:rsidR="00025F8A">
        <w:t xml:space="preserve"> welcomed back</w:t>
      </w:r>
      <w:r w:rsidR="009E70CD">
        <w:t xml:space="preserve"> even if they have had several ‘false starts’</w:t>
      </w:r>
      <w:r w:rsidR="00025F8A">
        <w:t xml:space="preserve"> in engaging with the </w:t>
      </w:r>
      <w:r w:rsidR="008E31DD">
        <w:t>programme</w:t>
      </w:r>
      <w:r w:rsidR="00025F8A">
        <w:t>.</w:t>
      </w:r>
      <w:r w:rsidR="00E60D4A">
        <w:rPr>
          <w:rStyle w:val="EndnoteReference"/>
        </w:rPr>
        <w:endnoteReference w:id="50"/>
      </w:r>
      <w:r w:rsidR="005C3ED2">
        <w:t xml:space="preserve"> </w:t>
      </w:r>
    </w:p>
    <w:p w14:paraId="6D714822" w14:textId="7B28E01D" w:rsidR="00B61872" w:rsidRDefault="007F2560" w:rsidP="00670EEE">
      <w:pPr>
        <w:pStyle w:val="SubmissionNormal"/>
      </w:pPr>
      <w:r>
        <w:t>Other examples of effective community</w:t>
      </w:r>
      <w:r w:rsidR="00A03D9A">
        <w:t xml:space="preserve">-led </w:t>
      </w:r>
      <w:r w:rsidR="00005C1F">
        <w:t xml:space="preserve">and controlled </w:t>
      </w:r>
      <w:r w:rsidR="008E31DD">
        <w:t>programme</w:t>
      </w:r>
      <w:r w:rsidR="00A03D9A">
        <w:t xml:space="preserve">s include, carbon farming based on traditional burning practices, </w:t>
      </w:r>
      <w:r w:rsidR="00FC11B9">
        <w:t>community art centres, land and sea management thr</w:t>
      </w:r>
      <w:r w:rsidR="002A53CB">
        <w:t>ough</w:t>
      </w:r>
      <w:r w:rsidR="008B12FF">
        <w:t xml:space="preserve"> indigenous ranger </w:t>
      </w:r>
      <w:r w:rsidR="008E31DD">
        <w:t>programme</w:t>
      </w:r>
      <w:r w:rsidR="008B12FF">
        <w:t>s, and jobs in the health, community services and education sectors.</w:t>
      </w:r>
      <w:r w:rsidR="00E60D4A">
        <w:rPr>
          <w:rStyle w:val="EndnoteReference"/>
        </w:rPr>
        <w:endnoteReference w:id="51"/>
      </w:r>
      <w:r w:rsidR="00FC11B9">
        <w:t xml:space="preserve"> </w:t>
      </w:r>
      <w:r w:rsidR="002867FA">
        <w:t xml:space="preserve">An important aspect of these types of </w:t>
      </w:r>
      <w:r w:rsidR="008E31DD">
        <w:t>programme</w:t>
      </w:r>
      <w:r w:rsidR="002867FA">
        <w:t>s is that they</w:t>
      </w:r>
      <w:r w:rsidR="005E70E5">
        <w:t xml:space="preserve"> </w:t>
      </w:r>
      <w:r w:rsidR="002867FA">
        <w:t>capitalise on</w:t>
      </w:r>
      <w:r w:rsidR="00476F2B">
        <w:t xml:space="preserve"> existing traditional knowledge</w:t>
      </w:r>
      <w:r w:rsidR="003545D1">
        <w:t xml:space="preserve">, </w:t>
      </w:r>
      <w:r w:rsidR="00215364">
        <w:t>whilst</w:t>
      </w:r>
      <w:r w:rsidR="005E70E5">
        <w:t xml:space="preserve"> also lead</w:t>
      </w:r>
      <w:r w:rsidR="00215364">
        <w:t>ing</w:t>
      </w:r>
      <w:r w:rsidR="003545D1">
        <w:t xml:space="preserve"> </w:t>
      </w:r>
      <w:r w:rsidR="002867FA" w:rsidRPr="002867FA">
        <w:t>to improved skill</w:t>
      </w:r>
      <w:r w:rsidR="005E70E5">
        <w:t>s</w:t>
      </w:r>
      <w:r w:rsidR="002867FA" w:rsidRPr="002867FA">
        <w:t xml:space="preserve"> development</w:t>
      </w:r>
      <w:r w:rsidR="003545D1">
        <w:t xml:space="preserve"> in other areas</w:t>
      </w:r>
      <w:r w:rsidR="00D41267">
        <w:t xml:space="preserve">. </w:t>
      </w:r>
      <w:r w:rsidR="00F909CA">
        <w:t xml:space="preserve">These </w:t>
      </w:r>
      <w:r w:rsidR="008E31DD">
        <w:t>programme</w:t>
      </w:r>
      <w:r w:rsidR="00F909CA">
        <w:t>s in turn</w:t>
      </w:r>
      <w:r w:rsidR="00BD4486">
        <w:t xml:space="preserve"> have a positive impact on</w:t>
      </w:r>
      <w:r w:rsidR="005E70E5">
        <w:t xml:space="preserve"> the</w:t>
      </w:r>
      <w:r w:rsidR="00EA7D6C">
        <w:t xml:space="preserve"> needs of</w:t>
      </w:r>
      <w:r w:rsidR="005E70E5">
        <w:t xml:space="preserve"> </w:t>
      </w:r>
      <w:r w:rsidR="00BD4486">
        <w:t>communit</w:t>
      </w:r>
      <w:r w:rsidR="00EA7D6C">
        <w:t>ies</w:t>
      </w:r>
      <w:r w:rsidR="00B61872">
        <w:t xml:space="preserve"> by addressing gaps in local infrastructure and services</w:t>
      </w:r>
      <w:r w:rsidR="00BD4486">
        <w:t>, gener</w:t>
      </w:r>
      <w:r w:rsidR="00D41267">
        <w:t>at</w:t>
      </w:r>
      <w:r w:rsidR="00D85C71">
        <w:t>ing</w:t>
      </w:r>
      <w:r w:rsidR="00D41267">
        <w:t xml:space="preserve"> social and economic returns and ultimately reduc</w:t>
      </w:r>
      <w:r w:rsidR="005A2689">
        <w:t>ing</w:t>
      </w:r>
      <w:r w:rsidR="00D41267">
        <w:t xml:space="preserve"> reliance on government support in the long-term.</w:t>
      </w:r>
      <w:r w:rsidR="00711285">
        <w:t xml:space="preserve"> </w:t>
      </w:r>
    </w:p>
    <w:p w14:paraId="62F26E93" w14:textId="20C1958F" w:rsidR="002867FA" w:rsidRDefault="000D54C5" w:rsidP="00670EEE">
      <w:pPr>
        <w:pStyle w:val="SubmissionNormal"/>
      </w:pPr>
      <w:r>
        <w:t xml:space="preserve">The benefits of </w:t>
      </w:r>
      <w:r w:rsidR="00CB157A">
        <w:t xml:space="preserve">jobs of this </w:t>
      </w:r>
      <w:r w:rsidR="00C508F7">
        <w:t>nature is reflected in</w:t>
      </w:r>
      <w:r w:rsidR="00837FC8">
        <w:t xml:space="preserve"> </w:t>
      </w:r>
      <w:r w:rsidR="00C508F7">
        <w:t xml:space="preserve">the </w:t>
      </w:r>
      <w:r w:rsidR="00837FC8">
        <w:t>APO NT proposal</w:t>
      </w:r>
      <w:r w:rsidR="0084493B">
        <w:t>, which states that</w:t>
      </w:r>
      <w:r w:rsidR="00837FC8">
        <w:t xml:space="preserve"> place-based social enterprises </w:t>
      </w:r>
      <w:r w:rsidR="0084493B">
        <w:t>should be the</w:t>
      </w:r>
      <w:r w:rsidR="00837FC8">
        <w:t xml:space="preserve"> main </w:t>
      </w:r>
      <w:r w:rsidR="005B6C60">
        <w:t>focus</w:t>
      </w:r>
      <w:r w:rsidR="00D343C2">
        <w:t xml:space="preserve"> </w:t>
      </w:r>
      <w:r w:rsidR="00CC42CC">
        <w:t xml:space="preserve">for developing </w:t>
      </w:r>
      <w:r w:rsidR="00D343C2">
        <w:t>community economies</w:t>
      </w:r>
      <w:r w:rsidR="00194ED4">
        <w:t xml:space="preserve">. These social enterprises would be </w:t>
      </w:r>
      <w:r w:rsidR="0027338F">
        <w:t xml:space="preserve">supported </w:t>
      </w:r>
      <w:r w:rsidR="00D343C2">
        <w:t>through a refo</w:t>
      </w:r>
      <w:r w:rsidR="00194ED4">
        <w:t>rmed Indigenous Enterprise Fund</w:t>
      </w:r>
      <w:r w:rsidR="006B0059">
        <w:t xml:space="preserve"> that </w:t>
      </w:r>
      <w:r w:rsidR="0027338F">
        <w:t xml:space="preserve">supports </w:t>
      </w:r>
      <w:r w:rsidR="00BF7A9B">
        <w:t xml:space="preserve">the development of </w:t>
      </w:r>
      <w:r w:rsidR="0027338F">
        <w:t>social enterprise</w:t>
      </w:r>
      <w:r w:rsidR="00EF5D5E">
        <w:t>s</w:t>
      </w:r>
      <w:r w:rsidR="0027338F">
        <w:t>, even if they may not be immediately commercially viable.</w:t>
      </w:r>
      <w:r w:rsidR="00B26EE5">
        <w:rPr>
          <w:rStyle w:val="EndnoteReference"/>
        </w:rPr>
        <w:endnoteReference w:id="52"/>
      </w:r>
      <w:r w:rsidR="00837FC8">
        <w:t xml:space="preserve"> </w:t>
      </w:r>
    </w:p>
    <w:p w14:paraId="4CEEE403" w14:textId="2750A324" w:rsidR="00A6660A" w:rsidRDefault="001B006D" w:rsidP="002E7D4D">
      <w:pPr>
        <w:pStyle w:val="SubmissionNormal"/>
      </w:pPr>
      <w:r>
        <w:t>Importantly, the</w:t>
      </w:r>
      <w:r w:rsidR="00BC5BA0">
        <w:t xml:space="preserve"> new</w:t>
      </w:r>
      <w:r w:rsidR="00E920E3">
        <w:t xml:space="preserve"> CDP</w:t>
      </w:r>
      <w:r w:rsidR="00BC5BA0">
        <w:t xml:space="preserve"> model </w:t>
      </w:r>
      <w:r w:rsidR="00B65A05">
        <w:t>should</w:t>
      </w:r>
      <w:r w:rsidR="00BC5BA0">
        <w:t xml:space="preserve"> </w:t>
      </w:r>
      <w:r w:rsidR="00FC789E">
        <w:t xml:space="preserve">also </w:t>
      </w:r>
      <w:r>
        <w:t>address</w:t>
      </w:r>
      <w:r w:rsidR="00BC5BA0">
        <w:t xml:space="preserve"> </w:t>
      </w:r>
      <w:r w:rsidR="008C3E35">
        <w:t xml:space="preserve">the impact of inter-generational trauma on the day-to-day lives of Aboriginal and Torres Strait Islander peoples and </w:t>
      </w:r>
      <w:r w:rsidR="00BC5BA0">
        <w:t xml:space="preserve">the importance of healing </w:t>
      </w:r>
      <w:r w:rsidR="008C3E35">
        <w:t>in order to overcome this trauma</w:t>
      </w:r>
      <w:r w:rsidR="00B65A05">
        <w:t xml:space="preserve">. The model can do this by adopting a </w:t>
      </w:r>
      <w:r>
        <w:t>trauma-informed, h</w:t>
      </w:r>
      <w:r w:rsidR="002542D9">
        <w:t>ealing and empowerment approach</w:t>
      </w:r>
      <w:r w:rsidR="00A87C54">
        <w:t>. T</w:t>
      </w:r>
      <w:r w:rsidR="002542D9">
        <w:t xml:space="preserve">here is increasing evidence that </w:t>
      </w:r>
      <w:r w:rsidR="00A87C54">
        <w:t>adopting this</w:t>
      </w:r>
      <w:r w:rsidR="002542D9">
        <w:t xml:space="preserve"> approach</w:t>
      </w:r>
      <w:r w:rsidR="00464089">
        <w:t xml:space="preserve"> is an important element in </w:t>
      </w:r>
      <w:r w:rsidR="00A87C54">
        <w:t>improving social</w:t>
      </w:r>
      <w:r w:rsidR="00A339F7">
        <w:t xml:space="preserve">, health </w:t>
      </w:r>
      <w:r w:rsidR="00A87C54">
        <w:t xml:space="preserve">and economic outcomes in </w:t>
      </w:r>
      <w:r w:rsidR="00464089">
        <w:t>Aboriginal and Torres Strait Islander communities</w:t>
      </w:r>
      <w:r w:rsidR="006761CB">
        <w:t>, as it</w:t>
      </w:r>
      <w:r w:rsidR="006761CB" w:rsidRPr="006761CB">
        <w:t xml:space="preserve"> </w:t>
      </w:r>
      <w:r w:rsidR="006761CB">
        <w:t>draws on cultural and communi</w:t>
      </w:r>
      <w:r w:rsidR="00BB636B">
        <w:t>ty strengths to enhance dignity and</w:t>
      </w:r>
      <w:r w:rsidR="006761CB">
        <w:t xml:space="preserve"> self-esteem</w:t>
      </w:r>
      <w:r w:rsidR="0001799B">
        <w:t>.</w:t>
      </w:r>
      <w:r w:rsidR="00676AB5">
        <w:rPr>
          <w:rStyle w:val="EndnoteReference"/>
        </w:rPr>
        <w:endnoteReference w:id="53"/>
      </w:r>
      <w:r w:rsidR="006478C7">
        <w:t xml:space="preserve"> </w:t>
      </w:r>
    </w:p>
    <w:p w14:paraId="0AE2C751" w14:textId="00877DBA" w:rsidR="008406B8" w:rsidRDefault="008406B8" w:rsidP="00670EEE">
      <w:pPr>
        <w:pStyle w:val="SubmissionNormal"/>
      </w:pPr>
      <w:r>
        <w:t xml:space="preserve">As set out in section </w:t>
      </w:r>
      <w:r w:rsidR="00CE21F4">
        <w:t>4</w:t>
      </w:r>
      <w:r>
        <w:t xml:space="preserve"> above, the CDP </w:t>
      </w:r>
      <w:r w:rsidR="005C7482">
        <w:t xml:space="preserve">in its current state </w:t>
      </w:r>
      <w:r w:rsidR="00677003">
        <w:t>has</w:t>
      </w:r>
      <w:r w:rsidR="001C1B73">
        <w:t xml:space="preserve"> a number of </w:t>
      </w:r>
      <w:r w:rsidR="008E31DD">
        <w:t>programmatic</w:t>
      </w:r>
      <w:r w:rsidR="001C1B73">
        <w:t xml:space="preserve"> and structural flaws that are having a significant negative impact on Aboriginal and Torres Strait Islander peoples and raise several human rights concerns.</w:t>
      </w:r>
      <w:r w:rsidR="00B61C14">
        <w:t xml:space="preserve"> In order to address these issues, a significant overhaul of the system is required. </w:t>
      </w:r>
      <w:r w:rsidR="00580EA5">
        <w:t xml:space="preserve">It is unlikely that these issues </w:t>
      </w:r>
      <w:r w:rsidR="00B85385">
        <w:t>will be able</w:t>
      </w:r>
      <w:r w:rsidR="00580EA5">
        <w:t xml:space="preserve"> to</w:t>
      </w:r>
      <w:r w:rsidR="009C31CC">
        <w:t xml:space="preserve"> </w:t>
      </w:r>
      <w:proofErr w:type="gramStart"/>
      <w:r w:rsidR="009C31CC">
        <w:t>be addressed</w:t>
      </w:r>
      <w:proofErr w:type="gramEnd"/>
      <w:r w:rsidR="009C31CC">
        <w:t xml:space="preserve"> through short-term</w:t>
      </w:r>
      <w:r w:rsidR="00722E17">
        <w:t xml:space="preserve"> incremental</w:t>
      </w:r>
      <w:r w:rsidR="00580EA5">
        <w:t xml:space="preserve"> improvements </w:t>
      </w:r>
      <w:r w:rsidR="00B00039">
        <w:t>to the current CDP model</w:t>
      </w:r>
      <w:r w:rsidR="00676AB5">
        <w:t>,</w:t>
      </w:r>
      <w:r w:rsidR="00676AB5">
        <w:rPr>
          <w:rStyle w:val="EndnoteReference"/>
        </w:rPr>
        <w:endnoteReference w:id="54"/>
      </w:r>
      <w:r w:rsidR="00B00039">
        <w:t xml:space="preserve"> </w:t>
      </w:r>
      <w:r w:rsidR="00580EA5">
        <w:t>or</w:t>
      </w:r>
      <w:r w:rsidR="00B00039">
        <w:t xml:space="preserve"> through </w:t>
      </w:r>
      <w:r w:rsidR="00886002">
        <w:t xml:space="preserve">the </w:t>
      </w:r>
      <w:r w:rsidR="00B00039">
        <w:t xml:space="preserve">amendments proposed in </w:t>
      </w:r>
      <w:r w:rsidR="00886002">
        <w:t>CDP2</w:t>
      </w:r>
      <w:r w:rsidR="003817A6">
        <w:t xml:space="preserve">as </w:t>
      </w:r>
      <w:r w:rsidR="00EE1AD5">
        <w:t>set out</w:t>
      </w:r>
      <w:r w:rsidR="003817A6">
        <w:t xml:space="preserve"> in options 2 and 3 of the </w:t>
      </w:r>
      <w:r w:rsidR="004B14E5">
        <w:t>Discussi</w:t>
      </w:r>
      <w:r w:rsidR="00676AB5">
        <w:t>on Paper</w:t>
      </w:r>
      <w:r w:rsidR="000D5CC6">
        <w:t>.</w:t>
      </w:r>
      <w:r w:rsidR="00676AB5" w:rsidRPr="00676AB5">
        <w:rPr>
          <w:rStyle w:val="EndnoteReference"/>
        </w:rPr>
        <w:t xml:space="preserve"> </w:t>
      </w:r>
      <w:r w:rsidR="00676AB5">
        <w:rPr>
          <w:rStyle w:val="EndnoteReference"/>
        </w:rPr>
        <w:endnoteReference w:id="55"/>
      </w:r>
      <w:r w:rsidR="00676AB5">
        <w:t xml:space="preserve"> </w:t>
      </w:r>
      <w:r w:rsidR="00E31E7D">
        <w:t xml:space="preserve"> </w:t>
      </w:r>
      <w:r w:rsidR="006B2281">
        <w:t>O</w:t>
      </w:r>
      <w:r w:rsidR="001C100B">
        <w:t xml:space="preserve">ption </w:t>
      </w:r>
      <w:proofErr w:type="gramStart"/>
      <w:r w:rsidR="001C100B">
        <w:t>1</w:t>
      </w:r>
      <w:proofErr w:type="gramEnd"/>
      <w:r w:rsidR="00DF4BDE">
        <w:t xml:space="preserve"> draws </w:t>
      </w:r>
      <w:r w:rsidR="00544BED">
        <w:t xml:space="preserve">on elements of CDP, CDP2 and the </w:t>
      </w:r>
      <w:r w:rsidR="00C716BB">
        <w:t>APO NT</w:t>
      </w:r>
      <w:r w:rsidR="00663560">
        <w:t xml:space="preserve"> proposal</w:t>
      </w:r>
      <w:r w:rsidR="00DD7037">
        <w:t>. A</w:t>
      </w:r>
      <w:r w:rsidR="00544BED">
        <w:t xml:space="preserve"> number of</w:t>
      </w:r>
      <w:r w:rsidR="00D578B0">
        <w:t xml:space="preserve"> </w:t>
      </w:r>
      <w:r w:rsidR="00987BF1">
        <w:t>changes</w:t>
      </w:r>
      <w:r w:rsidR="00D578B0">
        <w:t xml:space="preserve"> still need to be made to this model in </w:t>
      </w:r>
      <w:r w:rsidR="00D578B0">
        <w:lastRenderedPageBreak/>
        <w:t xml:space="preserve">order for it to </w:t>
      </w:r>
      <w:r w:rsidR="004B69FF">
        <w:t>be consistent with a human rights</w:t>
      </w:r>
      <w:r w:rsidR="007855D4">
        <w:t xml:space="preserve"> </w:t>
      </w:r>
      <w:r w:rsidR="004B69FF">
        <w:t xml:space="preserve">based approach and to adequately </w:t>
      </w:r>
      <w:r w:rsidR="006E20CA">
        <w:t xml:space="preserve">address the issues raised in section </w:t>
      </w:r>
      <w:r w:rsidR="00D80C1F">
        <w:t>4</w:t>
      </w:r>
      <w:r w:rsidR="00E63A59">
        <w:t xml:space="preserve"> above</w:t>
      </w:r>
      <w:r w:rsidR="00D578B0">
        <w:t xml:space="preserve">. </w:t>
      </w:r>
      <w:r w:rsidR="001C100B">
        <w:t xml:space="preserve"> </w:t>
      </w:r>
      <w:r w:rsidR="003817A6">
        <w:t xml:space="preserve"> </w:t>
      </w:r>
      <w:r w:rsidR="00B00039">
        <w:t xml:space="preserve">  </w:t>
      </w:r>
    </w:p>
    <w:p w14:paraId="4E6FF0BB" w14:textId="5CB470CB" w:rsidR="000A07EA" w:rsidRPr="00393791" w:rsidRDefault="004C7DAE" w:rsidP="00257439">
      <w:pPr>
        <w:pStyle w:val="Heading1"/>
        <w:numPr>
          <w:ilvl w:val="1"/>
          <w:numId w:val="16"/>
        </w:numPr>
        <w:rPr>
          <w:i/>
        </w:rPr>
      </w:pPr>
      <w:bookmarkStart w:id="26" w:name="_Toc505951161"/>
      <w:r>
        <w:rPr>
          <w:i/>
        </w:rPr>
        <w:t xml:space="preserve">Option 1: </w:t>
      </w:r>
      <w:r w:rsidR="00257439" w:rsidRPr="00393791">
        <w:rPr>
          <w:i/>
        </w:rPr>
        <w:t>New Wage-Based Model</w:t>
      </w:r>
      <w:bookmarkEnd w:id="26"/>
      <w:r w:rsidR="00257439" w:rsidRPr="00393791">
        <w:rPr>
          <w:i/>
        </w:rPr>
        <w:t xml:space="preserve"> </w:t>
      </w:r>
    </w:p>
    <w:p w14:paraId="1E0C7D2D" w14:textId="6BA53EBE" w:rsidR="00365682" w:rsidRDefault="00791F02" w:rsidP="002E7D4D">
      <w:pPr>
        <w:pStyle w:val="SubmissionNormal"/>
      </w:pPr>
      <w:r>
        <w:t xml:space="preserve">The Commission </w:t>
      </w:r>
      <w:r w:rsidR="00A82CD8">
        <w:t>welcomes the inclusion of a</w:t>
      </w:r>
      <w:r w:rsidR="009E70CD">
        <w:t xml:space="preserve"> ‘wage-based model’</w:t>
      </w:r>
      <w:r>
        <w:t xml:space="preserve"> </w:t>
      </w:r>
      <w:r w:rsidR="00F070E2">
        <w:t xml:space="preserve">in the </w:t>
      </w:r>
      <w:r w:rsidR="004B14E5">
        <w:t>Discussion Paper</w:t>
      </w:r>
      <w:r w:rsidR="009C6CBD">
        <w:t>.</w:t>
      </w:r>
      <w:r w:rsidR="00B210DE">
        <w:t xml:space="preserve"> </w:t>
      </w:r>
      <w:r w:rsidR="00E63020">
        <w:t xml:space="preserve">The provision of an </w:t>
      </w:r>
      <w:r w:rsidR="00CF4A1D">
        <w:t>award wage</w:t>
      </w:r>
      <w:r w:rsidR="00D850FC">
        <w:t xml:space="preserve">, with the option of top-up payments, </w:t>
      </w:r>
      <w:r w:rsidR="00E63020">
        <w:t>has been highlighted as one of the su</w:t>
      </w:r>
      <w:r w:rsidR="002A03F2">
        <w:t xml:space="preserve">ccessful elements of the CDEP. </w:t>
      </w:r>
    </w:p>
    <w:p w14:paraId="611B615B" w14:textId="0E708263" w:rsidR="00434AE4" w:rsidRDefault="006A5159" w:rsidP="001E121B">
      <w:pPr>
        <w:pStyle w:val="SubmissionNormal"/>
      </w:pPr>
      <w:r>
        <w:t xml:space="preserve">Option 1, </w:t>
      </w:r>
      <w:r w:rsidR="004C420F">
        <w:t xml:space="preserve">however, does not explicitly state that the model would ensure that the participant earns at least the minimum award </w:t>
      </w:r>
      <w:r w:rsidR="00953E4B">
        <w:t>wage</w:t>
      </w:r>
      <w:r w:rsidR="004C420F">
        <w:t xml:space="preserve">, and it makes no reference to additional benefits such as superannuation. </w:t>
      </w:r>
      <w:r w:rsidR="00676AB5">
        <w:t>Significantly, Option </w:t>
      </w:r>
      <w:r w:rsidR="00E3795D">
        <w:t>1</w:t>
      </w:r>
      <w:r w:rsidR="004546D3">
        <w:t xml:space="preserve"> </w:t>
      </w:r>
      <w:r w:rsidR="00E3795D">
        <w:t xml:space="preserve">does not guarantee that </w:t>
      </w:r>
      <w:r w:rsidR="007D207B">
        <w:t xml:space="preserve">CDP participants </w:t>
      </w:r>
      <w:r w:rsidR="00830AEC">
        <w:t>should have the same, rather than more onerous,</w:t>
      </w:r>
      <w:r w:rsidR="004546D3">
        <w:t xml:space="preserve"> obligations for scheduled </w:t>
      </w:r>
      <w:r w:rsidR="0082587B">
        <w:t xml:space="preserve">working hours </w:t>
      </w:r>
      <w:r w:rsidR="00B16F51">
        <w:t>as</w:t>
      </w:r>
      <w:r w:rsidR="007852EB">
        <w:t xml:space="preserve"> equivalent </w:t>
      </w:r>
      <w:r w:rsidR="008E31DD">
        <w:t>programme</w:t>
      </w:r>
      <w:r w:rsidR="007D207B">
        <w:t>s</w:t>
      </w:r>
      <w:r w:rsidR="00354702">
        <w:t xml:space="preserve"> such as </w:t>
      </w:r>
      <w:proofErr w:type="spellStart"/>
      <w:r w:rsidR="00354702">
        <w:t>JobA</w:t>
      </w:r>
      <w:r w:rsidR="007852EB">
        <w:t>ctive</w:t>
      </w:r>
      <w:proofErr w:type="spellEnd"/>
      <w:r w:rsidR="007852EB">
        <w:t>.</w:t>
      </w:r>
      <w:r w:rsidR="0092609B">
        <w:t xml:space="preserve"> </w:t>
      </w:r>
    </w:p>
    <w:p w14:paraId="23412DC5" w14:textId="07ABB3BF" w:rsidR="007852EB" w:rsidRDefault="0092609B" w:rsidP="001E121B">
      <w:pPr>
        <w:pStyle w:val="SubmissionNormal"/>
      </w:pPr>
      <w:r>
        <w:t xml:space="preserve">The Commission welcomes the reference in Option 1 to top-up payments, as </w:t>
      </w:r>
      <w:r w:rsidR="004320DD">
        <w:t>the option to earn</w:t>
      </w:r>
      <w:r>
        <w:t xml:space="preserve"> additional wages can </w:t>
      </w:r>
      <w:r w:rsidR="00CD2C36">
        <w:t>be</w:t>
      </w:r>
      <w:r w:rsidR="00777E49">
        <w:t xml:space="preserve"> </w:t>
      </w:r>
      <w:r>
        <w:t xml:space="preserve">a powerful incentive to increase workforce participation. </w:t>
      </w:r>
      <w:r w:rsidR="00206D82">
        <w:t xml:space="preserve">This option, however, should </w:t>
      </w:r>
      <w:r w:rsidR="00984FE2">
        <w:t>be available to all</w:t>
      </w:r>
      <w:r w:rsidR="00C9567F">
        <w:t xml:space="preserve"> participants</w:t>
      </w:r>
      <w:r w:rsidR="00206D82">
        <w:t xml:space="preserve">. </w:t>
      </w:r>
    </w:p>
    <w:p w14:paraId="733EEDDA" w14:textId="77777777" w:rsidR="00434AE4" w:rsidRDefault="00EF15ED" w:rsidP="00AF0697">
      <w:pPr>
        <w:pStyle w:val="SubmissionNormal"/>
      </w:pPr>
      <w:r>
        <w:t>The Com</w:t>
      </w:r>
      <w:r w:rsidR="00556419">
        <w:t>mission</w:t>
      </w:r>
      <w:r>
        <w:t xml:space="preserve"> holds concerns about </w:t>
      </w:r>
      <w:r w:rsidR="00AB01DC">
        <w:t xml:space="preserve">the proposal for Tier 2 and Tier 3 to sit outside the National Income Support System and the Job Seeker Compliance Framework. </w:t>
      </w:r>
      <w:r w:rsidR="000C5D8A">
        <w:t xml:space="preserve">As set out </w:t>
      </w:r>
      <w:r w:rsidR="00A225AF">
        <w:t>above in section 4, providers have already expressed</w:t>
      </w:r>
      <w:r w:rsidR="00990803">
        <w:t xml:space="preserve"> concern over</w:t>
      </w:r>
      <w:r w:rsidR="00A225AF">
        <w:t xml:space="preserve"> the heavy administrative burden under the current </w:t>
      </w:r>
      <w:r w:rsidR="00990803">
        <w:t xml:space="preserve">CDP and </w:t>
      </w:r>
      <w:r w:rsidR="00A225AF">
        <w:t>that this has decreased the amount of time providers can spend providing genuine c</w:t>
      </w:r>
      <w:r w:rsidR="003A41A6">
        <w:t xml:space="preserve">ase management to participants. </w:t>
      </w:r>
    </w:p>
    <w:p w14:paraId="49A9AEA4" w14:textId="324A9B92" w:rsidR="00365682" w:rsidRDefault="006D10A1" w:rsidP="00AF0697">
      <w:pPr>
        <w:pStyle w:val="SubmissionNormal"/>
      </w:pPr>
      <w:r>
        <w:t>Option 1 does not explain how the new model</w:t>
      </w:r>
      <w:r w:rsidR="0001725D">
        <w:t>,</w:t>
      </w:r>
      <w:r>
        <w:t xml:space="preserve"> </w:t>
      </w:r>
      <w:r w:rsidR="0001725D">
        <w:t xml:space="preserve">which would increase providers responsibilities, </w:t>
      </w:r>
      <w:r>
        <w:t xml:space="preserve">would manage the already high administrative burden </w:t>
      </w:r>
      <w:r w:rsidR="004E235A">
        <w:t>on</w:t>
      </w:r>
      <w:r>
        <w:t xml:space="preserve"> providers, whilst also ensuring that the </w:t>
      </w:r>
      <w:r w:rsidR="00E120F9">
        <w:t xml:space="preserve">quality of the </w:t>
      </w:r>
      <w:r>
        <w:t>assistance and services provided to</w:t>
      </w:r>
      <w:r w:rsidR="004E235A">
        <w:t xml:space="preserve"> CDP</w:t>
      </w:r>
      <w:r>
        <w:t xml:space="preserve"> participants </w:t>
      </w:r>
      <w:r w:rsidR="00E120F9">
        <w:t>is</w:t>
      </w:r>
      <w:r>
        <w:t xml:space="preserve"> not compromised. </w:t>
      </w:r>
    </w:p>
    <w:p w14:paraId="126EE049" w14:textId="33F5DDFA" w:rsidR="00727093" w:rsidRDefault="00346986" w:rsidP="00AF0697">
      <w:pPr>
        <w:pStyle w:val="SubmissionNormal"/>
      </w:pPr>
      <w:r>
        <w:t xml:space="preserve">Although </w:t>
      </w:r>
      <w:r w:rsidR="006D15B9">
        <w:t>social security scheme</w:t>
      </w:r>
      <w:r w:rsidR="00EC6485">
        <w:t>s</w:t>
      </w:r>
      <w:r w:rsidR="006D15B9">
        <w:t xml:space="preserve"> can be operated or controlled by third parties, the Government retains </w:t>
      </w:r>
      <w:r w:rsidR="009E70CD">
        <w:t>‘</w:t>
      </w:r>
      <w:r w:rsidR="006D15B9" w:rsidRPr="006D15B9">
        <w:t xml:space="preserve">the responsibility of administering the national social security system and ensuring that private actors do not compromise equal, adequate, affordable, </w:t>
      </w:r>
      <w:r w:rsidR="00EC6485">
        <w:t>and accessible social security</w:t>
      </w:r>
      <w:r w:rsidR="009E70CD">
        <w:t>’</w:t>
      </w:r>
      <w:r w:rsidR="005F084D">
        <w:t>.</w:t>
      </w:r>
      <w:r w:rsidR="00556419">
        <w:rPr>
          <w:rStyle w:val="EndnoteReference"/>
        </w:rPr>
        <w:endnoteReference w:id="56"/>
      </w:r>
      <w:r w:rsidR="005F084D">
        <w:t xml:space="preserve"> This </w:t>
      </w:r>
      <w:r w:rsidR="004243B1">
        <w:t xml:space="preserve">is a specific legal obligation </w:t>
      </w:r>
      <w:r w:rsidR="005F084D">
        <w:t>that exists by virtue of the obligation to protect in relation to the right to social security under ICESCR.</w:t>
      </w:r>
      <w:r w:rsidR="007D4BF6">
        <w:rPr>
          <w:rStyle w:val="EndnoteReference"/>
        </w:rPr>
        <w:endnoteReference w:id="57"/>
      </w:r>
      <w:r w:rsidR="00365682">
        <w:t xml:space="preserve"> </w:t>
      </w:r>
      <w:r w:rsidR="00932036">
        <w:t>There is also a need to avoid discriminatory restrictions on social security both in law and in fact.</w:t>
      </w:r>
      <w:r w:rsidR="00932036">
        <w:rPr>
          <w:rStyle w:val="EndnoteReference"/>
        </w:rPr>
        <w:endnoteReference w:id="58"/>
      </w:r>
      <w:r w:rsidR="00932036">
        <w:t xml:space="preserve"> </w:t>
      </w:r>
    </w:p>
    <w:p w14:paraId="13DFBE62" w14:textId="0A84599F" w:rsidR="00932036" w:rsidRDefault="00932036" w:rsidP="00AF0697">
      <w:pPr>
        <w:pStyle w:val="SubmissionNormal"/>
      </w:pPr>
      <w:r>
        <w:t xml:space="preserve">The Commission is concerned that the practical impact of increasing the responsibilities of providers may lead to arbitrary or inconsistent </w:t>
      </w:r>
      <w:r w:rsidR="00F7696E">
        <w:t>decision-making</w:t>
      </w:r>
      <w:r>
        <w:t xml:space="preserve"> or assessments, such as where different penalties are applied for identical conduct, and the quality of service to </w:t>
      </w:r>
      <w:r w:rsidR="00044FCB">
        <w:t>job seekers</w:t>
      </w:r>
      <w:r>
        <w:t xml:space="preserve"> declines</w:t>
      </w:r>
      <w:r w:rsidRPr="00DD342F">
        <w:t xml:space="preserve"> </w:t>
      </w:r>
      <w:r>
        <w:t xml:space="preserve">as a matter of fact. </w:t>
      </w:r>
    </w:p>
    <w:p w14:paraId="2D4EB637" w14:textId="4A7AB680" w:rsidR="0031561E" w:rsidRDefault="0031561E" w:rsidP="0031561E">
      <w:pPr>
        <w:pStyle w:val="SubmissionNormal"/>
      </w:pPr>
      <w:r>
        <w:t>As set out</w:t>
      </w:r>
      <w:r w:rsidR="00DD64D6">
        <w:t xml:space="preserve"> in section 4</w:t>
      </w:r>
      <w:r>
        <w:t xml:space="preserve"> above, the </w:t>
      </w:r>
      <w:r w:rsidRPr="00E17D71">
        <w:t>disproportionate application of penalties to Aboriginal an</w:t>
      </w:r>
      <w:r>
        <w:t xml:space="preserve">d Torres Strait Islander peoples </w:t>
      </w:r>
      <w:r w:rsidRPr="00E17D71">
        <w:t>under</w:t>
      </w:r>
      <w:r w:rsidR="00305747">
        <w:t xml:space="preserve"> the</w:t>
      </w:r>
      <w:r w:rsidRPr="00E17D71">
        <w:t xml:space="preserve"> CDP</w:t>
      </w:r>
      <w:r>
        <w:t xml:space="preserve"> may</w:t>
      </w:r>
      <w:r w:rsidR="000E12E2">
        <w:t xml:space="preserve"> </w:t>
      </w:r>
      <w:r>
        <w:t>limit their</w:t>
      </w:r>
      <w:r w:rsidRPr="00E17D71">
        <w:t xml:space="preserve"> right</w:t>
      </w:r>
      <w:r w:rsidR="000E12E2">
        <w:t>s</w:t>
      </w:r>
      <w:r w:rsidRPr="00E17D71">
        <w:t xml:space="preserve"> to equality and to social security</w:t>
      </w:r>
      <w:r>
        <w:t xml:space="preserve">. It is a punitive system, which has </w:t>
      </w:r>
      <w:r>
        <w:lastRenderedPageBreak/>
        <w:t>reportedly led to declining food sales in remote stores, an increase in rental arrears, and an increase in the rate and extent of poverty for individuals, their families and communities.</w:t>
      </w:r>
      <w:r>
        <w:rPr>
          <w:rStyle w:val="EndnoteReference"/>
        </w:rPr>
        <w:endnoteReference w:id="59"/>
      </w:r>
      <w:r>
        <w:t xml:space="preserve"> Option 1 does not provide information on how the new model plans to address these issues, in particular how providers would manage compliance for tiers 2 and 3.   </w:t>
      </w:r>
    </w:p>
    <w:p w14:paraId="36A21403" w14:textId="6AED4DC9" w:rsidR="005D4E2F" w:rsidRDefault="00B20828" w:rsidP="00891819">
      <w:pPr>
        <w:pStyle w:val="SubmissionNormal"/>
      </w:pPr>
      <w:r>
        <w:t>One of the key features of the APO</w:t>
      </w:r>
      <w:r w:rsidR="00C80A95">
        <w:t xml:space="preserve"> </w:t>
      </w:r>
      <w:r>
        <w:t>NT proposal was the need for people to work on projects and services that strengthen the economic, social and cultural life of communities.</w:t>
      </w:r>
      <w:r>
        <w:rPr>
          <w:rStyle w:val="EndnoteReference"/>
        </w:rPr>
        <w:endnoteReference w:id="60"/>
      </w:r>
      <w:r>
        <w:t xml:space="preserve"> </w:t>
      </w:r>
      <w:r w:rsidR="00AD3644">
        <w:t xml:space="preserve">The </w:t>
      </w:r>
      <w:r w:rsidR="00D762D6">
        <w:t xml:space="preserve">CDP has limited the recognition of cultural </w:t>
      </w:r>
      <w:r w:rsidR="0075459C">
        <w:t>business</w:t>
      </w:r>
      <w:r w:rsidR="00D762D6">
        <w:t xml:space="preserve"> as a legitimate activity under mutual obligation requirements. Under </w:t>
      </w:r>
      <w:r w:rsidR="008C0CAB">
        <w:t xml:space="preserve">the </w:t>
      </w:r>
      <w:r w:rsidR="00D762D6">
        <w:t xml:space="preserve">CDEP, the distinction between cultural and other activities was more flexible; it was up to </w:t>
      </w:r>
      <w:r w:rsidR="009D05EE">
        <w:t>I</w:t>
      </w:r>
      <w:r w:rsidR="00D762D6">
        <w:t>ndigenous community organisation</w:t>
      </w:r>
      <w:r w:rsidR="002748E1">
        <w:t>s</w:t>
      </w:r>
      <w:r w:rsidR="00D762D6">
        <w:t xml:space="preserve"> to decide what was a legitimate work activity. </w:t>
      </w:r>
    </w:p>
    <w:p w14:paraId="17A592A8" w14:textId="77777777" w:rsidR="00E87188" w:rsidRDefault="00D762D6" w:rsidP="00891819">
      <w:pPr>
        <w:pStyle w:val="SubmissionNormal"/>
      </w:pPr>
      <w:r>
        <w:t xml:space="preserve">A similar approach should be applied to the </w:t>
      </w:r>
      <w:r w:rsidR="00A02204">
        <w:t>new</w:t>
      </w:r>
      <w:r>
        <w:t xml:space="preserve"> CDP</w:t>
      </w:r>
      <w:r w:rsidR="00A02204">
        <w:t xml:space="preserve"> model</w:t>
      </w:r>
      <w:r w:rsidR="00CF651B">
        <w:t xml:space="preserve"> so that </w:t>
      </w:r>
      <w:r>
        <w:t xml:space="preserve">CDP participants </w:t>
      </w:r>
      <w:r w:rsidR="00CF651B">
        <w:t xml:space="preserve">are able to choose activities that </w:t>
      </w:r>
      <w:r>
        <w:t xml:space="preserve">involve </w:t>
      </w:r>
      <w:r w:rsidR="00CF651B">
        <w:t xml:space="preserve">the </w:t>
      </w:r>
      <w:r>
        <w:t>practicing and strengthening</w:t>
      </w:r>
      <w:r w:rsidR="00CF651B">
        <w:t xml:space="preserve"> of</w:t>
      </w:r>
      <w:r>
        <w:t xml:space="preserve"> their</w:t>
      </w:r>
      <w:r w:rsidR="0089468D">
        <w:t xml:space="preserve"> </w:t>
      </w:r>
      <w:r w:rsidR="009D05EE">
        <w:t>I</w:t>
      </w:r>
      <w:r w:rsidR="0089468D">
        <w:t>ndigenous</w:t>
      </w:r>
      <w:r>
        <w:t xml:space="preserve"> culture. For example, land and sea management of traditional country.</w:t>
      </w:r>
      <w:r w:rsidR="00891819">
        <w:t xml:space="preserve"> Jobs that are linked to cultural outcomes and utilise traditional knowledge and customs deliver a significant social return. </w:t>
      </w:r>
    </w:p>
    <w:p w14:paraId="5C65F2D9" w14:textId="3FEC532E" w:rsidR="00891819" w:rsidRDefault="00891819" w:rsidP="00891819">
      <w:pPr>
        <w:pStyle w:val="SubmissionNormal"/>
      </w:pPr>
      <w:r>
        <w:t xml:space="preserve">In February 2016, Social Ventures Australia, commissioned by the Department of Prime Minister and Cabinet, conducted a cost-benefit analysis on investment in </w:t>
      </w:r>
      <w:r w:rsidR="009D05EE">
        <w:t>I</w:t>
      </w:r>
      <w:r>
        <w:t xml:space="preserve">ndigenous protected areas and the </w:t>
      </w:r>
      <w:r w:rsidR="009D05EE">
        <w:t>I</w:t>
      </w:r>
      <w:r>
        <w:t xml:space="preserve">ndigenous ranger </w:t>
      </w:r>
      <w:r w:rsidR="008E31DD">
        <w:t>programme</w:t>
      </w:r>
      <w:r>
        <w:t>. It found that that</w:t>
      </w:r>
      <w:r w:rsidR="004F0B1A">
        <w:t>,</w:t>
      </w:r>
      <w:r>
        <w:t xml:space="preserve"> between the 2009 and 2015 financial years, an investment of $35.2m from</w:t>
      </w:r>
      <w:r w:rsidR="004F0B1A">
        <w:t xml:space="preserve"> the G</w:t>
      </w:r>
      <w:r>
        <w:t>overnment and third parties generated $96.5m worth of social, economic, cultural and environmental outcomes.</w:t>
      </w:r>
      <w:r w:rsidR="004F0B1A">
        <w:rPr>
          <w:rStyle w:val="EndnoteReference"/>
        </w:rPr>
        <w:endnoteReference w:id="61"/>
      </w:r>
    </w:p>
    <w:p w14:paraId="16AA5F56" w14:textId="202A70FF" w:rsidR="007D4269" w:rsidRDefault="008617DB" w:rsidP="00D762D6">
      <w:pPr>
        <w:pStyle w:val="SubmissionNormal"/>
      </w:pPr>
      <w:r>
        <w:t xml:space="preserve">Although Option 1 </w:t>
      </w:r>
      <w:r w:rsidR="002528A9">
        <w:t>refers to</w:t>
      </w:r>
      <w:r>
        <w:t xml:space="preserve"> the need for greater community control, it does not explicitly state that employment should be linked to cultural outcomes as determined at the community level </w:t>
      </w:r>
      <w:r>
        <w:rPr>
          <w:rStyle w:val="EndnoteReference"/>
        </w:rPr>
        <w:endnoteReference w:id="62"/>
      </w:r>
      <w:r>
        <w:t xml:space="preserve"> or through social enterprises as set out in the APO NT proposal.</w:t>
      </w:r>
      <w:r>
        <w:rPr>
          <w:rStyle w:val="EndnoteReference"/>
        </w:rPr>
        <w:endnoteReference w:id="63"/>
      </w:r>
      <w:r>
        <w:t xml:space="preserve"> </w:t>
      </w:r>
      <w:r w:rsidR="007D4269">
        <w:t xml:space="preserve">As noted above, it is critical that the new CDP model achieves cultural outcomes that meet the needs and aspirations of Aboriginal and Torres Strait Islander peoples, </w:t>
      </w:r>
      <w:r w:rsidR="00DA66F1">
        <w:t>as well as</w:t>
      </w:r>
      <w:r w:rsidR="007D4269">
        <w:t xml:space="preserve"> social and economic outcomes. </w:t>
      </w:r>
    </w:p>
    <w:p w14:paraId="79CF97E1" w14:textId="1B711C05" w:rsidR="00D762D6" w:rsidRDefault="00755ED1" w:rsidP="00D762D6">
      <w:pPr>
        <w:pStyle w:val="SubmissionNormal"/>
      </w:pPr>
      <w:r>
        <w:t>Similarly, the</w:t>
      </w:r>
      <w:r w:rsidR="00D762D6">
        <w:t xml:space="preserve"> </w:t>
      </w:r>
      <w:r w:rsidR="00E524A4">
        <w:t xml:space="preserve">new </w:t>
      </w:r>
      <w:r w:rsidR="007D6EF6">
        <w:t xml:space="preserve">CDP </w:t>
      </w:r>
      <w:r w:rsidR="001509BE">
        <w:t>model</w:t>
      </w:r>
      <w:r w:rsidR="00D762D6">
        <w:t xml:space="preserve"> </w:t>
      </w:r>
      <w:r w:rsidR="007E0935">
        <w:t>should</w:t>
      </w:r>
      <w:r w:rsidR="00D762D6">
        <w:t xml:space="preserve"> also be more flexible </w:t>
      </w:r>
      <w:r w:rsidR="006C5478">
        <w:t>in relation to</w:t>
      </w:r>
      <w:r w:rsidR="00D762D6">
        <w:t xml:space="preserve"> allowing ‘leave’ for cultural and/or funeral </w:t>
      </w:r>
      <w:r w:rsidR="00F74654">
        <w:t>reasons</w:t>
      </w:r>
      <w:r w:rsidR="00D762D6">
        <w:t xml:space="preserve">. </w:t>
      </w:r>
      <w:r w:rsidR="004546D3">
        <w:t>Under the current CDP, p</w:t>
      </w:r>
      <w:r w:rsidR="00D762D6">
        <w:t>roviders are abl</w:t>
      </w:r>
      <w:r w:rsidR="00F04B9D">
        <w:t>e to grant up to 4 weeks leave. H</w:t>
      </w:r>
      <w:r w:rsidR="00D762D6">
        <w:t>owever</w:t>
      </w:r>
      <w:r w:rsidR="00F04B9D">
        <w:t>,</w:t>
      </w:r>
      <w:r w:rsidR="00D762D6">
        <w:t xml:space="preserve"> there is a financial disincentive attached to this as a provider loses Work for the Dole payments when a participant is formally e</w:t>
      </w:r>
      <w:r w:rsidR="003C5315">
        <w:t xml:space="preserve">xempted from any period by DHS. </w:t>
      </w:r>
    </w:p>
    <w:p w14:paraId="43850114" w14:textId="77777777" w:rsidR="005D4E2F" w:rsidRDefault="0031561E" w:rsidP="002C5BEF">
      <w:pPr>
        <w:pStyle w:val="SubmissionNormal"/>
      </w:pPr>
      <w:r>
        <w:t>In addition</w:t>
      </w:r>
      <w:r w:rsidR="00992E85">
        <w:t xml:space="preserve"> t</w:t>
      </w:r>
      <w:r>
        <w:t xml:space="preserve">o cultural </w:t>
      </w:r>
      <w:r w:rsidR="00B97ABD">
        <w:t>outcomes</w:t>
      </w:r>
      <w:r>
        <w:t>, Option 1</w:t>
      </w:r>
      <w:r w:rsidR="00CB5E18">
        <w:t xml:space="preserve"> </w:t>
      </w:r>
      <w:r w:rsidR="004715E1">
        <w:t xml:space="preserve">does not adequately </w:t>
      </w:r>
      <w:r w:rsidR="00B45A81">
        <w:t xml:space="preserve">address </w:t>
      </w:r>
      <w:r w:rsidR="004715E1">
        <w:t>how the model will deal with a number of the</w:t>
      </w:r>
      <w:r w:rsidR="00A92063">
        <w:t xml:space="preserve"> remaining</w:t>
      </w:r>
      <w:r w:rsidR="004715E1">
        <w:t xml:space="preserve"> issues raised in section</w:t>
      </w:r>
      <w:r w:rsidR="00B97ABD">
        <w:t xml:space="preserve"> 4</w:t>
      </w:r>
      <w:r w:rsidR="0052003E">
        <w:t xml:space="preserve"> </w:t>
      </w:r>
      <w:r w:rsidR="004133CD">
        <w:t>above</w:t>
      </w:r>
      <w:r w:rsidR="00B97ABD">
        <w:t xml:space="preserve">, in particular: </w:t>
      </w:r>
      <w:r w:rsidR="004715E1">
        <w:t xml:space="preserve">the creation of new jobs; education and training; genuine case management; persons with disabilities; and youth.  The APO NT </w:t>
      </w:r>
      <w:r w:rsidR="00605F66">
        <w:t xml:space="preserve">proposal </w:t>
      </w:r>
      <w:r w:rsidR="00F4605F">
        <w:t>includes a</w:t>
      </w:r>
      <w:r w:rsidR="00605F66">
        <w:t xml:space="preserve"> number of elements </w:t>
      </w:r>
      <w:r w:rsidR="00F4605F">
        <w:t>that could provide effective, sustainable and culturally appropriate responses to these issues. For example: Remote Job Centres; the Remote Jobs Investment Fund; capacity building, education and appropriate training; social enterprises; youth-specific measures, including the Remote Youth Project; and high-quality, long-term case management.</w:t>
      </w:r>
      <w:r w:rsidR="00FC5003">
        <w:t xml:space="preserve"> </w:t>
      </w:r>
    </w:p>
    <w:p w14:paraId="24BD5D4E" w14:textId="491B9DE4" w:rsidR="009F4F31" w:rsidRDefault="00FC5003" w:rsidP="002C5BEF">
      <w:pPr>
        <w:pStyle w:val="SubmissionNormal"/>
      </w:pPr>
      <w:r>
        <w:lastRenderedPageBreak/>
        <w:t>Significantly, O</w:t>
      </w:r>
      <w:r w:rsidR="00F31451">
        <w:t>ption 1</w:t>
      </w:r>
      <w:r w:rsidR="002E7D4D">
        <w:t xml:space="preserve"> </w:t>
      </w:r>
      <w:r w:rsidR="00F31451">
        <w:t xml:space="preserve">also </w:t>
      </w:r>
      <w:r w:rsidR="002E7D4D">
        <w:t xml:space="preserve">does not include the major institutional arrangements included in the APO NT proposal, in particular the national oversight body that would have </w:t>
      </w:r>
      <w:r w:rsidR="0035228A">
        <w:t>substantial</w:t>
      </w:r>
      <w:r w:rsidR="00F31451">
        <w:t xml:space="preserve"> representation from remote </w:t>
      </w:r>
      <w:r w:rsidR="009E33BA">
        <w:t>I</w:t>
      </w:r>
      <w:r w:rsidR="00F31451">
        <w:t xml:space="preserve">ndigenous community groups. </w:t>
      </w:r>
      <w:r>
        <w:t xml:space="preserve">This proposal </w:t>
      </w:r>
      <w:r w:rsidR="00B123B1">
        <w:t>has the potential to ensure that the new</w:t>
      </w:r>
      <w:r w:rsidR="001C0B47">
        <w:t xml:space="preserve"> CDP </w:t>
      </w:r>
      <w:r w:rsidR="00B123B1">
        <w:t>model is consistent the right to self-</w:t>
      </w:r>
      <w:r w:rsidR="00902995">
        <w:t>determination</w:t>
      </w:r>
      <w:r w:rsidR="00851DC0">
        <w:t xml:space="preserve"> as set out in the Declaration, and is underpinned by Aboriginal community control.</w:t>
      </w:r>
    </w:p>
    <w:p w14:paraId="103E12B6" w14:textId="1157F597" w:rsidR="00257439" w:rsidRPr="00393791" w:rsidRDefault="004C7DAE" w:rsidP="00257439">
      <w:pPr>
        <w:pStyle w:val="Heading1"/>
        <w:numPr>
          <w:ilvl w:val="1"/>
          <w:numId w:val="16"/>
        </w:numPr>
        <w:rPr>
          <w:i/>
        </w:rPr>
      </w:pPr>
      <w:bookmarkStart w:id="27" w:name="_Toc505951162"/>
      <w:r>
        <w:rPr>
          <w:i/>
        </w:rPr>
        <w:t xml:space="preserve">Option 2: </w:t>
      </w:r>
      <w:r w:rsidR="00257439" w:rsidRPr="00393791">
        <w:rPr>
          <w:i/>
        </w:rPr>
        <w:t>CDP Reform Bill 2015 – ‘CDP 2’</w:t>
      </w:r>
      <w:bookmarkEnd w:id="27"/>
      <w:r w:rsidR="00257439" w:rsidRPr="00393791">
        <w:rPr>
          <w:i/>
        </w:rPr>
        <w:t xml:space="preserve"> </w:t>
      </w:r>
    </w:p>
    <w:p w14:paraId="6051D659" w14:textId="714CB3FC" w:rsidR="00134293" w:rsidRDefault="007C6654" w:rsidP="003B1BC4">
      <w:pPr>
        <w:pStyle w:val="SubmissionNormal"/>
      </w:pPr>
      <w:r>
        <w:t xml:space="preserve">On 5 February </w:t>
      </w:r>
      <w:r w:rsidR="00654B03">
        <w:t>2016,</w:t>
      </w:r>
      <w:r>
        <w:t xml:space="preserve"> </w:t>
      </w:r>
      <w:r w:rsidR="00CA32D6">
        <w:t>t</w:t>
      </w:r>
      <w:r w:rsidR="00134293">
        <w:t>he Commission made a submission to the Senate inquiry into Social Security Legislation Amendment (Community Development Program) Bill 2015.</w:t>
      </w:r>
      <w:r w:rsidR="005A1153">
        <w:rPr>
          <w:rStyle w:val="EndnoteReference"/>
        </w:rPr>
        <w:endnoteReference w:id="64"/>
      </w:r>
      <w:r w:rsidR="00134293">
        <w:t xml:space="preserve"> </w:t>
      </w:r>
      <w:r w:rsidR="00134293" w:rsidRPr="0035035A">
        <w:t xml:space="preserve">The Commission </w:t>
      </w:r>
      <w:r w:rsidR="008E097A">
        <w:t>refers to</w:t>
      </w:r>
      <w:r w:rsidR="00134293" w:rsidRPr="0035035A">
        <w:t xml:space="preserve"> </w:t>
      </w:r>
      <w:r w:rsidR="00134293">
        <w:t>this</w:t>
      </w:r>
      <w:r w:rsidR="00134293" w:rsidRPr="0035035A">
        <w:t xml:space="preserve"> submission</w:t>
      </w:r>
      <w:r w:rsidR="008E097A">
        <w:t xml:space="preserve"> for its reasoning as to why it does not support </w:t>
      </w:r>
      <w:r w:rsidR="008D3AD0">
        <w:t>O</w:t>
      </w:r>
      <w:r w:rsidR="00134293">
        <w:t>ption</w:t>
      </w:r>
      <w:r w:rsidR="0076293F">
        <w:t xml:space="preserve"> 2</w:t>
      </w:r>
      <w:r w:rsidR="00134293">
        <w:t xml:space="preserve"> </w:t>
      </w:r>
      <w:r w:rsidR="0076293F">
        <w:t xml:space="preserve">in the </w:t>
      </w:r>
      <w:r w:rsidR="004B14E5">
        <w:t xml:space="preserve">Discussion </w:t>
      </w:r>
      <w:r w:rsidR="002C7E17">
        <w:t xml:space="preserve">Paper </w:t>
      </w:r>
      <w:r w:rsidR="00C95CB1">
        <w:t>–</w:t>
      </w:r>
      <w:r w:rsidR="0076293F">
        <w:t xml:space="preserve"> CDP2</w:t>
      </w:r>
      <w:r w:rsidR="00125236">
        <w:t xml:space="preserve">. </w:t>
      </w:r>
    </w:p>
    <w:p w14:paraId="392A683F" w14:textId="042C7DD6" w:rsidR="00604ECB" w:rsidRDefault="00604ECB" w:rsidP="00B128C4">
      <w:pPr>
        <w:pStyle w:val="SubmissionNormal"/>
      </w:pPr>
      <w:r>
        <w:t>In particular, the Commissi</w:t>
      </w:r>
      <w:r w:rsidR="00F05F61">
        <w:t xml:space="preserve">on was concerned about how the </w:t>
      </w:r>
      <w:r w:rsidR="00F03F1B">
        <w:t>B</w:t>
      </w:r>
      <w:r>
        <w:t xml:space="preserve">ill </w:t>
      </w:r>
      <w:r w:rsidR="00434D8F">
        <w:t>was not consistent with</w:t>
      </w:r>
      <w:r>
        <w:t xml:space="preserve"> </w:t>
      </w:r>
      <w:r w:rsidRPr="00604ECB">
        <w:t>the right to equality and non-discrimination in article 26 of the ICCPR, article 2 of the ICESCR and article 5 of the ICERD, and the right to social security in article 9 of the ICESCR</w:t>
      </w:r>
      <w:r w:rsidR="00460710">
        <w:t>.</w:t>
      </w:r>
      <w:r w:rsidR="0077596F">
        <w:rPr>
          <w:rStyle w:val="EndnoteReference"/>
        </w:rPr>
        <w:endnoteReference w:id="65"/>
      </w:r>
      <w:r w:rsidR="00460710">
        <w:t xml:space="preserve"> </w:t>
      </w:r>
      <w:r w:rsidR="00434D8F">
        <w:t>The Commission also noted that it held concerns that the Bill breached the RDA, in particular indirect discrimination under section 9 and the right to equality before the law under section 10.</w:t>
      </w:r>
      <w:r w:rsidR="0077596F">
        <w:rPr>
          <w:rStyle w:val="EndnoteReference"/>
        </w:rPr>
        <w:endnoteReference w:id="66"/>
      </w:r>
      <w:r w:rsidR="00434D8F">
        <w:t xml:space="preserve"> </w:t>
      </w:r>
    </w:p>
    <w:p w14:paraId="7485DC1D" w14:textId="7C377289" w:rsidR="00E60A99" w:rsidRDefault="00E60A99" w:rsidP="00E60A99">
      <w:pPr>
        <w:pStyle w:val="SubmissionNormal"/>
      </w:pPr>
      <w:r>
        <w:t>The Parliamentary Joint Committee on Human Rights, in its t</w:t>
      </w:r>
      <w:r w:rsidRPr="00E60A99">
        <w:t>hirty-third report of the 44th Parliament</w:t>
      </w:r>
      <w:r>
        <w:t xml:space="preserve">, </w:t>
      </w:r>
      <w:r w:rsidR="00F56254">
        <w:t xml:space="preserve">also raised a number of concerns about the compatibility of the </w:t>
      </w:r>
      <w:r w:rsidR="00F05F61">
        <w:t>CDP Reform Bill 2015</w:t>
      </w:r>
      <w:r w:rsidR="00F56254">
        <w:t xml:space="preserve"> with human rights. In particular, it </w:t>
      </w:r>
      <w:r>
        <w:t xml:space="preserve">stated that, </w:t>
      </w:r>
      <w:r w:rsidR="001D3714">
        <w:t>‘</w:t>
      </w:r>
      <w:r>
        <w:t xml:space="preserve">the </w:t>
      </w:r>
      <w:r w:rsidR="001D3714">
        <w:t>B</w:t>
      </w:r>
      <w:r>
        <w:t xml:space="preserve">ill engages </w:t>
      </w:r>
      <w:r w:rsidR="005B5894">
        <w:t>and may limit the right to social security and the right to an adequate standard of living, and the right to eq</w:t>
      </w:r>
      <w:r w:rsidR="001D3714">
        <w:t>uality  and non-discrimination.’</w:t>
      </w:r>
      <w:r w:rsidR="005B5894">
        <w:rPr>
          <w:rStyle w:val="EndnoteReference"/>
        </w:rPr>
        <w:endnoteReference w:id="67"/>
      </w:r>
      <w:r w:rsidR="00441833">
        <w:t xml:space="preserve"> This li</w:t>
      </w:r>
      <w:r w:rsidR="001D3714">
        <w:t>mitation was the result of the B</w:t>
      </w:r>
      <w:r w:rsidR="00441833">
        <w:t xml:space="preserve">ill enabling the creation of a different system of obligations and penalty arrangements for remote job seekers. </w:t>
      </w:r>
    </w:p>
    <w:p w14:paraId="03F0FC24" w14:textId="72FDAEF3" w:rsidR="00A5223F" w:rsidRPr="00A5223F" w:rsidRDefault="007A0C04" w:rsidP="00E60A99">
      <w:pPr>
        <w:pStyle w:val="SubmissionNormal"/>
      </w:pPr>
      <w:r>
        <w:t>Altho</w:t>
      </w:r>
      <w:r w:rsidR="00546836">
        <w:t>ugh the Government has taken in</w:t>
      </w:r>
      <w:r>
        <w:t xml:space="preserve">to account some feedback that it received on this option in 2015, </w:t>
      </w:r>
      <w:r w:rsidR="002C0222">
        <w:t>the</w:t>
      </w:r>
      <w:r w:rsidR="00A56A7E">
        <w:t>se changes are not sufficient and the</w:t>
      </w:r>
      <w:r w:rsidR="002C0222">
        <w:t xml:space="preserve"> Commission continues to hold concerns about the</w:t>
      </w:r>
      <w:r w:rsidR="00A56A7E">
        <w:t xml:space="preserve"> key design features of CDP2. The Commission </w:t>
      </w:r>
      <w:r w:rsidR="009B499C">
        <w:t xml:space="preserve">is </w:t>
      </w:r>
      <w:r w:rsidR="00A56A7E">
        <w:t xml:space="preserve">therefore </w:t>
      </w:r>
      <w:r w:rsidR="009B499C">
        <w:t>of the view</w:t>
      </w:r>
      <w:r w:rsidR="002C0222">
        <w:t xml:space="preserve"> that Option 2 should</w:t>
      </w:r>
      <w:r w:rsidR="00A56A7E">
        <w:t xml:space="preserve"> not</w:t>
      </w:r>
      <w:r w:rsidR="002C0222">
        <w:t xml:space="preserve"> </w:t>
      </w:r>
      <w:r w:rsidR="00447A31">
        <w:t xml:space="preserve">replace the existing CDP. </w:t>
      </w:r>
    </w:p>
    <w:p w14:paraId="04D14CD2" w14:textId="4FF50138" w:rsidR="00257439" w:rsidRPr="00393791" w:rsidRDefault="00226F65" w:rsidP="00257439">
      <w:pPr>
        <w:pStyle w:val="Heading1"/>
        <w:numPr>
          <w:ilvl w:val="1"/>
          <w:numId w:val="16"/>
        </w:numPr>
        <w:rPr>
          <w:i/>
        </w:rPr>
      </w:pPr>
      <w:bookmarkStart w:id="28" w:name="_Toc505951163"/>
      <w:r>
        <w:rPr>
          <w:i/>
        </w:rPr>
        <w:t xml:space="preserve">Option 3: </w:t>
      </w:r>
      <w:r w:rsidR="00257439" w:rsidRPr="00393791">
        <w:rPr>
          <w:i/>
        </w:rPr>
        <w:t>Current CDP Model with programme improvements</w:t>
      </w:r>
      <w:bookmarkEnd w:id="28"/>
    </w:p>
    <w:p w14:paraId="58F3C024" w14:textId="374B3755" w:rsidR="009041E8" w:rsidRDefault="00FE0BE6" w:rsidP="002F2A52">
      <w:pPr>
        <w:pStyle w:val="SubmissionNormal"/>
      </w:pPr>
      <w:r>
        <w:t>As noted above, i</w:t>
      </w:r>
      <w:r w:rsidR="009041E8">
        <w:t xml:space="preserve">t is unlikely that </w:t>
      </w:r>
      <w:r w:rsidR="00134284">
        <w:t>the issues surrounding the current CDP</w:t>
      </w:r>
      <w:r w:rsidR="009041E8">
        <w:t xml:space="preserve"> </w:t>
      </w:r>
      <w:r w:rsidR="00D57441">
        <w:t>can</w:t>
      </w:r>
      <w:r w:rsidR="009041E8">
        <w:t xml:space="preserve"> be </w:t>
      </w:r>
      <w:r w:rsidR="00134284">
        <w:t xml:space="preserve">adequately </w:t>
      </w:r>
      <w:r w:rsidR="009041E8">
        <w:t>addressed through short-term incremental improvements</w:t>
      </w:r>
      <w:r w:rsidR="00CC087D">
        <w:t xml:space="preserve"> </w:t>
      </w:r>
      <w:r w:rsidR="00D57441">
        <w:t xml:space="preserve">to the current CDP model, </w:t>
      </w:r>
      <w:r w:rsidR="009041E8">
        <w:t xml:space="preserve">as proposed in </w:t>
      </w:r>
      <w:r w:rsidR="00134284">
        <w:t>O</w:t>
      </w:r>
      <w:r>
        <w:t>ption 3</w:t>
      </w:r>
      <w:r w:rsidR="00134284">
        <w:t xml:space="preserve"> of the </w:t>
      </w:r>
      <w:r w:rsidR="004B14E5">
        <w:t xml:space="preserve">Discussion </w:t>
      </w:r>
      <w:r w:rsidR="00CC087D">
        <w:t>Paper.</w:t>
      </w:r>
      <w:r w:rsidR="00CC087D">
        <w:rPr>
          <w:rStyle w:val="EndnoteReference"/>
        </w:rPr>
        <w:endnoteReference w:id="68"/>
      </w:r>
      <w:r w:rsidR="00CC087D">
        <w:t xml:space="preserve">  </w:t>
      </w:r>
    </w:p>
    <w:p w14:paraId="4A3E4E43" w14:textId="77777777" w:rsidR="00434AE4" w:rsidRDefault="007812EB" w:rsidP="002F2A52">
      <w:pPr>
        <w:pStyle w:val="SubmissionNormal"/>
      </w:pPr>
      <w:r>
        <w:t xml:space="preserve">Option 3 </w:t>
      </w:r>
      <w:r w:rsidR="00226F65">
        <w:t xml:space="preserve">proposes retaining the current CDP, but incorporating a number of short-term improvements. </w:t>
      </w:r>
      <w:r w:rsidR="00631314">
        <w:t>T</w:t>
      </w:r>
      <w:r w:rsidR="00226F65">
        <w:t>he Commission welcomes the Government’s acknowledgement of</w:t>
      </w:r>
      <w:r w:rsidR="00AD69BC">
        <w:t xml:space="preserve"> </w:t>
      </w:r>
      <w:r w:rsidR="00631314">
        <w:t>feedback from remote communities and providers, which raised a number of concerns such as the 25 hour a week</w:t>
      </w:r>
      <w:r w:rsidR="00587711">
        <w:t xml:space="preserve"> ‘Work for the Dole’</w:t>
      </w:r>
      <w:r w:rsidR="00631314">
        <w:t xml:space="preserve"> obligations. </w:t>
      </w:r>
    </w:p>
    <w:p w14:paraId="42C3E6F6" w14:textId="7B13089E" w:rsidR="002F2A52" w:rsidRDefault="00FE1429" w:rsidP="002F2A52">
      <w:pPr>
        <w:pStyle w:val="SubmissionNormal"/>
      </w:pPr>
      <w:r>
        <w:lastRenderedPageBreak/>
        <w:t xml:space="preserve">The Commission also welcomes some of the improvements, such as expanding the definition of activities and reviewing the provider payment model. </w:t>
      </w:r>
      <w:r w:rsidR="00631314">
        <w:t xml:space="preserve">However, the Commission </w:t>
      </w:r>
      <w:r w:rsidR="007521B7">
        <w:t>is of the view</w:t>
      </w:r>
      <w:r w:rsidR="00631314">
        <w:t xml:space="preserve"> that the</w:t>
      </w:r>
      <w:r>
        <w:t>se</w:t>
      </w:r>
      <w:r w:rsidR="00631314">
        <w:t xml:space="preserve"> improvements are insufficient to address the core issues </w:t>
      </w:r>
      <w:r w:rsidR="0009420C">
        <w:t>around the</w:t>
      </w:r>
      <w:r>
        <w:t xml:space="preserve"> current CDP model. For example</w:t>
      </w:r>
      <w:r w:rsidR="00665A91">
        <w:t>,</w:t>
      </w:r>
      <w:r w:rsidR="00753C28">
        <w:t xml:space="preserve"> the improvements do not mention</w:t>
      </w:r>
      <w:r w:rsidR="00A54A81">
        <w:t xml:space="preserve"> a number of important areas for reform, including</w:t>
      </w:r>
      <w:r w:rsidR="00753C28">
        <w:t xml:space="preserve">: </w:t>
      </w:r>
      <w:r w:rsidR="007417D2">
        <w:t>work paid at</w:t>
      </w:r>
      <w:r w:rsidR="00E77F3F">
        <w:t xml:space="preserve"> the award wage</w:t>
      </w:r>
      <w:r w:rsidR="00753C28">
        <w:t>;</w:t>
      </w:r>
      <w:r w:rsidR="00C35D31">
        <w:t xml:space="preserve"> </w:t>
      </w:r>
      <w:r w:rsidR="001C730A">
        <w:t>specific strategi</w:t>
      </w:r>
      <w:r w:rsidR="00753C28">
        <w:t xml:space="preserve">es to target youth; </w:t>
      </w:r>
      <w:r w:rsidR="004F0DF1">
        <w:t>addressing the penalties regime</w:t>
      </w:r>
      <w:r w:rsidR="00753C28">
        <w:t>; education and training;</w:t>
      </w:r>
      <w:r w:rsidR="00A079E6">
        <w:t xml:space="preserve"> and</w:t>
      </w:r>
      <w:r w:rsidR="00753C28">
        <w:t xml:space="preserve"> </w:t>
      </w:r>
      <w:r w:rsidR="000C420F">
        <w:t>the heavy adm</w:t>
      </w:r>
      <w:r w:rsidR="00A079E6">
        <w:t>inistrative burden on providers</w:t>
      </w:r>
      <w:r w:rsidR="009F57E6">
        <w:t xml:space="preserve">. </w:t>
      </w:r>
      <w:r w:rsidR="004F0DF1">
        <w:t xml:space="preserve"> </w:t>
      </w:r>
    </w:p>
    <w:p w14:paraId="7875D052" w14:textId="0AF9F839" w:rsidR="00606CC4" w:rsidRDefault="00606CC4" w:rsidP="007F21CA">
      <w:pPr>
        <w:pStyle w:val="Heading1"/>
        <w:numPr>
          <w:ilvl w:val="0"/>
          <w:numId w:val="16"/>
        </w:numPr>
      </w:pPr>
      <w:bookmarkStart w:id="29" w:name="_Toc505951164"/>
      <w:r>
        <w:t xml:space="preserve">Other issues to consider </w:t>
      </w:r>
      <w:r w:rsidR="004108E5">
        <w:t>in the development of a new CDP model</w:t>
      </w:r>
      <w:bookmarkEnd w:id="29"/>
    </w:p>
    <w:p w14:paraId="0B96B79D" w14:textId="1B932EC4" w:rsidR="007F21CA" w:rsidRPr="00606CC4" w:rsidRDefault="007F21CA" w:rsidP="00606CC4">
      <w:pPr>
        <w:pStyle w:val="Heading1"/>
        <w:numPr>
          <w:ilvl w:val="1"/>
          <w:numId w:val="16"/>
        </w:numPr>
        <w:rPr>
          <w:i/>
        </w:rPr>
      </w:pPr>
      <w:bookmarkStart w:id="30" w:name="_Toc505951165"/>
      <w:r w:rsidRPr="00606CC4">
        <w:rPr>
          <w:i/>
        </w:rPr>
        <w:t>Cashless debit card</w:t>
      </w:r>
      <w:bookmarkEnd w:id="30"/>
      <w:r w:rsidRPr="00606CC4">
        <w:rPr>
          <w:i/>
        </w:rPr>
        <w:t xml:space="preserve"> </w:t>
      </w:r>
    </w:p>
    <w:p w14:paraId="59D253B7" w14:textId="7462E67A" w:rsidR="00006409" w:rsidRDefault="00A9247B" w:rsidP="00AF0697">
      <w:pPr>
        <w:pStyle w:val="SubmissionNormal"/>
      </w:pPr>
      <w:r>
        <w:t>In its report on the inquiry in</w:t>
      </w:r>
      <w:r w:rsidR="00006409">
        <w:t xml:space="preserve">to the </w:t>
      </w:r>
      <w:r w:rsidR="00B322B3">
        <w:t>‘</w:t>
      </w:r>
      <w:r w:rsidR="00006409" w:rsidRPr="00AE5BEC">
        <w:t>Appropriateness and effectiveness of the objectives, design, implementation and evaluation of the Community Development Program (CDP)</w:t>
      </w:r>
      <w:r w:rsidR="00B322B3">
        <w:t>’</w:t>
      </w:r>
      <w:r w:rsidR="00006409">
        <w:t xml:space="preserve">, the </w:t>
      </w:r>
      <w:r w:rsidR="00006409" w:rsidRPr="00006409">
        <w:t>Senate Finance and Public Administration References Committee</w:t>
      </w:r>
      <w:r w:rsidR="00206B3E">
        <w:t xml:space="preserve"> raised concerns about the relationship between the cashless debit card scheme, which has been trialled in Western Australia</w:t>
      </w:r>
      <w:r w:rsidR="000761F3">
        <w:t xml:space="preserve"> and South Australia</w:t>
      </w:r>
      <w:r w:rsidR="00206B3E">
        <w:t xml:space="preserve">, and reforms to the current CDP. In particular, the Committee stated that </w:t>
      </w:r>
      <w:r w:rsidR="00494FFA">
        <w:t>it was concerned to hear that, ‘</w:t>
      </w:r>
      <w:r w:rsidR="00006409" w:rsidRPr="00006409">
        <w:t xml:space="preserve">the government is considering applying the cashless welfare card to CDP participants once </w:t>
      </w:r>
      <w:r w:rsidR="003F76BE">
        <w:t xml:space="preserve">the new </w:t>
      </w:r>
      <w:r w:rsidR="008E31DD">
        <w:t>programme</w:t>
      </w:r>
      <w:r w:rsidR="003F76BE">
        <w:t xml:space="preserve"> is implemented</w:t>
      </w:r>
      <w:r w:rsidR="00494FFA">
        <w:t>’</w:t>
      </w:r>
      <w:r w:rsidR="003F76BE">
        <w:t xml:space="preserve">, and it </w:t>
      </w:r>
      <w:r w:rsidR="00006409" w:rsidRPr="00006409">
        <w:t xml:space="preserve">considers that </w:t>
      </w:r>
      <w:r w:rsidR="001B4901">
        <w:t>‘</w:t>
      </w:r>
      <w:r w:rsidR="00006409" w:rsidRPr="00006409">
        <w:t>a wage-based approach is incompatible with the u</w:t>
      </w:r>
      <w:r w:rsidR="001B4901">
        <w:t>se of the cashless welfare card’.</w:t>
      </w:r>
      <w:r w:rsidR="00F97439">
        <w:rPr>
          <w:rStyle w:val="EndnoteReference"/>
        </w:rPr>
        <w:endnoteReference w:id="69"/>
      </w:r>
      <w:r w:rsidR="000761F3">
        <w:t xml:space="preserve"> The </w:t>
      </w:r>
      <w:r w:rsidR="00C332AC">
        <w:t>Co</w:t>
      </w:r>
      <w:r w:rsidR="008B3324">
        <w:t xml:space="preserve">mmission shares these concerns of the </w:t>
      </w:r>
      <w:r w:rsidR="008B3324" w:rsidRPr="00006409">
        <w:t>Senate Finance and Public Administration References Committee</w:t>
      </w:r>
      <w:r w:rsidR="008B3324">
        <w:t>.</w:t>
      </w:r>
    </w:p>
    <w:p w14:paraId="19B46E24" w14:textId="0304B3C4" w:rsidR="008579FA" w:rsidRDefault="007325E0" w:rsidP="00CB7342">
      <w:pPr>
        <w:pStyle w:val="SubmissionNormal"/>
      </w:pPr>
      <w:r>
        <w:t xml:space="preserve">The Commission has made a number of </w:t>
      </w:r>
      <w:r w:rsidR="009B38F1">
        <w:t xml:space="preserve">recent </w:t>
      </w:r>
      <w:r>
        <w:t>statements and submissions in relation to the</w:t>
      </w:r>
      <w:r w:rsidR="00553DFD">
        <w:t xml:space="preserve"> trial of the</w:t>
      </w:r>
      <w:r>
        <w:t xml:space="preserve"> cashless debit card</w:t>
      </w:r>
      <w:r w:rsidR="008579FA">
        <w:t xml:space="preserve"> </w:t>
      </w:r>
      <w:r w:rsidR="008579FA" w:rsidRPr="008579FA">
        <w:t>(also known as the Healthy Welfare Card)</w:t>
      </w:r>
      <w:r w:rsidR="00553DFD">
        <w:t>.</w:t>
      </w:r>
      <w:r w:rsidR="00FA5A97">
        <w:rPr>
          <w:rStyle w:val="EndnoteReference"/>
        </w:rPr>
        <w:endnoteReference w:id="70"/>
      </w:r>
      <w:r w:rsidR="004B47F4">
        <w:t xml:space="preserve"> </w:t>
      </w:r>
      <w:r w:rsidR="00A13715">
        <w:t>In these statements and submissions</w:t>
      </w:r>
      <w:r w:rsidR="00D8345F">
        <w:t xml:space="preserve"> the</w:t>
      </w:r>
      <w:r w:rsidR="00553DFD">
        <w:t xml:space="preserve"> Commission has </w:t>
      </w:r>
      <w:r w:rsidR="008579FA">
        <w:t>raised concerns about the non-voluntary nature of the card, and</w:t>
      </w:r>
      <w:r w:rsidR="00CB7342">
        <w:t xml:space="preserve"> its</w:t>
      </w:r>
      <w:r w:rsidR="008579FA">
        <w:t xml:space="preserve"> </w:t>
      </w:r>
      <w:r w:rsidR="00CB7342">
        <w:t>compatibility</w:t>
      </w:r>
      <w:r w:rsidR="00CB7342" w:rsidRPr="00CB7342">
        <w:t xml:space="preserve"> with human rights standards</w:t>
      </w:r>
      <w:r w:rsidR="008579FA" w:rsidRPr="008579FA">
        <w:t>, specifically the right to social security, the right to a private life and the right to equality and non-discrimination.</w:t>
      </w:r>
      <w:r w:rsidR="00DA3164">
        <w:t xml:space="preserve"> </w:t>
      </w:r>
    </w:p>
    <w:p w14:paraId="27063024" w14:textId="306944DA" w:rsidR="007578D0" w:rsidRDefault="00703F34" w:rsidP="00430743">
      <w:pPr>
        <w:pStyle w:val="SubmissionNormal"/>
      </w:pPr>
      <w:r>
        <w:t xml:space="preserve">Most recently, the </w:t>
      </w:r>
      <w:r w:rsidR="007578D0" w:rsidRPr="007578D0">
        <w:t xml:space="preserve">Commission </w:t>
      </w:r>
      <w:r>
        <w:t xml:space="preserve">has </w:t>
      </w:r>
      <w:r w:rsidR="007578D0" w:rsidRPr="007578D0">
        <w:t>noted that income manage</w:t>
      </w:r>
      <w:r w:rsidR="006E0217">
        <w:t xml:space="preserve">ment measures </w:t>
      </w:r>
      <w:r w:rsidR="00C678E2">
        <w:t>that</w:t>
      </w:r>
      <w:r w:rsidR="00961BE2">
        <w:t xml:space="preserve"> </w:t>
      </w:r>
      <w:r w:rsidR="000A6476">
        <w:t xml:space="preserve">are </w:t>
      </w:r>
      <w:r w:rsidR="007578D0" w:rsidRPr="007578D0">
        <w:t>not</w:t>
      </w:r>
      <w:r w:rsidR="007578D0">
        <w:t xml:space="preserve"> community-driven</w:t>
      </w:r>
      <w:r w:rsidR="00C678E2">
        <w:t xml:space="preserve"> </w:t>
      </w:r>
      <w:r w:rsidR="00C558FB">
        <w:t>and</w:t>
      </w:r>
      <w:r w:rsidR="00C678E2">
        <w:t xml:space="preserve"> </w:t>
      </w:r>
      <w:r w:rsidR="000A6476">
        <w:t xml:space="preserve">are </w:t>
      </w:r>
      <w:r w:rsidR="00C678E2">
        <w:t>in</w:t>
      </w:r>
      <w:r w:rsidR="002537FB">
        <w:t>consistent with the principle of free, prior and informed consent, lack efficacy</w:t>
      </w:r>
      <w:r w:rsidR="00C678E2">
        <w:t xml:space="preserve"> and </w:t>
      </w:r>
      <w:r w:rsidR="00083422">
        <w:t>are unlikely to</w:t>
      </w:r>
      <w:r w:rsidR="00C678E2">
        <w:t xml:space="preserve"> </w:t>
      </w:r>
      <w:r w:rsidR="00B461BD">
        <w:t>alleviate</w:t>
      </w:r>
      <w:r w:rsidR="00C678E2">
        <w:t xml:space="preserve"> the key harms that </w:t>
      </w:r>
      <w:r w:rsidR="000A6476">
        <w:t xml:space="preserve">the </w:t>
      </w:r>
      <w:r w:rsidR="000A6476" w:rsidRPr="007578D0">
        <w:t>income manage</w:t>
      </w:r>
      <w:r w:rsidR="000A6476">
        <w:t>ment measures</w:t>
      </w:r>
      <w:r w:rsidR="00C678E2">
        <w:t xml:space="preserve"> are designed to address</w:t>
      </w:r>
      <w:r w:rsidR="002537FB">
        <w:t xml:space="preserve">. Conversely, </w:t>
      </w:r>
      <w:r w:rsidR="00083422">
        <w:t xml:space="preserve">multipronged </w:t>
      </w:r>
      <w:r w:rsidR="00BC4E06">
        <w:t>solutions, which</w:t>
      </w:r>
      <w:r w:rsidR="00C558FB">
        <w:t xml:space="preserve"> </w:t>
      </w:r>
      <w:r w:rsidR="007578D0">
        <w:t>are</w:t>
      </w:r>
      <w:r w:rsidR="007578D0" w:rsidRPr="007578D0">
        <w:t xml:space="preserve"> aimed at </w:t>
      </w:r>
      <w:r w:rsidR="00C678E2">
        <w:t xml:space="preserve">changing behaviour </w:t>
      </w:r>
      <w:r w:rsidR="00083422">
        <w:t>by</w:t>
      </w:r>
      <w:r w:rsidR="00C678E2">
        <w:t xml:space="preserve"> improving the overall wellbeing of adults and children,</w:t>
      </w:r>
      <w:r w:rsidR="007578D0" w:rsidRPr="007578D0">
        <w:t xml:space="preserve"> will be more effective</w:t>
      </w:r>
      <w:r w:rsidR="00C678E2">
        <w:t xml:space="preserve"> than </w:t>
      </w:r>
      <w:r w:rsidR="00C678E2" w:rsidRPr="007578D0">
        <w:t>limiting access to and use of income</w:t>
      </w:r>
      <w:r w:rsidR="00C678E2">
        <w:t>.</w:t>
      </w:r>
      <w:r w:rsidR="004B47F4">
        <w:rPr>
          <w:rStyle w:val="EndnoteReference"/>
        </w:rPr>
        <w:endnoteReference w:id="71"/>
      </w:r>
    </w:p>
    <w:p w14:paraId="1AAA9397" w14:textId="7DFC91A8" w:rsidR="00423306" w:rsidRPr="007F21CA" w:rsidRDefault="009A7CED" w:rsidP="00D67127">
      <w:pPr>
        <w:pStyle w:val="SubmissionNormal"/>
      </w:pPr>
      <w:r>
        <w:t>Concerns have also been raised about the effectiveness of the cashless debit card in the trial sites of Ceduna and the East Kimberley,</w:t>
      </w:r>
      <w:r w:rsidR="00AB6A74">
        <w:rPr>
          <w:rStyle w:val="EndnoteReference"/>
        </w:rPr>
        <w:endnoteReference w:id="72"/>
      </w:r>
      <w:r>
        <w:t xml:space="preserve"> and the reliability of the evaluation report on the trial sites that was conducted by </w:t>
      </w:r>
      <w:proofErr w:type="spellStart"/>
      <w:r>
        <w:t>Orima</w:t>
      </w:r>
      <w:proofErr w:type="spellEnd"/>
      <w:r>
        <w:t xml:space="preserve"> Research in 2017.</w:t>
      </w:r>
      <w:r>
        <w:rPr>
          <w:rStyle w:val="EndnoteReference"/>
        </w:rPr>
        <w:endnoteReference w:id="73"/>
      </w:r>
      <w:r>
        <w:t xml:space="preserve"> </w:t>
      </w:r>
    </w:p>
    <w:p w14:paraId="2FCB409A" w14:textId="5217C4F8" w:rsidR="002A1F6A" w:rsidRPr="00606CC4" w:rsidRDefault="002A1F6A" w:rsidP="00606CC4">
      <w:pPr>
        <w:pStyle w:val="Heading1"/>
        <w:numPr>
          <w:ilvl w:val="1"/>
          <w:numId w:val="16"/>
        </w:numPr>
        <w:rPr>
          <w:i/>
        </w:rPr>
      </w:pPr>
      <w:bookmarkStart w:id="31" w:name="_Toc505951166"/>
      <w:r w:rsidRPr="00606CC4">
        <w:rPr>
          <w:i/>
        </w:rPr>
        <w:lastRenderedPageBreak/>
        <w:t>Transition to a new model</w:t>
      </w:r>
      <w:bookmarkEnd w:id="31"/>
      <w:r w:rsidRPr="00606CC4">
        <w:rPr>
          <w:i/>
        </w:rPr>
        <w:t xml:space="preserve"> </w:t>
      </w:r>
    </w:p>
    <w:p w14:paraId="41206673" w14:textId="2238052F" w:rsidR="00D84F1C" w:rsidRDefault="00D84F1C" w:rsidP="004D20D6">
      <w:pPr>
        <w:pStyle w:val="SubmissionNormal"/>
      </w:pPr>
      <w:r>
        <w:t xml:space="preserve">The transition to a new model </w:t>
      </w:r>
      <w:r w:rsidR="00E5180C">
        <w:t>should</w:t>
      </w:r>
      <w:r>
        <w:t xml:space="preserve"> be carefully </w:t>
      </w:r>
      <w:r w:rsidR="002C4FA8">
        <w:t>developed</w:t>
      </w:r>
      <w:r>
        <w:t xml:space="preserve"> and implemented through a phased process. This will help to ensure that it is consistent with self-determination, free, prior and informed consent, </w:t>
      </w:r>
      <w:r w:rsidR="005C06B1">
        <w:t xml:space="preserve">and </w:t>
      </w:r>
      <w:r>
        <w:t xml:space="preserve">the needs and aspirations of Aboriginal and Torres Strait Islander peoples. </w:t>
      </w:r>
      <w:r w:rsidR="004D20D6">
        <w:t xml:space="preserve">The transition should also be conscious of the impact of this reform on providers. A carefully planned and implemented transition will therefore help to ensure that providers and other stakeholders have adequate time to prepare for and implement the new CDP model. </w:t>
      </w:r>
      <w:r>
        <w:t xml:space="preserve">In order to achieve this, a two-step process should be applied. </w:t>
      </w:r>
    </w:p>
    <w:p w14:paraId="13073201" w14:textId="6B159ED1" w:rsidR="00D84F1C" w:rsidRDefault="00D84F1C" w:rsidP="00D84F1C">
      <w:pPr>
        <w:pStyle w:val="SubmissionNormal"/>
      </w:pPr>
      <w:r>
        <w:t xml:space="preserve">Firstly, immediate </w:t>
      </w:r>
      <w:r w:rsidR="008E31DD">
        <w:t>programme</w:t>
      </w:r>
      <w:r>
        <w:t xml:space="preserve"> changes should be made to reduce the negative and harmful impacts </w:t>
      </w:r>
      <w:r w:rsidR="00FF577E">
        <w:t xml:space="preserve">that are </w:t>
      </w:r>
      <w:r>
        <w:t xml:space="preserve">being inflicted on Aboriginal and Torres Strait Islander peoples by the </w:t>
      </w:r>
      <w:r w:rsidR="005D0C88">
        <w:t xml:space="preserve">CDP </w:t>
      </w:r>
      <w:r>
        <w:t>compliance and penalty regime.</w:t>
      </w:r>
      <w:r>
        <w:rPr>
          <w:rStyle w:val="EndnoteReference"/>
        </w:rPr>
        <w:endnoteReference w:id="74"/>
      </w:r>
      <w:r>
        <w:t xml:space="preserve"> </w:t>
      </w:r>
      <w:r w:rsidR="0001046E">
        <w:t>These</w:t>
      </w:r>
      <w:r>
        <w:t xml:space="preserve"> changes may include: </w:t>
      </w:r>
    </w:p>
    <w:p w14:paraId="16161D3E" w14:textId="7CCEB43E" w:rsidR="00D84F1C" w:rsidRDefault="00656DF1" w:rsidP="00293BD3">
      <w:pPr>
        <w:pStyle w:val="SubmissionNormal"/>
        <w:numPr>
          <w:ilvl w:val="0"/>
          <w:numId w:val="21"/>
        </w:numPr>
      </w:pPr>
      <w:r>
        <w:t>r</w:t>
      </w:r>
      <w:r w:rsidR="00D84F1C">
        <w:t>educing the 25 hours week requirement so that it is consistent with the obligations of other income support partic</w:t>
      </w:r>
      <w:r>
        <w:t xml:space="preserve">ipants in non-remote locations, </w:t>
      </w:r>
      <w:r w:rsidR="00D84F1C">
        <w:t>and</w:t>
      </w:r>
    </w:p>
    <w:p w14:paraId="696C94EF" w14:textId="64419970" w:rsidR="00D84F1C" w:rsidRDefault="00656DF1" w:rsidP="00293BD3">
      <w:pPr>
        <w:pStyle w:val="SubmissionNormal"/>
        <w:numPr>
          <w:ilvl w:val="0"/>
          <w:numId w:val="21"/>
        </w:numPr>
      </w:pPr>
      <w:r>
        <w:t>r</w:t>
      </w:r>
      <w:r w:rsidR="00D84F1C">
        <w:t xml:space="preserve">emoving the financial disincentive for providers to exercise their discretion in cases of non-compliance with attendance requirements. </w:t>
      </w:r>
    </w:p>
    <w:p w14:paraId="059A849F" w14:textId="2F86EC14" w:rsidR="00D84F1C" w:rsidRDefault="00D84F1C" w:rsidP="00D84F1C">
      <w:pPr>
        <w:pStyle w:val="SubmissionNormal"/>
      </w:pPr>
      <w:r>
        <w:t xml:space="preserve">Secondly, </w:t>
      </w:r>
      <w:r w:rsidR="00DF7587">
        <w:t xml:space="preserve">it is critical that </w:t>
      </w:r>
      <w:r>
        <w:t xml:space="preserve">the new CDP model is developed based on </w:t>
      </w:r>
      <w:r w:rsidR="006E15ED">
        <w:t xml:space="preserve">meaningful </w:t>
      </w:r>
      <w:r>
        <w:t xml:space="preserve">consultation with Aboriginal and Torres Strait Islander peoples, </w:t>
      </w:r>
      <w:r w:rsidR="00A7708F">
        <w:t xml:space="preserve">their representatives and organisations, as well as providers </w:t>
      </w:r>
      <w:r>
        <w:t>and other stakeholders, followed by a gradual roll out of the new arrangements in order to avoid rushed delivery.</w:t>
      </w:r>
      <w:r w:rsidR="00A7708F">
        <w:t xml:space="preserve"> It is important that this consultation continues during the implementation phase of the new model as CDP is a complex area of policy and it is inevitable that adjustments will need to be made in order to achieve the best outcome for CDP participants. </w:t>
      </w:r>
    </w:p>
    <w:p w14:paraId="6964BCBB" w14:textId="760FEFFF" w:rsidR="00A16F84" w:rsidRDefault="00A16F84" w:rsidP="00A16F84">
      <w:pPr>
        <w:pStyle w:val="SubmissionNormal"/>
        <w:numPr>
          <w:ilvl w:val="0"/>
          <w:numId w:val="0"/>
        </w:numPr>
        <w:ind w:left="720" w:hanging="360"/>
      </w:pPr>
    </w:p>
    <w:p w14:paraId="19F0268D" w14:textId="693856D7" w:rsidR="000B7207" w:rsidRDefault="000B7207" w:rsidP="00A16F84">
      <w:pPr>
        <w:pStyle w:val="SubmissionNormal"/>
        <w:numPr>
          <w:ilvl w:val="0"/>
          <w:numId w:val="0"/>
        </w:numPr>
        <w:ind w:left="720" w:hanging="360"/>
      </w:pPr>
    </w:p>
    <w:p w14:paraId="3168545E" w14:textId="77777777" w:rsidR="00B22F6E" w:rsidRDefault="00B22F6E" w:rsidP="00A16F84">
      <w:pPr>
        <w:pStyle w:val="SubmissionNormal"/>
        <w:numPr>
          <w:ilvl w:val="0"/>
          <w:numId w:val="0"/>
        </w:numPr>
        <w:ind w:left="720" w:hanging="360"/>
      </w:pPr>
    </w:p>
    <w:p w14:paraId="6EF9B69D" w14:textId="2F6DB697" w:rsidR="00302A92" w:rsidRDefault="00302A92" w:rsidP="00A16F84">
      <w:pPr>
        <w:pStyle w:val="SubmissionNormal"/>
        <w:numPr>
          <w:ilvl w:val="0"/>
          <w:numId w:val="0"/>
        </w:numPr>
        <w:ind w:left="720" w:hanging="360"/>
      </w:pPr>
    </w:p>
    <w:p w14:paraId="1F0278ED" w14:textId="16D60965" w:rsidR="00302A92" w:rsidRDefault="00302A92" w:rsidP="00A16F84">
      <w:pPr>
        <w:pStyle w:val="SubmissionNormal"/>
        <w:numPr>
          <w:ilvl w:val="0"/>
          <w:numId w:val="0"/>
        </w:numPr>
        <w:ind w:left="720" w:hanging="360"/>
      </w:pPr>
    </w:p>
    <w:p w14:paraId="09C4D876" w14:textId="62875F19" w:rsidR="006E4F08" w:rsidRDefault="006E4F08" w:rsidP="00A16F84">
      <w:pPr>
        <w:pStyle w:val="SubmissionNormal"/>
        <w:numPr>
          <w:ilvl w:val="0"/>
          <w:numId w:val="0"/>
        </w:numPr>
        <w:ind w:left="720" w:hanging="360"/>
      </w:pPr>
    </w:p>
    <w:p w14:paraId="7E582B47" w14:textId="77777777" w:rsidR="006E4F08" w:rsidRDefault="006E4F08" w:rsidP="00A16F84">
      <w:pPr>
        <w:pStyle w:val="SubmissionNormal"/>
        <w:numPr>
          <w:ilvl w:val="0"/>
          <w:numId w:val="0"/>
        </w:numPr>
        <w:ind w:left="720" w:hanging="360"/>
      </w:pPr>
    </w:p>
    <w:p w14:paraId="29B55293" w14:textId="77777777" w:rsidR="00302A92" w:rsidRDefault="00302A92" w:rsidP="00A16F84">
      <w:pPr>
        <w:pStyle w:val="SubmissionNormal"/>
        <w:numPr>
          <w:ilvl w:val="0"/>
          <w:numId w:val="0"/>
        </w:numPr>
        <w:ind w:left="720" w:hanging="360"/>
      </w:pPr>
    </w:p>
    <w:sectPr w:rsidR="00302A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CC9D" w14:textId="77777777" w:rsidR="005F406F" w:rsidRDefault="005F406F" w:rsidP="00F14C6D">
      <w:r>
        <w:separator/>
      </w:r>
    </w:p>
  </w:endnote>
  <w:endnote w:type="continuationSeparator" w:id="0">
    <w:p w14:paraId="6E5BB285" w14:textId="77777777" w:rsidR="005F406F" w:rsidRDefault="005F406F" w:rsidP="00F14C6D">
      <w:r>
        <w:continuationSeparator/>
      </w:r>
    </w:p>
  </w:endnote>
  <w:endnote w:id="1">
    <w:p w14:paraId="159B69AB" w14:textId="77777777" w:rsidR="005F406F" w:rsidRPr="00A16B2D" w:rsidRDefault="005F406F" w:rsidP="000E241B">
      <w:pPr>
        <w:pStyle w:val="EndnoteText"/>
        <w:rPr>
          <w:rFonts w:cs="Arial"/>
        </w:rPr>
      </w:pPr>
      <w:r w:rsidRPr="00A16B2D">
        <w:rPr>
          <w:rStyle w:val="EndnoteReference"/>
          <w:rFonts w:cs="Arial"/>
        </w:rPr>
        <w:endnoteRef/>
      </w:r>
      <w:r w:rsidRPr="00A16B2D">
        <w:rPr>
          <w:rFonts w:cs="Arial"/>
        </w:rPr>
        <w:t xml:space="preserve"> The Commission is Australia’s national human rights institution with ‘A’ status accreditation, and </w:t>
      </w:r>
      <w:proofErr w:type="gramStart"/>
      <w:r w:rsidRPr="00A16B2D">
        <w:rPr>
          <w:rFonts w:cs="Arial"/>
        </w:rPr>
        <w:t>is established</w:t>
      </w:r>
      <w:proofErr w:type="gramEnd"/>
      <w:r w:rsidRPr="00A16B2D">
        <w:rPr>
          <w:rFonts w:cs="Arial"/>
        </w:rPr>
        <w:t xml:space="preserve"> by the Australian Human Rights Commission Act 1986 (</w:t>
      </w:r>
      <w:proofErr w:type="spellStart"/>
      <w:r w:rsidRPr="00A16B2D">
        <w:rPr>
          <w:rFonts w:cs="Arial"/>
        </w:rPr>
        <w:t>Cth</w:t>
      </w:r>
      <w:proofErr w:type="spellEnd"/>
      <w:r w:rsidRPr="00A16B2D">
        <w:rPr>
          <w:rFonts w:cs="Arial"/>
        </w:rPr>
        <w:t xml:space="preserve">). The Commission has responsibilities under the AHRC Act to examine the enjoyment and exercise of human rights by Aboriginal and Torres Strait Islander peoples. The Commission also has responsibilities to report on the effect of the Native Title Act on the exercise and enjoyment of human rights of Aboriginal people and Torres Strait Islanders. See s 209 of the </w:t>
      </w:r>
      <w:r w:rsidRPr="00A16B2D">
        <w:rPr>
          <w:rFonts w:cs="Arial"/>
          <w:i/>
        </w:rPr>
        <w:t>Native Title Act 1993</w:t>
      </w:r>
      <w:r w:rsidRPr="00A16B2D">
        <w:rPr>
          <w:rFonts w:cs="Arial"/>
        </w:rPr>
        <w:t xml:space="preserve"> (</w:t>
      </w:r>
      <w:proofErr w:type="spellStart"/>
      <w:r w:rsidRPr="00A16B2D">
        <w:rPr>
          <w:rFonts w:cs="Arial"/>
        </w:rPr>
        <w:t>Cth</w:t>
      </w:r>
      <w:proofErr w:type="spellEnd"/>
      <w:r w:rsidRPr="00A16B2D">
        <w:rPr>
          <w:rFonts w:cs="Arial"/>
        </w:rPr>
        <w:t>)</w:t>
      </w:r>
    </w:p>
  </w:endnote>
  <w:endnote w:id="2">
    <w:p w14:paraId="32ADEDF1" w14:textId="382E4AFE" w:rsidR="005F406F" w:rsidRDefault="005F406F">
      <w:pPr>
        <w:pStyle w:val="EndnoteText"/>
      </w:pPr>
      <w:r>
        <w:rPr>
          <w:rStyle w:val="EndnoteReference"/>
        </w:rPr>
        <w:endnoteRef/>
      </w:r>
      <w:r>
        <w:t xml:space="preserve"> </w:t>
      </w:r>
      <w:r w:rsidRPr="00A16B2D">
        <w:rPr>
          <w:rFonts w:cs="Arial"/>
        </w:rPr>
        <w:t xml:space="preserve">Lisa </w:t>
      </w:r>
      <w:proofErr w:type="spellStart"/>
      <w:r w:rsidRPr="00A16B2D">
        <w:rPr>
          <w:rFonts w:cs="Arial"/>
        </w:rPr>
        <w:t>Fow</w:t>
      </w:r>
      <w:r w:rsidR="009E70CD">
        <w:rPr>
          <w:rFonts w:cs="Arial"/>
        </w:rPr>
        <w:t>kes</w:t>
      </w:r>
      <w:proofErr w:type="spellEnd"/>
      <w:r w:rsidR="009E70CD">
        <w:rPr>
          <w:rFonts w:cs="Arial"/>
        </w:rPr>
        <w:t>, ‘B</w:t>
      </w:r>
      <w:r w:rsidRPr="00A16B2D">
        <w:rPr>
          <w:rFonts w:cs="Arial"/>
        </w:rPr>
        <w:t>ackground Note on CDP</w:t>
      </w:r>
      <w:r w:rsidR="009E70CD">
        <w:rPr>
          <w:rFonts w:cs="Arial"/>
        </w:rPr>
        <w:t>’</w:t>
      </w:r>
      <w:r w:rsidRPr="00A16B2D">
        <w:rPr>
          <w:rFonts w:cs="Arial"/>
        </w:rPr>
        <w:t xml:space="preserve">, the Centre for Aboriginal Economic Policy Research, Australian </w:t>
      </w:r>
      <w:r>
        <w:rPr>
          <w:rFonts w:cs="Arial"/>
        </w:rPr>
        <w:t>National University, April 2017, 1.</w:t>
      </w:r>
      <w:r w:rsidRPr="00A16B2D">
        <w:rPr>
          <w:rFonts w:cs="Arial"/>
        </w:rPr>
        <w:t xml:space="preserve"> At </w:t>
      </w:r>
      <w:hyperlink r:id="rId1" w:history="1">
        <w:r w:rsidRPr="00A16B2D">
          <w:rPr>
            <w:rStyle w:val="Hyperlink"/>
            <w:rFonts w:cs="Arial"/>
          </w:rPr>
          <w:t>https://www.clc.org.au/Remote-Employment-Program/CDP-Background-briefing-April-2017.docx</w:t>
        </w:r>
      </w:hyperlink>
      <w:r w:rsidRPr="00A16B2D">
        <w:rPr>
          <w:rFonts w:cs="Arial"/>
        </w:rPr>
        <w:t xml:space="preserve"> (viewed 25 January 2018)</w:t>
      </w:r>
      <w:r>
        <w:rPr>
          <w:rFonts w:cs="Arial"/>
        </w:rPr>
        <w:t>.</w:t>
      </w:r>
    </w:p>
  </w:endnote>
  <w:endnote w:id="3">
    <w:p w14:paraId="3F9FBFDB" w14:textId="77777777" w:rsidR="005F406F" w:rsidRPr="00A16B2D" w:rsidRDefault="005F406F" w:rsidP="00363CB9">
      <w:pPr>
        <w:pStyle w:val="EndnoteText"/>
        <w:rPr>
          <w:rFonts w:cs="Arial"/>
        </w:rPr>
      </w:pPr>
      <w:r w:rsidRPr="00A16B2D">
        <w:rPr>
          <w:rStyle w:val="EndnoteReference"/>
          <w:rFonts w:cs="Arial"/>
        </w:rPr>
        <w:endnoteRef/>
      </w:r>
      <w:r w:rsidRPr="00A16B2D">
        <w:rPr>
          <w:rFonts w:cs="Arial"/>
        </w:rPr>
        <w:t xml:space="preserv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(December 2017), 105. </w:t>
      </w:r>
    </w:p>
  </w:endnote>
  <w:endnote w:id="4">
    <w:p w14:paraId="55459BAF" w14:textId="77777777" w:rsidR="005F406F" w:rsidRPr="00A16B2D" w:rsidRDefault="005F406F" w:rsidP="004B14E5">
      <w:pPr>
        <w:pStyle w:val="EndnoteText"/>
        <w:rPr>
          <w:rFonts w:cs="Arial"/>
        </w:rPr>
      </w:pPr>
      <w:r w:rsidRPr="00A16B2D">
        <w:rPr>
          <w:rStyle w:val="EndnoteReference"/>
          <w:rFonts w:cs="Arial"/>
        </w:rPr>
        <w:endnoteRef/>
      </w:r>
      <w:r w:rsidRPr="00A16B2D">
        <w:rPr>
          <w:rFonts w:cs="Arial"/>
        </w:rPr>
        <w:t xml:space="preserve"> Victoria </w:t>
      </w:r>
      <w:proofErr w:type="spellStart"/>
      <w:r w:rsidRPr="00A16B2D">
        <w:rPr>
          <w:rFonts w:cs="Arial"/>
        </w:rPr>
        <w:t>Tauli-Corpuz</w:t>
      </w:r>
      <w:proofErr w:type="spellEnd"/>
      <w:r w:rsidRPr="00A16B2D">
        <w:rPr>
          <w:rFonts w:cs="Arial"/>
        </w:rPr>
        <w:t xml:space="preserve">, Special Rapporteur, </w:t>
      </w:r>
      <w:r w:rsidRPr="00A16B2D">
        <w:rPr>
          <w:rFonts w:cs="Arial"/>
          <w:i/>
        </w:rPr>
        <w:t>Report of the Special Rapporteur on the rights of indigenous peoples on her visit to Australia</w:t>
      </w:r>
      <w:r w:rsidRPr="00A16B2D">
        <w:rPr>
          <w:rFonts w:cs="Arial"/>
        </w:rPr>
        <w:t xml:space="preserve">, UN Doc A/HRC/36/46/Add.2 (8 August 2017) </w:t>
      </w:r>
    </w:p>
  </w:endnote>
  <w:endnote w:id="5">
    <w:p w14:paraId="607C16B3" w14:textId="3AA29B0A" w:rsidR="005F406F" w:rsidRPr="00A16B2D" w:rsidRDefault="005F406F" w:rsidP="00E735FF">
      <w:pPr>
        <w:pStyle w:val="EndnoteText"/>
        <w:rPr>
          <w:rFonts w:cs="Arial"/>
        </w:rPr>
      </w:pPr>
      <w:r w:rsidRPr="00A16B2D">
        <w:rPr>
          <w:rStyle w:val="EndnoteReference"/>
          <w:rFonts w:cs="Arial"/>
        </w:rPr>
        <w:endnoteRef/>
      </w:r>
      <w:r w:rsidRPr="00A16B2D">
        <w:rPr>
          <w:rFonts w:cs="Arial"/>
        </w:rPr>
        <w:t xml:space="preserve"> Dr Janet Hunt, Submission 10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14 December 2017.</w:t>
      </w:r>
    </w:p>
  </w:endnote>
  <w:endnote w:id="6">
    <w:p w14:paraId="659CD454" w14:textId="1371B965" w:rsidR="005F406F" w:rsidRDefault="005F406F" w:rsidP="00687296">
      <w:pPr>
        <w:pStyle w:val="EndnoteText"/>
      </w:pPr>
      <w:r>
        <w:rPr>
          <w:rStyle w:val="EndnoteReference"/>
        </w:rPr>
        <w:endnoteRef/>
      </w:r>
      <w:r>
        <w:t xml:space="preserve"> </w:t>
      </w:r>
      <w:r w:rsidRPr="00A16B2D">
        <w:rPr>
          <w:rFonts w:cs="Arial"/>
        </w:rPr>
        <w:t xml:space="preserve">United Nations Declaration on the Rights of Indigenous Peoples, GA Resolution 61/295, UN Doc A/61/L.67 (2007), art </w:t>
      </w:r>
      <w:r>
        <w:rPr>
          <w:rFonts w:cs="Arial"/>
        </w:rPr>
        <w:t>19.</w:t>
      </w:r>
    </w:p>
  </w:endnote>
  <w:endnote w:id="7">
    <w:p w14:paraId="1E20E1DC" w14:textId="580EE7BE" w:rsidR="005F406F" w:rsidRDefault="005F406F">
      <w:pPr>
        <w:pStyle w:val="EndnoteText"/>
      </w:pPr>
      <w:r>
        <w:rPr>
          <w:rStyle w:val="EndnoteReference"/>
        </w:rPr>
        <w:endnoteRef/>
      </w:r>
      <w:r>
        <w:t xml:space="preserve"> </w:t>
      </w:r>
      <w:r w:rsidRPr="00A16B2D">
        <w:rPr>
          <w:rFonts w:cs="Arial"/>
        </w:rPr>
        <w:t xml:space="preserve">United Nations Declaration on the Rights of Indigenous Peoples, GA Resolution 61/295, UN Doc A/61/L.67 (2007), art </w:t>
      </w:r>
      <w:r>
        <w:rPr>
          <w:rFonts w:cs="Arial"/>
        </w:rPr>
        <w:t>18.</w:t>
      </w:r>
    </w:p>
  </w:endnote>
  <w:endnote w:id="8">
    <w:p w14:paraId="37F5C350" w14:textId="77777777" w:rsidR="005F406F" w:rsidRPr="00A16B2D" w:rsidRDefault="005F406F" w:rsidP="00B91E31">
      <w:pPr>
        <w:pStyle w:val="EndnoteText"/>
        <w:rPr>
          <w:rFonts w:cs="Arial"/>
        </w:rPr>
      </w:pPr>
      <w:r w:rsidRPr="00A16B2D">
        <w:rPr>
          <w:rStyle w:val="EndnoteReference"/>
          <w:rFonts w:cs="Arial"/>
        </w:rPr>
        <w:endnoteRef/>
      </w:r>
      <w:r w:rsidRPr="00A16B2D">
        <w:rPr>
          <w:rFonts w:cs="Arial"/>
        </w:rPr>
        <w:t xml:space="preserve"> This approach is sourced from the Social Justice and Native Title Report 2015 where the former Aboriginal and Torres Strait Islander Social Justice Commissioner, Mick Gooda, set </w:t>
      </w:r>
      <w:proofErr w:type="gramStart"/>
      <w:r w:rsidRPr="00A16B2D">
        <w:rPr>
          <w:rFonts w:cs="Arial"/>
        </w:rPr>
        <w:t>out</w:t>
      </w:r>
      <w:r>
        <w:rPr>
          <w:rFonts w:cs="Arial"/>
        </w:rPr>
        <w:t xml:space="preserve"> a</w:t>
      </w:r>
      <w:proofErr w:type="gramEnd"/>
      <w:r>
        <w:rPr>
          <w:rFonts w:cs="Arial"/>
        </w:rPr>
        <w:t xml:space="preserve"> human rights </w:t>
      </w:r>
      <w:r w:rsidRPr="00A16B2D">
        <w:rPr>
          <w:rFonts w:cs="Arial"/>
        </w:rPr>
        <w:t xml:space="preserve">based approach to welfare reforms in the context of the introduction of the Work for the Dole scheme in remote communities. See: </w:t>
      </w:r>
      <w:r w:rsidRPr="00A16B2D">
        <w:rPr>
          <w:rFonts w:cs="Arial"/>
          <w:color w:val="000000" w:themeColor="text1"/>
        </w:rPr>
        <w:t xml:space="preserve">Australian Human Rights Commission, </w:t>
      </w:r>
      <w:r w:rsidRPr="00A16B2D">
        <w:rPr>
          <w:rFonts w:cs="Arial"/>
          <w:i/>
          <w:color w:val="000000" w:themeColor="text1"/>
        </w:rPr>
        <w:t>Social Justice and Native Title Report 2015</w:t>
      </w:r>
      <w:r w:rsidRPr="00A16B2D">
        <w:rPr>
          <w:rFonts w:cs="Arial"/>
          <w:color w:val="000000" w:themeColor="text1"/>
        </w:rPr>
        <w:t xml:space="preserve">, 51. At </w:t>
      </w:r>
      <w:hyperlink r:id="rId2" w:history="1">
        <w:r w:rsidRPr="00A16B2D">
          <w:rPr>
            <w:rStyle w:val="Hyperlink"/>
            <w:rFonts w:cs="Arial"/>
          </w:rPr>
          <w:t>https://www.humanrights.gov.au/our-work/aboriginal-and-torres-strait-islander-social-justice/publications/social-justice-and-nati-1</w:t>
        </w:r>
      </w:hyperlink>
      <w:r w:rsidRPr="00A16B2D">
        <w:rPr>
          <w:rFonts w:cs="Arial"/>
          <w:color w:val="000000" w:themeColor="text1"/>
        </w:rPr>
        <w:t xml:space="preserve"> (viewed 22 January 2018)</w:t>
      </w:r>
    </w:p>
  </w:endnote>
  <w:endnote w:id="9">
    <w:p w14:paraId="3A9345E6" w14:textId="377E0AC5" w:rsidR="005F406F" w:rsidRPr="00A16B2D" w:rsidRDefault="005F406F">
      <w:pPr>
        <w:pStyle w:val="EndnoteText"/>
        <w:rPr>
          <w:rFonts w:cs="Arial"/>
        </w:rPr>
      </w:pPr>
      <w:r w:rsidRPr="00A16B2D">
        <w:rPr>
          <w:rStyle w:val="EndnoteReference"/>
          <w:rFonts w:cs="Arial"/>
        </w:rPr>
        <w:endnoteRef/>
      </w:r>
      <w:r w:rsidRPr="00A16B2D">
        <w:rPr>
          <w:rFonts w:cs="Arial"/>
        </w:rPr>
        <w:t xml:space="preserve"> For a more detailed explanation of the relationship between the RDA and welfare initiatives, please refer to the Social Justice and Native Title Report 2015. See: </w:t>
      </w:r>
      <w:r w:rsidRPr="00A16B2D">
        <w:rPr>
          <w:rFonts w:cs="Arial"/>
          <w:color w:val="000000" w:themeColor="text1"/>
        </w:rPr>
        <w:t xml:space="preserve">Australian Human Rights Commission, </w:t>
      </w:r>
      <w:r w:rsidRPr="00A16B2D">
        <w:rPr>
          <w:rFonts w:cs="Arial"/>
          <w:i/>
          <w:color w:val="000000" w:themeColor="text1"/>
        </w:rPr>
        <w:t>Social Justice and Native Title Report 2015</w:t>
      </w:r>
      <w:r w:rsidRPr="00A16B2D">
        <w:rPr>
          <w:rFonts w:cs="Arial"/>
          <w:color w:val="000000" w:themeColor="text1"/>
        </w:rPr>
        <w:t xml:space="preserve">, 51. At </w:t>
      </w:r>
      <w:hyperlink r:id="rId3" w:history="1">
        <w:r w:rsidRPr="00A16B2D">
          <w:rPr>
            <w:rStyle w:val="Hyperlink"/>
            <w:rFonts w:cs="Arial"/>
          </w:rPr>
          <w:t>https://www.humanrights.gov.au/our-work/aboriginal-and-torres-strait-islander-social-justice/publications/social-justice-and-nati-1</w:t>
        </w:r>
      </w:hyperlink>
      <w:r w:rsidRPr="00A16B2D">
        <w:rPr>
          <w:rFonts w:cs="Arial"/>
          <w:color w:val="000000" w:themeColor="text1"/>
        </w:rPr>
        <w:t xml:space="preserve"> (viewed 22 January 2018)</w:t>
      </w:r>
      <w:r w:rsidRPr="00A16B2D">
        <w:rPr>
          <w:rFonts w:cs="Arial"/>
        </w:rPr>
        <w:t xml:space="preserve"> </w:t>
      </w:r>
    </w:p>
  </w:endnote>
  <w:endnote w:id="10">
    <w:p w14:paraId="5174C9F7" w14:textId="768F7933" w:rsidR="005F406F" w:rsidRPr="00A16B2D" w:rsidRDefault="005F406F">
      <w:pPr>
        <w:pStyle w:val="EndnoteText"/>
        <w:rPr>
          <w:rFonts w:cs="Arial"/>
        </w:rPr>
      </w:pPr>
      <w:r w:rsidRPr="00A16B2D">
        <w:rPr>
          <w:rStyle w:val="EndnoteReference"/>
          <w:rFonts w:cs="Arial"/>
        </w:rPr>
        <w:endnoteRef/>
      </w:r>
      <w:r w:rsidRPr="00A16B2D">
        <w:rPr>
          <w:rFonts w:cs="Arial"/>
        </w:rPr>
        <w:t xml:space="preserve"> </w:t>
      </w:r>
      <w:r w:rsidRPr="00A16B2D">
        <w:rPr>
          <w:rFonts w:cs="Arial"/>
          <w:i/>
        </w:rPr>
        <w:t>Racial Discrimination Act 1975</w:t>
      </w:r>
      <w:r w:rsidRPr="00A16B2D">
        <w:rPr>
          <w:rFonts w:cs="Arial"/>
        </w:rPr>
        <w:t xml:space="preserve"> (</w:t>
      </w:r>
      <w:proofErr w:type="spellStart"/>
      <w:r w:rsidRPr="00A16B2D">
        <w:rPr>
          <w:rFonts w:cs="Arial"/>
        </w:rPr>
        <w:t>Cth</w:t>
      </w:r>
      <w:proofErr w:type="spellEnd"/>
      <w:r w:rsidRPr="00A16B2D">
        <w:rPr>
          <w:rFonts w:cs="Arial"/>
        </w:rPr>
        <w:t>) s 10.</w:t>
      </w:r>
    </w:p>
  </w:endnote>
  <w:endnote w:id="11">
    <w:p w14:paraId="26EF34D1" w14:textId="45A336B6" w:rsidR="005F406F" w:rsidRPr="00A16B2D" w:rsidRDefault="005F406F">
      <w:pPr>
        <w:pStyle w:val="EndnoteText"/>
        <w:rPr>
          <w:rFonts w:cs="Arial"/>
        </w:rPr>
      </w:pPr>
      <w:r w:rsidRPr="00A16B2D">
        <w:rPr>
          <w:rStyle w:val="EndnoteReference"/>
          <w:rFonts w:cs="Arial"/>
        </w:rPr>
        <w:endnoteRef/>
      </w:r>
      <w:r w:rsidRPr="00A16B2D">
        <w:rPr>
          <w:rFonts w:cs="Arial"/>
        </w:rPr>
        <w:t xml:space="preserve"> </w:t>
      </w:r>
      <w:r w:rsidRPr="00A16B2D">
        <w:rPr>
          <w:rFonts w:cs="Arial"/>
          <w:i/>
        </w:rPr>
        <w:t>Racial Discrimination Act 1975</w:t>
      </w:r>
      <w:r w:rsidRPr="00A16B2D">
        <w:rPr>
          <w:rFonts w:cs="Arial"/>
        </w:rPr>
        <w:t xml:space="preserve"> (</w:t>
      </w:r>
      <w:proofErr w:type="spellStart"/>
      <w:r w:rsidRPr="00A16B2D">
        <w:rPr>
          <w:rFonts w:cs="Arial"/>
        </w:rPr>
        <w:t>Cth</w:t>
      </w:r>
      <w:proofErr w:type="spellEnd"/>
      <w:r w:rsidRPr="00A16B2D">
        <w:rPr>
          <w:rFonts w:cs="Arial"/>
        </w:rPr>
        <w:t>) s 9.</w:t>
      </w:r>
    </w:p>
  </w:endnote>
  <w:endnote w:id="12">
    <w:p w14:paraId="021DC7E0" w14:textId="7DFC302E" w:rsidR="005F406F" w:rsidRPr="00A16B2D" w:rsidRDefault="005F406F">
      <w:pPr>
        <w:pStyle w:val="EndnoteText"/>
        <w:rPr>
          <w:rFonts w:cs="Arial"/>
        </w:rPr>
      </w:pPr>
      <w:r w:rsidRPr="00A16B2D">
        <w:rPr>
          <w:rStyle w:val="EndnoteReference"/>
          <w:rFonts w:cs="Arial"/>
        </w:rPr>
        <w:endnoteRef/>
      </w:r>
      <w:r w:rsidRPr="00A16B2D">
        <w:rPr>
          <w:rFonts w:cs="Arial"/>
        </w:rPr>
        <w:t xml:space="preserve"> </w:t>
      </w:r>
      <w:r w:rsidRPr="00A16B2D">
        <w:rPr>
          <w:rFonts w:cs="Arial"/>
          <w:i/>
        </w:rPr>
        <w:t>Racial Discrimination Act 1975</w:t>
      </w:r>
      <w:r w:rsidRPr="00A16B2D">
        <w:rPr>
          <w:rFonts w:cs="Arial"/>
        </w:rPr>
        <w:t xml:space="preserve"> (</w:t>
      </w:r>
      <w:proofErr w:type="spellStart"/>
      <w:r w:rsidRPr="00A16B2D">
        <w:rPr>
          <w:rFonts w:cs="Arial"/>
        </w:rPr>
        <w:t>Cth</w:t>
      </w:r>
      <w:proofErr w:type="spellEnd"/>
      <w:r w:rsidRPr="00A16B2D">
        <w:rPr>
          <w:rFonts w:cs="Arial"/>
        </w:rPr>
        <w:t xml:space="preserve">) s 8. </w:t>
      </w:r>
    </w:p>
  </w:endnote>
  <w:endnote w:id="13">
    <w:p w14:paraId="14BD8F2D" w14:textId="1D1AA446" w:rsidR="005F406F" w:rsidRPr="00A16B2D" w:rsidRDefault="005F406F">
      <w:pPr>
        <w:pStyle w:val="EndnoteText"/>
        <w:rPr>
          <w:rFonts w:cs="Arial"/>
        </w:rPr>
      </w:pPr>
      <w:r w:rsidRPr="00A16B2D">
        <w:rPr>
          <w:rStyle w:val="EndnoteReference"/>
          <w:rFonts w:cs="Arial"/>
        </w:rPr>
        <w:endnoteRef/>
      </w:r>
      <w:r w:rsidRPr="00A16B2D">
        <w:rPr>
          <w:rFonts w:cs="Arial"/>
        </w:rPr>
        <w:t xml:space="preserve"> </w:t>
      </w:r>
      <w:r w:rsidRPr="00A16B2D">
        <w:rPr>
          <w:rFonts w:cs="Arial"/>
          <w:color w:val="000000" w:themeColor="text1"/>
        </w:rPr>
        <w:t xml:space="preserve">Australian Human Rights Commission, </w:t>
      </w:r>
      <w:r w:rsidRPr="00A16B2D">
        <w:rPr>
          <w:rFonts w:cs="Arial"/>
          <w:i/>
          <w:color w:val="000000" w:themeColor="text1"/>
        </w:rPr>
        <w:t>Social Justice and Native Title Report 2015</w:t>
      </w:r>
      <w:r w:rsidRPr="00A16B2D">
        <w:rPr>
          <w:rFonts w:cs="Arial"/>
          <w:color w:val="000000" w:themeColor="text1"/>
        </w:rPr>
        <w:t xml:space="preserve">, 61. At </w:t>
      </w:r>
      <w:hyperlink r:id="rId4" w:history="1">
        <w:r w:rsidRPr="00A16B2D">
          <w:rPr>
            <w:rStyle w:val="Hyperlink"/>
            <w:rFonts w:cs="Arial"/>
          </w:rPr>
          <w:t>https://www.humanrights.gov.au/our-work/aboriginal-and-torres-strait-islander-social-justice/publications/social-justice-and-nati-1</w:t>
        </w:r>
      </w:hyperlink>
      <w:r w:rsidRPr="00A16B2D">
        <w:rPr>
          <w:rFonts w:cs="Arial"/>
          <w:color w:val="000000" w:themeColor="text1"/>
        </w:rPr>
        <w:t xml:space="preserve"> (viewed 22 January 2018)</w:t>
      </w:r>
      <w:r w:rsidRPr="00A16B2D">
        <w:rPr>
          <w:rFonts w:cs="Arial"/>
        </w:rPr>
        <w:t>.</w:t>
      </w:r>
    </w:p>
  </w:endnote>
  <w:endnote w:id="14">
    <w:p w14:paraId="24C19C46" w14:textId="51BCCE69" w:rsidR="005F406F" w:rsidRDefault="005F406F">
      <w:pPr>
        <w:pStyle w:val="EndnoteText"/>
      </w:pPr>
      <w:r>
        <w:rPr>
          <w:rStyle w:val="EndnoteReference"/>
        </w:rPr>
        <w:endnoteRef/>
      </w:r>
      <w:r>
        <w:t xml:space="preserve"> </w:t>
      </w:r>
      <w:r w:rsidRPr="00A16B2D">
        <w:rPr>
          <w:rFonts w:cs="Arial"/>
        </w:rPr>
        <w:t xml:space="preserve">Lisa </w:t>
      </w:r>
      <w:proofErr w:type="spellStart"/>
      <w:r w:rsidRPr="00A16B2D">
        <w:rPr>
          <w:rFonts w:cs="Arial"/>
        </w:rPr>
        <w:t>Fowkes</w:t>
      </w:r>
      <w:proofErr w:type="spellEnd"/>
      <w:r w:rsidRPr="00A16B2D">
        <w:rPr>
          <w:rFonts w:cs="Arial"/>
        </w:rPr>
        <w:t xml:space="preserve">, “”Background Note on CDP”, the Centre for Aboriginal Economic Policy Research, Australian </w:t>
      </w:r>
      <w:r>
        <w:rPr>
          <w:rFonts w:cs="Arial"/>
        </w:rPr>
        <w:t>National University, April 2017, 1.</w:t>
      </w:r>
      <w:r w:rsidRPr="00A16B2D">
        <w:rPr>
          <w:rFonts w:cs="Arial"/>
        </w:rPr>
        <w:t xml:space="preserve"> At </w:t>
      </w:r>
      <w:hyperlink r:id="rId5" w:history="1">
        <w:r w:rsidRPr="00A16B2D">
          <w:rPr>
            <w:rStyle w:val="Hyperlink"/>
            <w:rFonts w:cs="Arial"/>
          </w:rPr>
          <w:t>https://www.clc.org.au/Remote-Employment-Program/CDP-Background-briefing-April-2017.docx</w:t>
        </w:r>
      </w:hyperlink>
      <w:r w:rsidRPr="00A16B2D">
        <w:rPr>
          <w:rFonts w:cs="Arial"/>
        </w:rPr>
        <w:t xml:space="preserve"> (viewed 25 January 2018)</w:t>
      </w:r>
      <w:r>
        <w:rPr>
          <w:rFonts w:cs="Arial"/>
        </w:rPr>
        <w:t>.</w:t>
      </w:r>
    </w:p>
  </w:endnote>
  <w:endnote w:id="15">
    <w:p w14:paraId="06E0FEB2" w14:textId="31965618" w:rsidR="005F406F" w:rsidRPr="00A16B2D" w:rsidRDefault="005F406F" w:rsidP="00DA1B26">
      <w:pPr>
        <w:pStyle w:val="EndnoteText"/>
        <w:rPr>
          <w:rFonts w:cs="Arial"/>
        </w:rPr>
      </w:pPr>
      <w:r w:rsidRPr="00A16B2D">
        <w:rPr>
          <w:rStyle w:val="EndnoteReference"/>
          <w:rFonts w:cs="Arial"/>
        </w:rPr>
        <w:endnoteRef/>
      </w:r>
      <w:r w:rsidRPr="00A16B2D">
        <w:rPr>
          <w:rFonts w:cs="Arial"/>
        </w:rPr>
        <w:t xml:space="preserve"> International Covenant on Economic, Social and Cultural Rights, opened for signature 16 December 1966, 993 UNTS 3 (entered into force 3 January 1976) art 9.</w:t>
      </w:r>
    </w:p>
  </w:endnote>
  <w:endnote w:id="16">
    <w:p w14:paraId="5EA1DA6A" w14:textId="4B4C6DE7" w:rsidR="005F406F" w:rsidRPr="00A16B2D" w:rsidRDefault="005F406F" w:rsidP="005005C2">
      <w:pPr>
        <w:pStyle w:val="EndnoteText"/>
        <w:rPr>
          <w:rFonts w:cs="Arial"/>
        </w:rPr>
      </w:pPr>
      <w:r w:rsidRPr="00A16B2D">
        <w:rPr>
          <w:rStyle w:val="EndnoteReference"/>
          <w:rFonts w:cs="Arial"/>
        </w:rPr>
        <w:endnoteRef/>
      </w:r>
      <w:r w:rsidRPr="00A16B2D">
        <w:rPr>
          <w:rFonts w:cs="Arial"/>
        </w:rPr>
        <w:t xml:space="preserve"> Ibid, arts 2 &amp; 3.</w:t>
      </w:r>
    </w:p>
  </w:endnote>
  <w:endnote w:id="17">
    <w:p w14:paraId="063917F8" w14:textId="77777777" w:rsidR="005F406F" w:rsidRPr="00A16B2D" w:rsidRDefault="005F406F" w:rsidP="000167C6">
      <w:pPr>
        <w:pStyle w:val="EndnoteText"/>
        <w:rPr>
          <w:rFonts w:cs="Arial"/>
        </w:rPr>
      </w:pPr>
      <w:r w:rsidRPr="00A16B2D">
        <w:rPr>
          <w:rStyle w:val="EndnoteReference"/>
          <w:rFonts w:cs="Arial"/>
        </w:rPr>
        <w:endnoteRef/>
      </w:r>
      <w:r w:rsidRPr="00A16B2D">
        <w:rPr>
          <w:rFonts w:cs="Arial"/>
        </w:rPr>
        <w:t xml:space="preserve"> International Convention on the Elimination of All Forms of Racial Discrimination, opened for signature 21 December 1965, 660 UNTS 195 (entered into force 4 January 1969) art 5(e</w:t>
      </w:r>
      <w:proofErr w:type="gramStart"/>
      <w:r w:rsidRPr="00A16B2D">
        <w:rPr>
          <w:rFonts w:cs="Arial"/>
        </w:rPr>
        <w:t>)(</w:t>
      </w:r>
      <w:proofErr w:type="gramEnd"/>
      <w:r w:rsidRPr="00A16B2D">
        <w:rPr>
          <w:rFonts w:cs="Arial"/>
        </w:rPr>
        <w:t>iv).</w:t>
      </w:r>
    </w:p>
  </w:endnote>
  <w:endnote w:id="18">
    <w:p w14:paraId="221A6385" w14:textId="2EAC3428" w:rsidR="005F406F" w:rsidRPr="00A16B2D" w:rsidRDefault="005F406F" w:rsidP="00F94F97">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UN Doc E/C.12/GC/19 (4 February 2008) para 22.</w:t>
      </w:r>
    </w:p>
  </w:endnote>
  <w:endnote w:id="19">
    <w:p w14:paraId="052A3752" w14:textId="77777777" w:rsidR="005F406F" w:rsidRPr="00A16B2D" w:rsidRDefault="005F406F" w:rsidP="005F406F">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UN Doc E/C.12/GC/19 (4 February 2008), paras 23-27.</w:t>
      </w:r>
    </w:p>
  </w:endnote>
  <w:endnote w:id="20">
    <w:p w14:paraId="4FA8023F" w14:textId="64B30A7A" w:rsidR="005F406F" w:rsidRPr="00A16B2D" w:rsidRDefault="005F406F" w:rsidP="00EC6C53">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xml:space="preserve">, UN Doc E/C.12/GC/19 (4 February 2008), para </w:t>
      </w:r>
      <w:proofErr w:type="gramStart"/>
      <w:r w:rsidRPr="00A16B2D">
        <w:rPr>
          <w:rFonts w:cs="Arial"/>
        </w:rPr>
        <w:t>9</w:t>
      </w:r>
      <w:proofErr w:type="gramEnd"/>
      <w:r w:rsidRPr="00A16B2D">
        <w:rPr>
          <w:rFonts w:cs="Arial"/>
        </w:rPr>
        <w:t>.</w:t>
      </w:r>
    </w:p>
  </w:endnote>
  <w:endnote w:id="21">
    <w:p w14:paraId="7B6B0792" w14:textId="46FDF8AE" w:rsidR="005F406F" w:rsidRPr="00A16B2D" w:rsidRDefault="005F406F" w:rsidP="00EC6C53">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UN Doc E/C.12/GC/19 (4 February 2008), para 11.</w:t>
      </w:r>
    </w:p>
  </w:endnote>
  <w:endnote w:id="22">
    <w:p w14:paraId="5B584E38" w14:textId="77777777" w:rsidR="005F406F" w:rsidRPr="00A16B2D" w:rsidRDefault="005F406F" w:rsidP="005F406F">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UN Doc E/C.12/GC/19 (4 February 2008), para 35.</w:t>
      </w:r>
    </w:p>
  </w:endnote>
  <w:endnote w:id="23">
    <w:p w14:paraId="19E0635B" w14:textId="3FB8C57B" w:rsidR="005F406F" w:rsidRPr="00A16B2D" w:rsidRDefault="005F406F" w:rsidP="00A67298">
      <w:pPr>
        <w:pStyle w:val="EndnoteText"/>
        <w:rPr>
          <w:rFonts w:cs="Arial"/>
        </w:rPr>
      </w:pPr>
      <w:r w:rsidRPr="00A16B2D">
        <w:rPr>
          <w:rStyle w:val="EndnoteReference"/>
          <w:rFonts w:cs="Arial"/>
        </w:rPr>
        <w:endnoteRef/>
      </w:r>
      <w:r w:rsidRPr="00A16B2D">
        <w:rPr>
          <w:rFonts w:cs="Arial"/>
        </w:rPr>
        <w:t xml:space="preserve"> United Nations Declaration on the Rights of Indigenous Peoples, GA Resolution 61/295, UN Doc A/61/L.67 (2007), art 21(1). </w:t>
      </w:r>
    </w:p>
  </w:endnote>
  <w:endnote w:id="24">
    <w:p w14:paraId="7FE14C91" w14:textId="77777777" w:rsidR="005F406F" w:rsidRPr="00A16B2D" w:rsidRDefault="005F406F" w:rsidP="005F406F">
      <w:pPr>
        <w:pStyle w:val="EndnoteText"/>
        <w:rPr>
          <w:rFonts w:cs="Arial"/>
        </w:rPr>
      </w:pPr>
      <w:r w:rsidRPr="00A16B2D">
        <w:rPr>
          <w:rStyle w:val="EndnoteReference"/>
          <w:rFonts w:cs="Arial"/>
        </w:rPr>
        <w:endnoteRef/>
      </w:r>
      <w:r w:rsidRPr="00A16B2D">
        <w:rPr>
          <w:rFonts w:cs="Arial"/>
        </w:rPr>
        <w:t xml:space="preserve"> </w:t>
      </w:r>
      <w:r w:rsidRPr="00A16B2D">
        <w:rPr>
          <w:rFonts w:cs="Arial"/>
          <w:color w:val="000000" w:themeColor="text1"/>
        </w:rPr>
        <w:t xml:space="preserve">Australian Human Rights Commission, </w:t>
      </w:r>
      <w:r w:rsidRPr="00A16B2D">
        <w:rPr>
          <w:rFonts w:cs="Arial"/>
          <w:i/>
          <w:color w:val="000000" w:themeColor="text1"/>
        </w:rPr>
        <w:t>Social Justice and Native Title Report 2015</w:t>
      </w:r>
      <w:r w:rsidRPr="00A16B2D">
        <w:rPr>
          <w:rFonts w:cs="Arial"/>
          <w:color w:val="000000" w:themeColor="text1"/>
        </w:rPr>
        <w:t xml:space="preserve">, 61. At </w:t>
      </w:r>
      <w:hyperlink r:id="rId6" w:history="1">
        <w:r w:rsidRPr="00A16B2D">
          <w:rPr>
            <w:rStyle w:val="Hyperlink"/>
            <w:rFonts w:cs="Arial"/>
          </w:rPr>
          <w:t>https://www.humanrights.gov.au/our-work/aboriginal-and-torres-strait-islander-social-justice/publications/social-justice-and-nati-1</w:t>
        </w:r>
      </w:hyperlink>
      <w:r w:rsidRPr="00A16B2D">
        <w:rPr>
          <w:rFonts w:cs="Arial"/>
          <w:color w:val="000000" w:themeColor="text1"/>
        </w:rPr>
        <w:t xml:space="preserve"> (viewed 22 January 2018)</w:t>
      </w:r>
      <w:r w:rsidRPr="00A16B2D">
        <w:rPr>
          <w:rFonts w:cs="Arial"/>
        </w:rPr>
        <w:t>.</w:t>
      </w:r>
    </w:p>
  </w:endnote>
  <w:endnote w:id="25">
    <w:p w14:paraId="7FC4D19B" w14:textId="73BBEC52" w:rsidR="005F406F" w:rsidRPr="00A16B2D" w:rsidRDefault="005F406F" w:rsidP="00015B6C">
      <w:pPr>
        <w:pStyle w:val="EndnoteText"/>
        <w:rPr>
          <w:rFonts w:cs="Arial"/>
        </w:rPr>
      </w:pPr>
      <w:r w:rsidRPr="00A16B2D">
        <w:rPr>
          <w:rStyle w:val="EndnoteReference"/>
          <w:rFonts w:cs="Arial"/>
        </w:rPr>
        <w:endnoteRef/>
      </w:r>
      <w:r w:rsidRPr="00A16B2D">
        <w:rPr>
          <w:rFonts w:cs="Arial"/>
        </w:rPr>
        <w:t xml:space="preserve"> 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14 December 2017, </w:t>
      </w:r>
      <w:r>
        <w:rPr>
          <w:rFonts w:cs="Arial"/>
        </w:rPr>
        <w:t xml:space="preserve">9. </w:t>
      </w:r>
    </w:p>
  </w:endnote>
  <w:endnote w:id="26">
    <w:p w14:paraId="583D6F9B" w14:textId="2C010319" w:rsidR="005F406F" w:rsidRDefault="005F406F">
      <w:pPr>
        <w:pStyle w:val="EndnoteText"/>
      </w:pPr>
      <w:r>
        <w:rPr>
          <w:rStyle w:val="EndnoteReference"/>
        </w:rPr>
        <w:endnoteRef/>
      </w:r>
      <w:r>
        <w:t xml:space="preserve"> </w:t>
      </w:r>
      <w:r w:rsidRPr="00A16B2D">
        <w:rPr>
          <w:rFonts w:cs="Arial"/>
        </w:rPr>
        <w:t xml:space="preserve">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14 December 2017, 11</w:t>
      </w:r>
      <w:r>
        <w:rPr>
          <w:rFonts w:cs="Arial"/>
        </w:rPr>
        <w:t>.</w:t>
      </w:r>
    </w:p>
  </w:endnote>
  <w:endnote w:id="27">
    <w:p w14:paraId="2ADA2A70" w14:textId="2B319F73" w:rsidR="005F406F" w:rsidRPr="00A16B2D" w:rsidRDefault="005F406F">
      <w:pPr>
        <w:pStyle w:val="EndnoteText"/>
        <w:rPr>
          <w:rFonts w:cs="Arial"/>
        </w:rPr>
      </w:pPr>
      <w:r w:rsidRPr="00A16B2D">
        <w:rPr>
          <w:rStyle w:val="EndnoteReference"/>
          <w:rFonts w:cs="Arial"/>
        </w:rPr>
        <w:endnoteRef/>
      </w:r>
      <w:r w:rsidRPr="00A16B2D">
        <w:rPr>
          <w:rFonts w:cs="Arial"/>
        </w:rPr>
        <w:t xml:space="preserve"> 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14 December 2017, 11.</w:t>
      </w:r>
    </w:p>
  </w:endnote>
  <w:endnote w:id="28">
    <w:p w14:paraId="716BDC2E" w14:textId="150FA387" w:rsidR="005F406F" w:rsidRPr="00A16B2D" w:rsidRDefault="005F406F">
      <w:pPr>
        <w:pStyle w:val="EndnoteText"/>
        <w:rPr>
          <w:rFonts w:cs="Arial"/>
        </w:rPr>
      </w:pPr>
      <w:r w:rsidRPr="00A16B2D">
        <w:rPr>
          <w:rStyle w:val="EndnoteReference"/>
          <w:rFonts w:cs="Arial"/>
        </w:rPr>
        <w:endnoteRef/>
      </w:r>
      <w:r w:rsidRPr="00A16B2D">
        <w:rPr>
          <w:rFonts w:cs="Arial"/>
        </w:rPr>
        <w:t xml:space="preserve"> Discussion Paper: Remote Employment and Participation, p.13. </w:t>
      </w:r>
    </w:p>
  </w:endnote>
  <w:endnote w:id="29">
    <w:p w14:paraId="6FF42F73" w14:textId="05C5FD5B" w:rsidR="005F406F" w:rsidRPr="00A16B2D" w:rsidRDefault="005F406F">
      <w:pPr>
        <w:pStyle w:val="EndnoteText"/>
        <w:rPr>
          <w:rFonts w:cs="Arial"/>
        </w:rPr>
      </w:pPr>
      <w:r w:rsidRPr="00A16B2D">
        <w:rPr>
          <w:rStyle w:val="EndnoteReference"/>
          <w:rFonts w:cs="Arial"/>
        </w:rPr>
        <w:endnoteRef/>
      </w:r>
      <w:r w:rsidRPr="00A16B2D">
        <w:rPr>
          <w:rFonts w:cs="Arial"/>
        </w:rPr>
        <w:t xml:space="preserve"> Department of Prime Minister and Cabinet, ‘CDP Employment Placements and Outcomes’</w:t>
      </w:r>
    </w:p>
  </w:endnote>
  <w:endnote w:id="30">
    <w:p w14:paraId="51E7F731" w14:textId="106BF780" w:rsidR="005F406F" w:rsidRPr="00A16B2D" w:rsidRDefault="005F406F" w:rsidP="0012687E">
      <w:pPr>
        <w:pStyle w:val="EndnoteText"/>
        <w:rPr>
          <w:rFonts w:cs="Arial"/>
        </w:rPr>
      </w:pPr>
      <w:r w:rsidRPr="00A16B2D">
        <w:rPr>
          <w:rStyle w:val="EndnoteReference"/>
          <w:rFonts w:cs="Arial"/>
        </w:rPr>
        <w:endnoteRef/>
      </w:r>
      <w:r w:rsidRPr="00A16B2D">
        <w:rPr>
          <w:rFonts w:cs="Arial"/>
        </w:rPr>
        <w:t xml:space="preserve"> Senator the Hon Nigel Scullion, “CDP hits major milestone for remote jobseekers” (Media Release, 18 Mary 2017). At </w:t>
      </w:r>
      <w:hyperlink r:id="rId7" w:history="1">
        <w:r w:rsidRPr="00A16B2D">
          <w:rPr>
            <w:rStyle w:val="Hyperlink"/>
            <w:rFonts w:cs="Arial"/>
          </w:rPr>
          <w:t>https://ministers.pmc.gov.au/scullion/2017/cdp-hits-major-milestone-remote-jobseekers</w:t>
        </w:r>
      </w:hyperlink>
      <w:r w:rsidRPr="00A16B2D">
        <w:rPr>
          <w:rFonts w:cs="Arial"/>
        </w:rPr>
        <w:t xml:space="preserve"> (viewed 25 January 2018).</w:t>
      </w:r>
    </w:p>
  </w:endnote>
  <w:endnote w:id="31">
    <w:p w14:paraId="5C17D1EE" w14:textId="77777777" w:rsidR="00A96A25" w:rsidRPr="00A16B2D" w:rsidRDefault="00A96A25" w:rsidP="00A96A25">
      <w:pPr>
        <w:pStyle w:val="EndnoteText"/>
        <w:rPr>
          <w:rFonts w:cs="Arial"/>
        </w:rPr>
      </w:pPr>
      <w:r w:rsidRPr="00A16B2D">
        <w:rPr>
          <w:rStyle w:val="EndnoteReference"/>
          <w:rFonts w:cs="Arial"/>
        </w:rPr>
        <w:endnoteRef/>
      </w:r>
      <w:r w:rsidRPr="00A16B2D">
        <w:rPr>
          <w:rFonts w:cs="Arial"/>
        </w:rPr>
        <w:t xml:space="preserve"> Aboriginal Peak Organisations Northern Territory, </w:t>
      </w:r>
      <w:r w:rsidRPr="00A16B2D">
        <w:rPr>
          <w:rFonts w:cs="Arial"/>
          <w:i/>
        </w:rPr>
        <w:t>Fair Work and Strong Communities: Proposal for a Remote Development and Employment Scheme</w:t>
      </w:r>
      <w:r w:rsidRPr="00A16B2D">
        <w:rPr>
          <w:rFonts w:cs="Arial"/>
        </w:rPr>
        <w:t xml:space="preserve">, May 2017, 13. At: </w:t>
      </w:r>
      <w:hyperlink r:id="rId8" w:history="1">
        <w:r w:rsidRPr="00A16B2D">
          <w:rPr>
            <w:rStyle w:val="Hyperlink"/>
            <w:rFonts w:cs="Arial"/>
          </w:rPr>
          <w:t>http://www.amsant.org.au/apont/wp-content/uploads/2017/07/RDES-Report_Online.pdf</w:t>
        </w:r>
      </w:hyperlink>
      <w:r w:rsidRPr="00A16B2D">
        <w:rPr>
          <w:rFonts w:cs="Arial"/>
        </w:rPr>
        <w:t xml:space="preserve"> (viewed 25 January 2018).</w:t>
      </w:r>
    </w:p>
  </w:endnote>
  <w:endnote w:id="32">
    <w:p w14:paraId="1FC4A20C" w14:textId="10521255" w:rsidR="005F406F" w:rsidRPr="00A16B2D" w:rsidRDefault="005F406F" w:rsidP="00A168B5">
      <w:pPr>
        <w:pStyle w:val="EndnoteText"/>
        <w:rPr>
          <w:rFonts w:cs="Arial"/>
        </w:rPr>
      </w:pPr>
      <w:r w:rsidRPr="00A16B2D">
        <w:rPr>
          <w:rStyle w:val="EndnoteReference"/>
          <w:rFonts w:cs="Arial"/>
        </w:rPr>
        <w:endnoteRef/>
      </w:r>
      <w:r w:rsidRPr="00A16B2D">
        <w:rPr>
          <w:rFonts w:cs="Arial"/>
        </w:rPr>
        <w:t xml:space="preserve">Department of Prime Minister and Cabinet, Submission 9 to the Senate Finance and Public Administration Legislation Committee, </w:t>
      </w:r>
      <w:r w:rsidRPr="00A16B2D">
        <w:rPr>
          <w:rFonts w:cs="Arial"/>
          <w:i/>
        </w:rPr>
        <w:t>Inquiry in to the Social Security Legislation Amendment (Community Development Program) Bill 2015</w:t>
      </w:r>
      <w:r w:rsidRPr="00A16B2D">
        <w:rPr>
          <w:rFonts w:cs="Arial"/>
        </w:rPr>
        <w:t xml:space="preserve">. At: </w:t>
      </w:r>
      <w:hyperlink r:id="rId9" w:history="1">
        <w:r w:rsidRPr="00A16B2D">
          <w:rPr>
            <w:rStyle w:val="Hyperlink"/>
            <w:rFonts w:cs="Arial"/>
          </w:rPr>
          <w:t>https://www.aph.gov.au/Parliamentary_Business/Committees/Senate/Finance_and_Public_Administration/Social_Security/Submissions</w:t>
        </w:r>
      </w:hyperlink>
      <w:r w:rsidRPr="00A16B2D">
        <w:rPr>
          <w:rFonts w:cs="Arial"/>
        </w:rPr>
        <w:t xml:space="preserve"> </w:t>
      </w:r>
    </w:p>
  </w:endnote>
  <w:endnote w:id="33">
    <w:p w14:paraId="73A38EEE" w14:textId="74BC042B" w:rsidR="005F406F" w:rsidRPr="00A16B2D" w:rsidRDefault="005F406F">
      <w:pPr>
        <w:pStyle w:val="EndnoteText"/>
        <w:rPr>
          <w:rFonts w:cs="Arial"/>
        </w:rPr>
      </w:pPr>
      <w:r w:rsidRPr="00A16B2D">
        <w:rPr>
          <w:rStyle w:val="EndnoteReference"/>
          <w:rFonts w:cs="Arial"/>
        </w:rPr>
        <w:endnoteRef/>
      </w:r>
      <w:r w:rsidRPr="00A16B2D">
        <w:rPr>
          <w:rFonts w:cs="Arial"/>
        </w:rPr>
        <w:t xml:space="preserve"> Lisa </w:t>
      </w:r>
      <w:proofErr w:type="spellStart"/>
      <w:r w:rsidRPr="00A16B2D">
        <w:rPr>
          <w:rFonts w:cs="Arial"/>
        </w:rPr>
        <w:t>Fowkes</w:t>
      </w:r>
      <w:proofErr w:type="spellEnd"/>
      <w:r w:rsidRPr="00A16B2D">
        <w:rPr>
          <w:rFonts w:cs="Arial"/>
        </w:rPr>
        <w:t xml:space="preserve">, “”Background Note on CDP”, the Centre for Aboriginal Economic Policy Research, Australian National University, April 2017. At </w:t>
      </w:r>
      <w:hyperlink r:id="rId10" w:history="1">
        <w:r w:rsidRPr="00A16B2D">
          <w:rPr>
            <w:rStyle w:val="Hyperlink"/>
            <w:rFonts w:cs="Arial"/>
          </w:rPr>
          <w:t>https://www.clc.org.au/Remote-Employment-Program/CDP-Background-briefing-April-2017.docx</w:t>
        </w:r>
      </w:hyperlink>
      <w:r w:rsidRPr="00A16B2D">
        <w:rPr>
          <w:rFonts w:cs="Arial"/>
        </w:rPr>
        <w:t xml:space="preserve"> (viewed 25 January 2018). </w:t>
      </w:r>
    </w:p>
  </w:endnote>
  <w:endnote w:id="34">
    <w:p w14:paraId="64A1FC65" w14:textId="5B4B50D9" w:rsidR="005F406F" w:rsidRPr="00A16B2D" w:rsidRDefault="005F406F">
      <w:pPr>
        <w:pStyle w:val="EndnoteText"/>
        <w:rPr>
          <w:rFonts w:cs="Arial"/>
        </w:rPr>
      </w:pPr>
      <w:r w:rsidRPr="00A16B2D">
        <w:rPr>
          <w:rStyle w:val="EndnoteReference"/>
          <w:rFonts w:cs="Arial"/>
        </w:rPr>
        <w:endnoteRef/>
      </w:r>
      <w:r w:rsidRPr="00A16B2D">
        <w:rPr>
          <w:rFonts w:cs="Arial"/>
        </w:rPr>
        <w:t xml:space="preserve"> 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14 December 2017, 10.</w:t>
      </w:r>
    </w:p>
  </w:endnote>
  <w:endnote w:id="35">
    <w:p w14:paraId="333EBC25" w14:textId="6035C6EE" w:rsidR="005F406F" w:rsidRDefault="005F406F">
      <w:pPr>
        <w:pStyle w:val="EndnoteText"/>
      </w:pPr>
      <w:r>
        <w:rPr>
          <w:rStyle w:val="EndnoteReference"/>
        </w:rPr>
        <w:endnoteRef/>
      </w:r>
      <w:r>
        <w:t xml:space="preserve"> </w:t>
      </w:r>
      <w:r w:rsidRPr="00A16B2D">
        <w:rPr>
          <w:rFonts w:cs="Arial"/>
        </w:rPr>
        <w:t xml:space="preserve">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14 December 2017, </w:t>
      </w:r>
      <w:r>
        <w:rPr>
          <w:rFonts w:cs="Arial"/>
        </w:rPr>
        <w:t>10.</w:t>
      </w:r>
    </w:p>
  </w:endnote>
  <w:endnote w:id="36">
    <w:p w14:paraId="0A859428" w14:textId="404433A8" w:rsidR="005F406F" w:rsidRDefault="005F406F">
      <w:pPr>
        <w:pStyle w:val="EndnoteText"/>
      </w:pPr>
      <w:r>
        <w:rPr>
          <w:rStyle w:val="EndnoteReference"/>
        </w:rPr>
        <w:endnoteRef/>
      </w:r>
      <w:r>
        <w:t xml:space="preserve"> </w:t>
      </w:r>
      <w:r w:rsidRPr="00A16B2D">
        <w:rPr>
          <w:rFonts w:cs="Arial"/>
        </w:rPr>
        <w:t xml:space="preserve">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14 December 2017, </w:t>
      </w:r>
      <w:r>
        <w:rPr>
          <w:rFonts w:cs="Arial"/>
        </w:rPr>
        <w:t>10.</w:t>
      </w:r>
    </w:p>
  </w:endnote>
  <w:endnote w:id="37">
    <w:p w14:paraId="2D99EB05" w14:textId="5CCD843C" w:rsidR="005F406F" w:rsidRDefault="005F406F">
      <w:pPr>
        <w:pStyle w:val="EndnoteText"/>
      </w:pPr>
      <w:r>
        <w:rPr>
          <w:rStyle w:val="EndnoteReference"/>
        </w:rPr>
        <w:endnoteRef/>
      </w:r>
      <w:r>
        <w:t xml:space="preserve"> </w:t>
      </w:r>
      <w:r w:rsidRPr="00A16B2D">
        <w:rPr>
          <w:rFonts w:cs="Arial"/>
        </w:rPr>
        <w:t xml:space="preserve">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14 December 2017, </w:t>
      </w:r>
      <w:r>
        <w:rPr>
          <w:rFonts w:cs="Arial"/>
        </w:rPr>
        <w:t>10.</w:t>
      </w:r>
    </w:p>
  </w:endnote>
  <w:endnote w:id="38">
    <w:p w14:paraId="59AD6615" w14:textId="1B2321E4" w:rsidR="005F406F" w:rsidRPr="00A16B2D" w:rsidRDefault="005F406F">
      <w:pPr>
        <w:pStyle w:val="EndnoteText"/>
        <w:rPr>
          <w:rFonts w:cs="Arial"/>
        </w:rPr>
      </w:pPr>
      <w:r w:rsidRPr="00A16B2D">
        <w:rPr>
          <w:rStyle w:val="EndnoteReference"/>
          <w:rFonts w:cs="Arial"/>
        </w:rPr>
        <w:endnoteRef/>
      </w:r>
      <w:r w:rsidRPr="00A16B2D">
        <w:rPr>
          <w:rFonts w:cs="Arial"/>
        </w:rPr>
        <w:t xml:space="preserve"> Aboriginal Peak Organisations Northern Territory, </w:t>
      </w:r>
      <w:r w:rsidRPr="00A16B2D">
        <w:rPr>
          <w:rFonts w:cs="Arial"/>
          <w:i/>
        </w:rPr>
        <w:t>Fair Work and Strong Communities: Proposal for a Remote Development and Employment Scheme</w:t>
      </w:r>
      <w:r w:rsidRPr="00A16B2D">
        <w:rPr>
          <w:rFonts w:cs="Arial"/>
        </w:rPr>
        <w:t xml:space="preserve">, May 2017, 11. At: </w:t>
      </w:r>
      <w:hyperlink r:id="rId11" w:history="1">
        <w:r w:rsidRPr="00A16B2D">
          <w:rPr>
            <w:rStyle w:val="Hyperlink"/>
            <w:rFonts w:cs="Arial"/>
          </w:rPr>
          <w:t>http://www.amsant.org.au/apont/wp-content/uploads/2017/07/RDES-Report_Online.pdf</w:t>
        </w:r>
      </w:hyperlink>
      <w:r w:rsidRPr="00A16B2D">
        <w:rPr>
          <w:rFonts w:cs="Arial"/>
        </w:rPr>
        <w:t xml:space="preserve"> (viewed 25 January 2018).</w:t>
      </w:r>
    </w:p>
  </w:endnote>
  <w:endnote w:id="39">
    <w:p w14:paraId="2DF4BAD5" w14:textId="3C2EEAFD" w:rsidR="005F406F" w:rsidRPr="00A16B2D" w:rsidRDefault="005F406F">
      <w:pPr>
        <w:pStyle w:val="EndnoteText"/>
        <w:rPr>
          <w:rFonts w:cs="Arial"/>
        </w:rPr>
      </w:pPr>
      <w:r w:rsidRPr="00A16B2D">
        <w:rPr>
          <w:rStyle w:val="EndnoteReference"/>
          <w:rFonts w:cs="Arial"/>
        </w:rPr>
        <w:endnoteRef/>
      </w:r>
      <w:r w:rsidRPr="00A16B2D">
        <w:rPr>
          <w:rFonts w:cs="Arial"/>
        </w:rPr>
        <w:t xml:space="preserve"> ABC, “Remote work-for-the-dole participants penalised for factors beyond their control”, </w:t>
      </w:r>
      <w:r w:rsidRPr="00A16B2D">
        <w:rPr>
          <w:rFonts w:cs="Arial"/>
          <w:i/>
        </w:rPr>
        <w:t>ABC AM with Sabra Lane, Elizabeth Jackson</w:t>
      </w:r>
      <w:r w:rsidRPr="00A16B2D">
        <w:rPr>
          <w:rFonts w:cs="Arial"/>
        </w:rPr>
        <w:t xml:space="preserve">, 19 January 2018 at 8:00am. At: </w:t>
      </w:r>
      <w:hyperlink r:id="rId12" w:history="1">
        <w:r w:rsidRPr="00A16B2D">
          <w:rPr>
            <w:rStyle w:val="Hyperlink"/>
            <w:rFonts w:cs="Arial"/>
          </w:rPr>
          <w:t>http://www.abc.net.au/radio/programs/am/remote-work-for-dole-participants-penalised-domestic-violence/9342378</w:t>
        </w:r>
      </w:hyperlink>
      <w:r w:rsidRPr="00A16B2D">
        <w:rPr>
          <w:rFonts w:cs="Arial"/>
        </w:rPr>
        <w:t xml:space="preserve"> (viewed 24 January 2018)</w:t>
      </w:r>
    </w:p>
  </w:endnote>
  <w:endnote w:id="40">
    <w:p w14:paraId="05E7507F" w14:textId="1B00ED33" w:rsidR="005F406F" w:rsidRPr="00A16B2D" w:rsidRDefault="005F406F" w:rsidP="00DD5091">
      <w:pPr>
        <w:pStyle w:val="EndnoteText"/>
        <w:rPr>
          <w:rFonts w:cs="Arial"/>
        </w:rPr>
      </w:pPr>
      <w:r w:rsidRPr="00A16B2D">
        <w:rPr>
          <w:rStyle w:val="EndnoteReference"/>
          <w:rFonts w:cs="Arial"/>
        </w:rPr>
        <w:endnoteRef/>
      </w:r>
      <w:r w:rsidRPr="00A16B2D">
        <w:rPr>
          <w:rFonts w:cs="Arial"/>
        </w:rPr>
        <w:t xml:space="preserve"> ABC, “Remote work-for-the-dole participants penalised for factors beyond their control”, </w:t>
      </w:r>
      <w:r w:rsidRPr="00A16B2D">
        <w:rPr>
          <w:rFonts w:cs="Arial"/>
          <w:i/>
        </w:rPr>
        <w:t>ABC AM with Sabra Lane, Elizabeth Jackson</w:t>
      </w:r>
      <w:r w:rsidRPr="00A16B2D">
        <w:rPr>
          <w:rFonts w:cs="Arial"/>
        </w:rPr>
        <w:t xml:space="preserve">, 19 January 2018 at 8:00am. At: </w:t>
      </w:r>
      <w:hyperlink r:id="rId13" w:history="1">
        <w:r w:rsidRPr="00A16B2D">
          <w:rPr>
            <w:rStyle w:val="Hyperlink"/>
            <w:rFonts w:cs="Arial"/>
          </w:rPr>
          <w:t>http://www.abc.net.au/radio/programs/am/remote-work-for-dole-participants-penalised-domestic-violence/9342378</w:t>
        </w:r>
      </w:hyperlink>
      <w:r w:rsidRPr="00A16B2D">
        <w:rPr>
          <w:rFonts w:cs="Arial"/>
        </w:rPr>
        <w:t xml:space="preserve"> (viewed 24 January 2018). </w:t>
      </w:r>
    </w:p>
  </w:endnote>
  <w:endnote w:id="41">
    <w:p w14:paraId="3FC89417" w14:textId="7E1AF4C6" w:rsidR="005F406F" w:rsidRPr="00A16B2D" w:rsidRDefault="005F406F">
      <w:pPr>
        <w:pStyle w:val="EndnoteText"/>
        <w:rPr>
          <w:rFonts w:cs="Arial"/>
        </w:rPr>
      </w:pPr>
      <w:r w:rsidRPr="00A16B2D">
        <w:rPr>
          <w:rStyle w:val="EndnoteReference"/>
          <w:rFonts w:cs="Arial"/>
        </w:rPr>
        <w:endnoteRef/>
      </w:r>
      <w:r w:rsidRPr="00A16B2D">
        <w:rPr>
          <w:rFonts w:cs="Arial"/>
        </w:rPr>
        <w:t xml:space="preserve"> ABC, “Remote work-for-the-dole participants penalised for factors beyond their control”, </w:t>
      </w:r>
      <w:r w:rsidRPr="00A16B2D">
        <w:rPr>
          <w:rFonts w:cs="Arial"/>
          <w:i/>
        </w:rPr>
        <w:t>ABC AM with Sabra Lane, Elizabeth Jackson</w:t>
      </w:r>
      <w:r w:rsidRPr="00A16B2D">
        <w:rPr>
          <w:rFonts w:cs="Arial"/>
        </w:rPr>
        <w:t xml:space="preserve">, 19 January 2018 at 8:00am. At: </w:t>
      </w:r>
      <w:hyperlink r:id="rId14" w:history="1">
        <w:r w:rsidRPr="00A16B2D">
          <w:rPr>
            <w:rStyle w:val="Hyperlink"/>
            <w:rFonts w:cs="Arial"/>
          </w:rPr>
          <w:t>http://www.abc.net.au/radio/programs/am/remote-work-for-dole-participants-penalised-domestic-violence/9342378</w:t>
        </w:r>
      </w:hyperlink>
      <w:r w:rsidRPr="00A16B2D">
        <w:rPr>
          <w:rFonts w:cs="Arial"/>
        </w:rPr>
        <w:t xml:space="preserve"> (viewed 24 January 2018).</w:t>
      </w:r>
    </w:p>
  </w:endnote>
  <w:endnote w:id="42">
    <w:p w14:paraId="71E8CF89" w14:textId="548D7542" w:rsidR="005F406F" w:rsidRPr="00A16B2D" w:rsidRDefault="005F406F">
      <w:pPr>
        <w:pStyle w:val="EndnoteText"/>
        <w:rPr>
          <w:rFonts w:cs="Arial"/>
        </w:rPr>
      </w:pPr>
      <w:r w:rsidRPr="00A16B2D">
        <w:rPr>
          <w:rStyle w:val="EndnoteReference"/>
          <w:rFonts w:cs="Arial"/>
        </w:rPr>
        <w:endnoteRef/>
      </w:r>
      <w:r w:rsidRPr="00A16B2D">
        <w:rPr>
          <w:rFonts w:cs="Arial"/>
        </w:rPr>
        <w:t xml:space="preserve"> Lisa </w:t>
      </w:r>
      <w:proofErr w:type="spellStart"/>
      <w:r w:rsidRPr="00A16B2D">
        <w:rPr>
          <w:rFonts w:cs="Arial"/>
        </w:rPr>
        <w:t>Fowkes</w:t>
      </w:r>
      <w:proofErr w:type="spellEnd"/>
      <w:r w:rsidRPr="00A16B2D">
        <w:rPr>
          <w:rFonts w:cs="Arial"/>
        </w:rPr>
        <w:t xml:space="preserve">, Submission 8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14 December 2017, 5. </w:t>
      </w:r>
    </w:p>
  </w:endnote>
  <w:endnote w:id="43">
    <w:p w14:paraId="038F718C" w14:textId="691D1425" w:rsidR="005F406F" w:rsidRPr="00A16B2D" w:rsidRDefault="005F406F">
      <w:pPr>
        <w:pStyle w:val="EndnoteText"/>
        <w:rPr>
          <w:rFonts w:cs="Arial"/>
        </w:rPr>
      </w:pPr>
      <w:r w:rsidRPr="00A16B2D">
        <w:rPr>
          <w:rStyle w:val="EndnoteReference"/>
          <w:rFonts w:cs="Arial"/>
        </w:rPr>
        <w:endnoteRef/>
      </w:r>
      <w:r w:rsidRPr="00A16B2D">
        <w:rPr>
          <w:rFonts w:cs="Arial"/>
        </w:rPr>
        <w:t xml:space="preserv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(December 2017), 110.</w:t>
      </w:r>
    </w:p>
  </w:endnote>
  <w:endnote w:id="44">
    <w:p w14:paraId="75344EF2" w14:textId="5D5D750A" w:rsidR="005F406F" w:rsidRPr="00A16B2D" w:rsidRDefault="005F406F">
      <w:pPr>
        <w:pStyle w:val="EndnoteText"/>
        <w:rPr>
          <w:rFonts w:cs="Arial"/>
        </w:rPr>
      </w:pPr>
      <w:r w:rsidRPr="00A16B2D">
        <w:rPr>
          <w:rStyle w:val="EndnoteReference"/>
          <w:rFonts w:cs="Arial"/>
        </w:rPr>
        <w:endnoteRef/>
      </w:r>
      <w:r w:rsidRPr="00A16B2D">
        <w:rPr>
          <w:rFonts w:cs="Arial"/>
        </w:rPr>
        <w:t xml:space="preserve"> </w:t>
      </w:r>
      <w:proofErr w:type="gramStart"/>
      <w:r w:rsidRPr="00A16B2D">
        <w:rPr>
          <w:rFonts w:cs="Arial"/>
        </w:rPr>
        <w:t xml:space="preserve">See: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(December 2017), 110; and Human Rights Law Centre, Submission 39 to the Senate Finance and Public Administration Legislation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14 December 2017, 11; and Commonwealth Ombudsman, </w:t>
      </w:r>
      <w:r w:rsidRPr="00A16B2D">
        <w:rPr>
          <w:rFonts w:cs="Arial"/>
          <w:i/>
        </w:rPr>
        <w:t xml:space="preserve">Department of Human Services: Accessibility of Disability Support Pension for Remote Indigenous Australians </w:t>
      </w:r>
      <w:r w:rsidRPr="00A16B2D">
        <w:rPr>
          <w:rFonts w:cs="Arial"/>
        </w:rPr>
        <w:t>(Report No 5, 2016), December 2016 part 1.</w:t>
      </w:r>
      <w:proofErr w:type="gramEnd"/>
      <w:r w:rsidRPr="00A16B2D">
        <w:rPr>
          <w:rFonts w:cs="Arial"/>
        </w:rPr>
        <w:t xml:space="preserve">  </w:t>
      </w:r>
    </w:p>
  </w:endnote>
  <w:endnote w:id="45">
    <w:p w14:paraId="5D957726" w14:textId="51DD6849" w:rsidR="005F406F" w:rsidRPr="00A16B2D" w:rsidRDefault="005F406F">
      <w:pPr>
        <w:pStyle w:val="EndnoteText"/>
        <w:rPr>
          <w:rFonts w:cs="Arial"/>
        </w:rPr>
      </w:pPr>
      <w:r w:rsidRPr="00A16B2D">
        <w:rPr>
          <w:rStyle w:val="EndnoteReference"/>
          <w:rFonts w:cs="Arial"/>
        </w:rPr>
        <w:endnoteRef/>
      </w:r>
      <w:r w:rsidRPr="00A16B2D">
        <w:rPr>
          <w:rFonts w:cs="Arial"/>
        </w:rPr>
        <w:t xml:space="preserve"> Funding Agreement 2013-2018: Remote Jobs and Communities Programme (effective date 1 July 2015).</w:t>
      </w:r>
    </w:p>
  </w:endnote>
  <w:endnote w:id="46">
    <w:p w14:paraId="1D8B0A92" w14:textId="05344E0D" w:rsidR="005F406F" w:rsidRPr="00A16B2D" w:rsidRDefault="005F406F">
      <w:pPr>
        <w:pStyle w:val="EndnoteText"/>
        <w:rPr>
          <w:rFonts w:cs="Arial"/>
        </w:rPr>
      </w:pPr>
      <w:r w:rsidRPr="00A16B2D">
        <w:rPr>
          <w:rStyle w:val="EndnoteReference"/>
          <w:rFonts w:cs="Arial"/>
        </w:rPr>
        <w:endnoteRef/>
      </w:r>
      <w:r w:rsidRPr="00A16B2D">
        <w:rPr>
          <w:rFonts w:cs="Arial"/>
        </w:rPr>
        <w:t xml:space="preserv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(December 2017), 28.</w:t>
      </w:r>
    </w:p>
  </w:endnote>
  <w:endnote w:id="47">
    <w:p w14:paraId="66DB2C6C" w14:textId="3F3C97CD" w:rsidR="005F406F" w:rsidRPr="00A16B2D" w:rsidRDefault="005F406F">
      <w:pPr>
        <w:pStyle w:val="EndnoteText"/>
        <w:rPr>
          <w:rFonts w:cs="Arial"/>
        </w:rPr>
      </w:pPr>
      <w:r w:rsidRPr="00A16B2D">
        <w:rPr>
          <w:rStyle w:val="EndnoteReference"/>
          <w:rFonts w:cs="Arial"/>
        </w:rPr>
        <w:endnoteRef/>
      </w:r>
      <w:r w:rsidRPr="00A16B2D">
        <w:rPr>
          <w:rFonts w:cs="Arial"/>
        </w:rPr>
        <w:t xml:space="preserve"> Commonwealth Ombudsman, </w:t>
      </w:r>
      <w:r w:rsidRPr="00A16B2D">
        <w:rPr>
          <w:rFonts w:cs="Arial"/>
          <w:i/>
        </w:rPr>
        <w:t xml:space="preserve">Department of Human Services: accessibility of the Disability Support Pension for remote Indigenous Australians </w:t>
      </w:r>
      <w:r w:rsidRPr="00A16B2D">
        <w:rPr>
          <w:rFonts w:cs="Arial"/>
        </w:rPr>
        <w:t xml:space="preserve">(Report No 5, 2016), December 2016. </w:t>
      </w:r>
    </w:p>
  </w:endnote>
  <w:endnote w:id="48">
    <w:p w14:paraId="44827DE0" w14:textId="1F6DE900" w:rsidR="005F406F" w:rsidRDefault="005F406F">
      <w:pPr>
        <w:pStyle w:val="EndnoteText"/>
      </w:pPr>
      <w:r>
        <w:rPr>
          <w:rStyle w:val="EndnoteReference"/>
        </w:rPr>
        <w:endnoteRef/>
      </w:r>
      <w:r>
        <w:t xml:space="preserve"> </w:t>
      </w:r>
      <w:r w:rsidRPr="00A16B2D">
        <w:rPr>
          <w:rFonts w:cs="Arial"/>
        </w:rPr>
        <w:t xml:space="preserve">Aboriginal Peak Organisations Northern Territory, </w:t>
      </w:r>
      <w:r w:rsidRPr="00A16B2D">
        <w:rPr>
          <w:rFonts w:cs="Arial"/>
          <w:i/>
        </w:rPr>
        <w:t>Fair Work and Strong Communities: Proposal for a Remote Development and Employment Scheme</w:t>
      </w:r>
      <w:r w:rsidRPr="00A16B2D">
        <w:rPr>
          <w:rFonts w:cs="Arial"/>
        </w:rPr>
        <w:t xml:space="preserve">, May 2017, </w:t>
      </w:r>
      <w:r>
        <w:rPr>
          <w:rFonts w:cs="Arial"/>
        </w:rPr>
        <w:t>23</w:t>
      </w:r>
      <w:r w:rsidRPr="00A16B2D">
        <w:rPr>
          <w:rFonts w:cs="Arial"/>
        </w:rPr>
        <w:t xml:space="preserve">. At: </w:t>
      </w:r>
      <w:hyperlink r:id="rId15" w:history="1">
        <w:r w:rsidRPr="00A16B2D">
          <w:rPr>
            <w:rStyle w:val="Hyperlink"/>
            <w:rFonts w:cs="Arial"/>
          </w:rPr>
          <w:t>http://www.amsant.org.au/apont/wp-content/uploads/2017/07/RDES-Report_Online.pdf</w:t>
        </w:r>
      </w:hyperlink>
      <w:r>
        <w:rPr>
          <w:rStyle w:val="Hyperlink"/>
          <w:rFonts w:cs="Arial"/>
        </w:rPr>
        <w:t xml:space="preserve"> </w:t>
      </w:r>
      <w:r w:rsidRPr="00A16B2D">
        <w:rPr>
          <w:rFonts w:cs="Arial"/>
        </w:rPr>
        <w:t>(viewed 25 January 2018).</w:t>
      </w:r>
    </w:p>
  </w:endnote>
  <w:endnote w:id="49">
    <w:p w14:paraId="684EF038" w14:textId="2391EBDF" w:rsidR="005F406F" w:rsidRDefault="005F406F">
      <w:pPr>
        <w:pStyle w:val="EndnoteText"/>
      </w:pPr>
      <w:r>
        <w:rPr>
          <w:rStyle w:val="EndnoteReference"/>
        </w:rPr>
        <w:endnoteRef/>
      </w:r>
      <w:r>
        <w:t xml:space="preserve"> </w:t>
      </w:r>
      <w:r w:rsidRPr="00A16B2D">
        <w:rPr>
          <w:rFonts w:cs="Arial"/>
        </w:rPr>
        <w:t xml:space="preserve">Aboriginal Peak Organisations Northern Territory, </w:t>
      </w:r>
      <w:r w:rsidRPr="00A16B2D">
        <w:rPr>
          <w:rFonts w:cs="Arial"/>
          <w:i/>
        </w:rPr>
        <w:t>Fair Work and Strong Communities: Proposal for a Remote Development and Employment Scheme</w:t>
      </w:r>
      <w:r w:rsidRPr="00A16B2D">
        <w:rPr>
          <w:rFonts w:cs="Arial"/>
        </w:rPr>
        <w:t xml:space="preserve">, May 2017, </w:t>
      </w:r>
      <w:r>
        <w:rPr>
          <w:rFonts w:cs="Arial"/>
        </w:rPr>
        <w:t>23</w:t>
      </w:r>
      <w:r w:rsidRPr="00A16B2D">
        <w:rPr>
          <w:rFonts w:cs="Arial"/>
        </w:rPr>
        <w:t xml:space="preserve">. At: </w:t>
      </w:r>
      <w:hyperlink r:id="rId16" w:history="1">
        <w:r w:rsidRPr="00A16B2D">
          <w:rPr>
            <w:rStyle w:val="Hyperlink"/>
            <w:rFonts w:cs="Arial"/>
          </w:rPr>
          <w:t>http://www.amsant.org.au/apont/wp-content/uploads/2017/07/RDES-Report_Online.pdf</w:t>
        </w:r>
      </w:hyperlink>
      <w:r>
        <w:rPr>
          <w:rStyle w:val="Hyperlink"/>
          <w:rFonts w:cs="Arial"/>
        </w:rPr>
        <w:t xml:space="preserve"> </w:t>
      </w:r>
      <w:r w:rsidRPr="00A16B2D">
        <w:rPr>
          <w:rFonts w:cs="Arial"/>
        </w:rPr>
        <w:t>(viewed 25 January 2018).</w:t>
      </w:r>
    </w:p>
  </w:endnote>
  <w:endnote w:id="50">
    <w:p w14:paraId="41750E6B" w14:textId="62425DDC" w:rsidR="005F406F" w:rsidRDefault="005F406F">
      <w:pPr>
        <w:pStyle w:val="EndnoteText"/>
      </w:pPr>
      <w:r>
        <w:rPr>
          <w:rStyle w:val="EndnoteReference"/>
        </w:rPr>
        <w:endnoteRef/>
      </w:r>
      <w:r>
        <w:t xml:space="preserve"> </w:t>
      </w:r>
      <w:r w:rsidRPr="00A16B2D">
        <w:rPr>
          <w:rFonts w:cs="Arial"/>
        </w:rPr>
        <w:t xml:space="preserve">Aboriginal Peak Organisations Northern Territory, </w:t>
      </w:r>
      <w:r w:rsidRPr="00A16B2D">
        <w:rPr>
          <w:rFonts w:cs="Arial"/>
          <w:i/>
        </w:rPr>
        <w:t>Fair Work and Strong Communities: Proposal for a Remote Development and Employment Scheme</w:t>
      </w:r>
      <w:r w:rsidRPr="00A16B2D">
        <w:rPr>
          <w:rFonts w:cs="Arial"/>
        </w:rPr>
        <w:t xml:space="preserve">, May 2017, </w:t>
      </w:r>
      <w:r>
        <w:rPr>
          <w:rFonts w:cs="Arial"/>
        </w:rPr>
        <w:t>23</w:t>
      </w:r>
      <w:r w:rsidRPr="00A16B2D">
        <w:rPr>
          <w:rFonts w:cs="Arial"/>
        </w:rPr>
        <w:t xml:space="preserve">. At: </w:t>
      </w:r>
      <w:hyperlink r:id="rId17" w:history="1">
        <w:r w:rsidRPr="00A16B2D">
          <w:rPr>
            <w:rStyle w:val="Hyperlink"/>
            <w:rFonts w:cs="Arial"/>
          </w:rPr>
          <w:t>http://www.amsant.org.au/apont/wp-content/uploads/2017/07/RDES-Report_Online.pdf</w:t>
        </w:r>
      </w:hyperlink>
    </w:p>
  </w:endnote>
  <w:endnote w:id="51">
    <w:p w14:paraId="2546E631" w14:textId="48D002D3" w:rsidR="005F406F" w:rsidRDefault="005F406F" w:rsidP="007D09E0">
      <w:pPr>
        <w:pStyle w:val="EndnoteText"/>
      </w:pPr>
      <w:r>
        <w:rPr>
          <w:rStyle w:val="EndnoteReference"/>
        </w:rPr>
        <w:endnoteRef/>
      </w:r>
      <w:r>
        <w:t xml:space="preserve"> </w:t>
      </w:r>
      <w:proofErr w:type="spellStart"/>
      <w:r w:rsidRPr="00FF2BB3">
        <w:t>Kirrily</w:t>
      </w:r>
      <w:proofErr w:type="spellEnd"/>
      <w:r w:rsidRPr="00FF2BB3">
        <w:t xml:space="preserve"> Jordan </w:t>
      </w:r>
      <w:r>
        <w:t xml:space="preserve">and Lisa </w:t>
      </w:r>
      <w:proofErr w:type="spellStart"/>
      <w:r>
        <w:t>Fowkes</w:t>
      </w:r>
      <w:proofErr w:type="spellEnd"/>
      <w:r>
        <w:t>, “Job creation and income support in remote Indigenous</w:t>
      </w:r>
    </w:p>
    <w:p w14:paraId="12D06625" w14:textId="16A5D17E" w:rsidR="005F406F" w:rsidRPr="00BE061E" w:rsidRDefault="005F406F" w:rsidP="007D09E0">
      <w:pPr>
        <w:pStyle w:val="EndnoteText"/>
      </w:pPr>
      <w:r>
        <w:t xml:space="preserve">Australia: moving forward with a better system”, </w:t>
      </w:r>
      <w:r w:rsidRPr="009E1189">
        <w:t xml:space="preserve">CAEPR </w:t>
      </w:r>
      <w:r>
        <w:t>T</w:t>
      </w:r>
      <w:r w:rsidRPr="009E1189">
        <w:t xml:space="preserve">opical </w:t>
      </w:r>
      <w:r>
        <w:t>I</w:t>
      </w:r>
      <w:r w:rsidRPr="009E1189">
        <w:t xml:space="preserve">ssue </w:t>
      </w:r>
      <w:r>
        <w:t>No</w:t>
      </w:r>
      <w:r w:rsidRPr="009E1189">
        <w:t>. 2/2016</w:t>
      </w:r>
      <w:r>
        <w:t xml:space="preserve">, 6. </w:t>
      </w:r>
      <w:proofErr w:type="gramStart"/>
      <w:r>
        <w:t>At</w:t>
      </w:r>
      <w:proofErr w:type="gramEnd"/>
      <w:r>
        <w:t xml:space="preserve">: </w:t>
      </w:r>
      <w:hyperlink r:id="rId18" w:history="1">
        <w:r w:rsidRPr="00B14C6D">
          <w:rPr>
            <w:rStyle w:val="Hyperlink"/>
          </w:rPr>
          <w:t>http://caepr.cass.anu.edu.au/sites/default/files/docs/CAEPR_Topical_Issues_2_2016_0.pdf</w:t>
        </w:r>
      </w:hyperlink>
      <w:r>
        <w:t xml:space="preserve"> (viewed 30 January 2018); and </w:t>
      </w:r>
      <w:r w:rsidRPr="00A16B2D">
        <w:rPr>
          <w:rFonts w:cs="Arial"/>
        </w:rPr>
        <w:t xml:space="preserve">Aboriginal Peak Organisations Northern Territory, </w:t>
      </w:r>
      <w:r w:rsidRPr="00A16B2D">
        <w:rPr>
          <w:rFonts w:cs="Arial"/>
          <w:i/>
        </w:rPr>
        <w:t>Fair Work and Strong Communities: Proposal for a Remote Development and Employment Scheme</w:t>
      </w:r>
      <w:r w:rsidRPr="00A16B2D">
        <w:rPr>
          <w:rFonts w:cs="Arial"/>
        </w:rPr>
        <w:t xml:space="preserve">, May 2017, </w:t>
      </w:r>
      <w:r>
        <w:rPr>
          <w:rFonts w:cs="Arial"/>
        </w:rPr>
        <w:t>14</w:t>
      </w:r>
      <w:r w:rsidRPr="00A16B2D">
        <w:rPr>
          <w:rFonts w:cs="Arial"/>
        </w:rPr>
        <w:t xml:space="preserve">. At: </w:t>
      </w:r>
      <w:hyperlink r:id="rId19" w:history="1">
        <w:r w:rsidRPr="00A16B2D">
          <w:rPr>
            <w:rStyle w:val="Hyperlink"/>
            <w:rFonts w:cs="Arial"/>
          </w:rPr>
          <w:t>http://www.amsant.org.au/apont/wp-content/uploads/2017/07/RDES-Report_Online.pdf</w:t>
        </w:r>
      </w:hyperlink>
      <w:r>
        <w:rPr>
          <w:rStyle w:val="Hyperlink"/>
          <w:rFonts w:cs="Arial"/>
        </w:rPr>
        <w:t xml:space="preserve"> </w:t>
      </w:r>
      <w:r w:rsidRPr="00A16B2D">
        <w:rPr>
          <w:rFonts w:cs="Arial"/>
        </w:rPr>
        <w:t>(viewed 25 January 2018)</w:t>
      </w:r>
    </w:p>
  </w:endnote>
  <w:endnote w:id="52">
    <w:p w14:paraId="28409AA1" w14:textId="52F074EE" w:rsidR="005F406F" w:rsidRDefault="005F406F">
      <w:pPr>
        <w:pStyle w:val="EndnoteText"/>
      </w:pPr>
      <w:r>
        <w:rPr>
          <w:rStyle w:val="EndnoteReference"/>
        </w:rPr>
        <w:endnoteRef/>
      </w:r>
      <w:r>
        <w:t xml:space="preserve"> </w:t>
      </w:r>
      <w:r w:rsidRPr="00A16B2D">
        <w:rPr>
          <w:rFonts w:cs="Arial"/>
        </w:rPr>
        <w:t xml:space="preserve">Aboriginal Peak Organisations Northern Territory, </w:t>
      </w:r>
      <w:r w:rsidRPr="00A16B2D">
        <w:rPr>
          <w:rFonts w:cs="Arial"/>
          <w:i/>
        </w:rPr>
        <w:t>Fair Work and Strong Communities: Proposal for a Remote Development and Employment Scheme</w:t>
      </w:r>
      <w:r w:rsidRPr="00A16B2D">
        <w:rPr>
          <w:rFonts w:cs="Arial"/>
        </w:rPr>
        <w:t xml:space="preserve">, May 2017, </w:t>
      </w:r>
      <w:r>
        <w:rPr>
          <w:rFonts w:cs="Arial"/>
        </w:rPr>
        <w:t>18</w:t>
      </w:r>
      <w:r w:rsidRPr="00A16B2D">
        <w:rPr>
          <w:rFonts w:cs="Arial"/>
        </w:rPr>
        <w:t xml:space="preserve">. At: </w:t>
      </w:r>
      <w:hyperlink r:id="rId20" w:history="1">
        <w:r w:rsidRPr="00A16B2D">
          <w:rPr>
            <w:rStyle w:val="Hyperlink"/>
            <w:rFonts w:cs="Arial"/>
          </w:rPr>
          <w:t>http://www.amsant.org.au/apont/wp-content/uploads/2017/07/RDES-Report_Online.pdf</w:t>
        </w:r>
      </w:hyperlink>
      <w:r>
        <w:rPr>
          <w:rStyle w:val="Hyperlink"/>
          <w:rFonts w:cs="Arial"/>
        </w:rPr>
        <w:t xml:space="preserve"> </w:t>
      </w:r>
      <w:r w:rsidRPr="00A16B2D">
        <w:rPr>
          <w:rFonts w:cs="Arial"/>
        </w:rPr>
        <w:t>(viewed 25 January 2018).</w:t>
      </w:r>
    </w:p>
  </w:endnote>
  <w:endnote w:id="53">
    <w:p w14:paraId="3D55968B" w14:textId="77777777" w:rsidR="00676AB5" w:rsidRPr="00A16B2D" w:rsidRDefault="00676AB5" w:rsidP="00676AB5">
      <w:pPr>
        <w:pStyle w:val="EndnoteText"/>
        <w:rPr>
          <w:rFonts w:cs="Arial"/>
        </w:rPr>
      </w:pPr>
      <w:r w:rsidRPr="00A16B2D">
        <w:rPr>
          <w:rStyle w:val="EndnoteReference"/>
          <w:rFonts w:cs="Arial"/>
        </w:rPr>
        <w:endnoteRef/>
      </w:r>
      <w:r w:rsidRPr="00A16B2D">
        <w:rPr>
          <w:rFonts w:cs="Arial"/>
        </w:rPr>
        <w:t xml:space="preserve">See: Judy Atkinson, </w:t>
      </w:r>
      <w:r w:rsidRPr="00A16B2D">
        <w:rPr>
          <w:rFonts w:cs="Arial"/>
          <w:i/>
        </w:rPr>
        <w:t>Trauma-informed services and trauma-specific care for Indigenous Australian children</w:t>
      </w:r>
      <w:r w:rsidRPr="00A16B2D">
        <w:rPr>
          <w:rFonts w:cs="Arial"/>
        </w:rPr>
        <w:t xml:space="preserve">, </w:t>
      </w:r>
      <w:proofErr w:type="gramStart"/>
      <w:r w:rsidRPr="00A16B2D">
        <w:rPr>
          <w:rFonts w:cs="Arial"/>
        </w:rPr>
        <w:t>Closing</w:t>
      </w:r>
      <w:proofErr w:type="gramEnd"/>
      <w:r w:rsidRPr="00A16B2D">
        <w:rPr>
          <w:rFonts w:cs="Arial"/>
        </w:rPr>
        <w:t xml:space="preserve"> the gap clearinghouse Resources sheet no. 21 (2013). At </w:t>
      </w:r>
      <w:hyperlink r:id="rId21" w:history="1">
        <w:r w:rsidRPr="00A16B2D">
          <w:rPr>
            <w:rStyle w:val="Hyperlink"/>
            <w:rFonts w:cs="Arial"/>
          </w:rPr>
          <w:t>http://fwtdp.org.au/rap-resources/practice-resources/trauma-informed-care</w:t>
        </w:r>
      </w:hyperlink>
      <w:r w:rsidRPr="00A16B2D">
        <w:rPr>
          <w:rFonts w:cs="Arial"/>
        </w:rPr>
        <w:t xml:space="preserve"> (viewed 23 January 2018)</w:t>
      </w:r>
      <w:proofErr w:type="gramStart"/>
      <w:r w:rsidRPr="00A16B2D">
        <w:rPr>
          <w:rFonts w:cs="Arial"/>
        </w:rPr>
        <w:t>;</w:t>
      </w:r>
      <w:proofErr w:type="gramEnd"/>
      <w:r w:rsidRPr="00A16B2D">
        <w:rPr>
          <w:rFonts w:cs="Arial"/>
        </w:rPr>
        <w:t xml:space="preserve"> </w:t>
      </w:r>
      <w:r w:rsidRPr="00A16B2D">
        <w:rPr>
          <w:rFonts w:cs="Arial"/>
          <w:color w:val="000000" w:themeColor="text1"/>
        </w:rPr>
        <w:t xml:space="preserve">and Australian Human Rights Commission, </w:t>
      </w:r>
      <w:r w:rsidRPr="00A16B2D">
        <w:rPr>
          <w:rFonts w:cs="Arial"/>
          <w:i/>
          <w:color w:val="000000" w:themeColor="text1"/>
        </w:rPr>
        <w:t>Social Justice Report 2011</w:t>
      </w:r>
      <w:r w:rsidRPr="00A16B2D">
        <w:rPr>
          <w:rFonts w:cs="Arial"/>
          <w:color w:val="000000" w:themeColor="text1"/>
        </w:rPr>
        <w:t xml:space="preserve">, 149. At </w:t>
      </w:r>
      <w:hyperlink r:id="rId22" w:history="1">
        <w:r w:rsidRPr="00A16B2D">
          <w:rPr>
            <w:rStyle w:val="Hyperlink"/>
            <w:rFonts w:cs="Arial"/>
          </w:rPr>
          <w:t>https://www.humanrights.gov.au/our-work/aboriginal-and-torres-strait-islander-social-justice/publications/social-justice-report-3</w:t>
        </w:r>
      </w:hyperlink>
      <w:r w:rsidRPr="00A16B2D">
        <w:rPr>
          <w:rFonts w:cs="Arial"/>
          <w:color w:val="000000" w:themeColor="text1"/>
        </w:rPr>
        <w:t xml:space="preserve"> (viewed 22 January 2018)</w:t>
      </w:r>
      <w:r>
        <w:rPr>
          <w:rFonts w:cs="Arial"/>
        </w:rPr>
        <w:t>.</w:t>
      </w:r>
    </w:p>
  </w:endnote>
  <w:endnote w:id="54">
    <w:p w14:paraId="3655BE13" w14:textId="77777777" w:rsidR="00676AB5" w:rsidRPr="00A16B2D" w:rsidRDefault="00676AB5" w:rsidP="00676AB5">
      <w:pPr>
        <w:pStyle w:val="EndnoteText"/>
        <w:rPr>
          <w:rFonts w:cs="Arial"/>
        </w:rPr>
      </w:pPr>
      <w:r w:rsidRPr="00A16B2D">
        <w:rPr>
          <w:rStyle w:val="EndnoteReference"/>
          <w:rFonts w:cs="Arial"/>
        </w:rPr>
        <w:endnoteRef/>
      </w:r>
      <w:r w:rsidRPr="00A16B2D">
        <w:rPr>
          <w:rFonts w:cs="Arial"/>
        </w:rPr>
        <w:t xml:space="preserve"> Department of the Prime Minister and Cabinet, </w:t>
      </w:r>
      <w:r w:rsidRPr="00A16B2D">
        <w:rPr>
          <w:rFonts w:cs="Arial"/>
          <w:i/>
        </w:rPr>
        <w:t>Discussion Paper: Remote Employment and Participation</w:t>
      </w:r>
      <w:r w:rsidRPr="00A16B2D">
        <w:rPr>
          <w:rFonts w:cs="Arial"/>
        </w:rPr>
        <w:t xml:space="preserve">, 14. At </w:t>
      </w:r>
      <w:hyperlink r:id="rId23" w:history="1">
        <w:r w:rsidRPr="00A16B2D">
          <w:rPr>
            <w:rStyle w:val="Hyperlink"/>
            <w:rFonts w:cs="Arial"/>
          </w:rPr>
          <w:t>https://www.pmc.gov.au/resource-centre/indigenous-affairs/discussion-paper-remote-employment-and-participation</w:t>
        </w:r>
      </w:hyperlink>
      <w:r w:rsidRPr="00A16B2D">
        <w:rPr>
          <w:rFonts w:cs="Arial"/>
        </w:rPr>
        <w:t xml:space="preserve"> (viewed 25 January 2018).</w:t>
      </w:r>
    </w:p>
  </w:endnote>
  <w:endnote w:id="55">
    <w:p w14:paraId="5E2BAABF" w14:textId="77777777" w:rsidR="00676AB5" w:rsidRPr="00A16B2D" w:rsidRDefault="00676AB5" w:rsidP="00676AB5">
      <w:pPr>
        <w:pStyle w:val="EndnoteText"/>
        <w:rPr>
          <w:rFonts w:cs="Arial"/>
        </w:rPr>
      </w:pPr>
      <w:r w:rsidRPr="00A16B2D">
        <w:rPr>
          <w:rStyle w:val="EndnoteReference"/>
          <w:rFonts w:cs="Arial"/>
        </w:rPr>
        <w:endnoteRef/>
      </w:r>
      <w:r w:rsidRPr="00A16B2D">
        <w:rPr>
          <w:rFonts w:cs="Arial"/>
        </w:rPr>
        <w:t xml:space="preserve"> Department of the Prime Minister and Cabinet, </w:t>
      </w:r>
      <w:r w:rsidRPr="00A16B2D">
        <w:rPr>
          <w:rFonts w:cs="Arial"/>
          <w:i/>
        </w:rPr>
        <w:t>Discussion Paper: Remote Employment and Participation</w:t>
      </w:r>
      <w:r w:rsidRPr="00A16B2D">
        <w:rPr>
          <w:rFonts w:cs="Arial"/>
        </w:rPr>
        <w:t xml:space="preserve">, 11. At </w:t>
      </w:r>
      <w:hyperlink r:id="rId24" w:history="1">
        <w:r w:rsidRPr="00A16B2D">
          <w:rPr>
            <w:rStyle w:val="Hyperlink"/>
            <w:rFonts w:cs="Arial"/>
          </w:rPr>
          <w:t>https://www.pmc.gov.au/resource-centre/indigenous-affairs/discussion-paper-remote-employment-and-participation</w:t>
        </w:r>
      </w:hyperlink>
      <w:r w:rsidRPr="00A16B2D">
        <w:rPr>
          <w:rFonts w:cs="Arial"/>
        </w:rPr>
        <w:t xml:space="preserve"> (viewed 25 January 2018).</w:t>
      </w:r>
    </w:p>
  </w:endnote>
  <w:endnote w:id="56">
    <w:p w14:paraId="62801503" w14:textId="0DE99CBD" w:rsidR="005F406F" w:rsidRPr="00A16B2D" w:rsidRDefault="005F406F" w:rsidP="00556419">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xml:space="preserve">, UN Doc E/C.12/GC/19 (4 February 2008) para 46. </w:t>
      </w:r>
    </w:p>
  </w:endnote>
  <w:endnote w:id="57">
    <w:p w14:paraId="44AFA5C5" w14:textId="4C998BFC" w:rsidR="005F406F" w:rsidRPr="00A16B2D" w:rsidRDefault="005F406F">
      <w:pPr>
        <w:pStyle w:val="EndnoteText"/>
        <w:rPr>
          <w:rFonts w:cs="Arial"/>
        </w:rPr>
      </w:pPr>
      <w:r w:rsidRPr="00A16B2D">
        <w:rPr>
          <w:rStyle w:val="EndnoteReference"/>
          <w:rFonts w:cs="Arial"/>
        </w:rPr>
        <w:endnoteRef/>
      </w:r>
      <w:r w:rsidRPr="00A16B2D">
        <w:rPr>
          <w:rFonts w:cs="Arial"/>
        </w:rPr>
        <w:t xml:space="preserve"> Committee on Economic, Social and Cultural Rights, General Comment No 19: The right to social security, 39th </w:t>
      </w:r>
      <w:proofErr w:type="spellStart"/>
      <w:r w:rsidRPr="00A16B2D">
        <w:rPr>
          <w:rFonts w:cs="Arial"/>
        </w:rPr>
        <w:t>sess</w:t>
      </w:r>
      <w:proofErr w:type="spellEnd"/>
      <w:r w:rsidRPr="00A16B2D">
        <w:rPr>
          <w:rFonts w:cs="Arial"/>
        </w:rPr>
        <w:t>, UN Doc E/C.12/GC/19 (4 February 2008) paras 43 and 46.</w:t>
      </w:r>
    </w:p>
  </w:endnote>
  <w:endnote w:id="58">
    <w:p w14:paraId="099764BC" w14:textId="77777777" w:rsidR="005F406F" w:rsidRPr="00A16B2D" w:rsidRDefault="005F406F" w:rsidP="00932036">
      <w:pPr>
        <w:pStyle w:val="EndnoteText"/>
        <w:rPr>
          <w:rFonts w:cs="Arial"/>
        </w:rPr>
      </w:pPr>
      <w:r w:rsidRPr="00A16B2D">
        <w:rPr>
          <w:rStyle w:val="EndnoteReference"/>
          <w:rFonts w:cs="Arial"/>
        </w:rPr>
        <w:endnoteRef/>
      </w:r>
      <w:r w:rsidRPr="00A16B2D">
        <w:rPr>
          <w:rFonts w:cs="Arial"/>
        </w:rPr>
        <w:t xml:space="preserve"> Committee on Economic, Social and Cultural Rights</w:t>
      </w:r>
      <w:r w:rsidRPr="00A16B2D">
        <w:rPr>
          <w:rFonts w:cs="Arial"/>
          <w:i/>
        </w:rPr>
        <w:t>, General Comment No 19: The right to social security</w:t>
      </w:r>
      <w:r w:rsidRPr="00A16B2D">
        <w:rPr>
          <w:rFonts w:cs="Arial"/>
        </w:rPr>
        <w:t>, 39</w:t>
      </w:r>
      <w:r w:rsidRPr="00A16B2D">
        <w:rPr>
          <w:rFonts w:cs="Arial"/>
          <w:vertAlign w:val="superscript"/>
        </w:rPr>
        <w:t>th</w:t>
      </w:r>
      <w:r w:rsidRPr="00A16B2D">
        <w:rPr>
          <w:rFonts w:cs="Arial"/>
        </w:rPr>
        <w:t xml:space="preserve"> </w:t>
      </w:r>
      <w:proofErr w:type="spellStart"/>
      <w:r w:rsidRPr="00A16B2D">
        <w:rPr>
          <w:rFonts w:cs="Arial"/>
        </w:rPr>
        <w:t>sess</w:t>
      </w:r>
      <w:proofErr w:type="spellEnd"/>
      <w:r w:rsidRPr="00A16B2D">
        <w:rPr>
          <w:rFonts w:cs="Arial"/>
        </w:rPr>
        <w:t>, UN Doc E/C.12/GC/19 (4 February 2008) para 29.</w:t>
      </w:r>
    </w:p>
  </w:endnote>
  <w:endnote w:id="59">
    <w:p w14:paraId="3FB12855" w14:textId="4E677A62" w:rsidR="005F406F" w:rsidRPr="00A16B2D" w:rsidRDefault="005F406F" w:rsidP="0031561E">
      <w:pPr>
        <w:pStyle w:val="EndnoteText"/>
        <w:rPr>
          <w:rFonts w:cs="Arial"/>
        </w:rPr>
      </w:pPr>
      <w:r w:rsidRPr="00A16B2D">
        <w:rPr>
          <w:rStyle w:val="EndnoteReference"/>
          <w:rFonts w:cs="Arial"/>
        </w:rPr>
        <w:endnoteRef/>
      </w:r>
      <w:r w:rsidRPr="00A16B2D">
        <w:rPr>
          <w:rFonts w:cs="Arial"/>
        </w:rPr>
        <w:t xml:space="preserv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(December 2017),</w:t>
      </w:r>
      <w:r>
        <w:rPr>
          <w:rFonts w:cs="Arial"/>
        </w:rPr>
        <w:t xml:space="preserve"> 53-56, 106; and </w:t>
      </w:r>
      <w:r w:rsidRPr="00A16B2D">
        <w:rPr>
          <w:rFonts w:cs="Arial"/>
        </w:rPr>
        <w:t xml:space="preserve">Lisa </w:t>
      </w:r>
      <w:proofErr w:type="spellStart"/>
      <w:r w:rsidRPr="00A16B2D">
        <w:rPr>
          <w:rFonts w:cs="Arial"/>
        </w:rPr>
        <w:t>Fowkes</w:t>
      </w:r>
      <w:proofErr w:type="spellEnd"/>
      <w:r w:rsidRPr="00A16B2D">
        <w:rPr>
          <w:rFonts w:cs="Arial"/>
        </w:rPr>
        <w:t xml:space="preserve">, “”Background Note on CDP”, the Centre for Aboriginal Economic Policy Research, Australian National University, April 2017. At </w:t>
      </w:r>
      <w:hyperlink r:id="rId25" w:history="1">
        <w:r w:rsidRPr="00A16B2D">
          <w:rPr>
            <w:rStyle w:val="Hyperlink"/>
            <w:rFonts w:cs="Arial"/>
          </w:rPr>
          <w:t>https://www.clc.org.au/Remote-Employment-Program/CDP-Background-briefing-April-2017.docx</w:t>
        </w:r>
      </w:hyperlink>
      <w:r w:rsidRPr="00A16B2D">
        <w:rPr>
          <w:rFonts w:cs="Arial"/>
        </w:rPr>
        <w:t xml:space="preserve"> (viewed </w:t>
      </w:r>
      <w:r>
        <w:rPr>
          <w:rFonts w:cs="Arial"/>
        </w:rPr>
        <w:t>30</w:t>
      </w:r>
      <w:r w:rsidRPr="00A16B2D">
        <w:rPr>
          <w:rFonts w:cs="Arial"/>
        </w:rPr>
        <w:t xml:space="preserve"> January 2018).</w:t>
      </w:r>
    </w:p>
  </w:endnote>
  <w:endnote w:id="60">
    <w:p w14:paraId="1AE58541" w14:textId="34A2D1DC" w:rsidR="005F406F" w:rsidRPr="00A16B2D" w:rsidRDefault="005F406F">
      <w:pPr>
        <w:pStyle w:val="EndnoteText"/>
        <w:rPr>
          <w:rFonts w:cs="Arial"/>
        </w:rPr>
      </w:pPr>
      <w:r w:rsidRPr="00A16B2D">
        <w:rPr>
          <w:rStyle w:val="EndnoteReference"/>
          <w:rFonts w:cs="Arial"/>
        </w:rPr>
        <w:endnoteRef/>
      </w:r>
      <w:r w:rsidRPr="00A16B2D">
        <w:rPr>
          <w:rFonts w:cs="Arial"/>
        </w:rPr>
        <w:t xml:space="preserve"> Aboriginal Peak Organisations Northern Territory, </w:t>
      </w:r>
      <w:r w:rsidRPr="00A16B2D">
        <w:rPr>
          <w:rFonts w:cs="Arial"/>
          <w:i/>
        </w:rPr>
        <w:t>Fair Work and Strong Communities: Proposal for a Remote Development and Employment Scheme</w:t>
      </w:r>
      <w:r w:rsidRPr="00A16B2D">
        <w:rPr>
          <w:rFonts w:cs="Arial"/>
        </w:rPr>
        <w:t xml:space="preserve">, May 2017, 14. At: </w:t>
      </w:r>
      <w:hyperlink r:id="rId26" w:history="1">
        <w:r w:rsidRPr="00A16B2D">
          <w:rPr>
            <w:rStyle w:val="Hyperlink"/>
            <w:rFonts w:cs="Arial"/>
          </w:rPr>
          <w:t>http://www.amsant.org.au/apont/wp-content/uploads/2017/07/RDES-Report_Online.pdf</w:t>
        </w:r>
      </w:hyperlink>
    </w:p>
  </w:endnote>
  <w:endnote w:id="61">
    <w:p w14:paraId="3194479C" w14:textId="544AF677" w:rsidR="005F406F" w:rsidRPr="00A16B2D" w:rsidRDefault="005F406F">
      <w:pPr>
        <w:pStyle w:val="EndnoteText"/>
        <w:rPr>
          <w:rFonts w:cs="Arial"/>
        </w:rPr>
      </w:pPr>
      <w:r w:rsidRPr="00A16B2D">
        <w:rPr>
          <w:rStyle w:val="EndnoteReference"/>
          <w:rFonts w:cs="Arial"/>
        </w:rPr>
        <w:endnoteRef/>
      </w:r>
      <w:r w:rsidRPr="00A16B2D">
        <w:rPr>
          <w:rFonts w:cs="Arial"/>
        </w:rPr>
        <w:t xml:space="preserve"> Helen Davidson, ‘Glowing review of Indigenous protected areas leaves sector proud but perplexed’, </w:t>
      </w:r>
      <w:r w:rsidRPr="00A16B2D">
        <w:rPr>
          <w:rFonts w:cs="Arial"/>
          <w:i/>
        </w:rPr>
        <w:t xml:space="preserve">The Guardian </w:t>
      </w:r>
      <w:r w:rsidRPr="00A16B2D">
        <w:rPr>
          <w:rFonts w:cs="Arial"/>
        </w:rPr>
        <w:t xml:space="preserve">(online) 14 May 2016. At </w:t>
      </w:r>
      <w:hyperlink r:id="rId27" w:history="1">
        <w:r w:rsidRPr="00A16B2D">
          <w:rPr>
            <w:rStyle w:val="Hyperlink"/>
            <w:rFonts w:cs="Arial"/>
          </w:rPr>
          <w:t>https://www.theguardian.com/australia-news/2016/may/14/glowing-review-of-indigenous-protected-areas-leaves-sector-proud-but-perplexed</w:t>
        </w:r>
      </w:hyperlink>
      <w:r w:rsidRPr="00A16B2D">
        <w:rPr>
          <w:rFonts w:cs="Arial"/>
        </w:rPr>
        <w:t xml:space="preserve"> (viewed 25 January 2018).</w:t>
      </w:r>
    </w:p>
  </w:endnote>
  <w:endnote w:id="62">
    <w:p w14:paraId="3717C19B" w14:textId="77777777" w:rsidR="005F406F" w:rsidRPr="00A16B2D" w:rsidRDefault="005F406F" w:rsidP="008617DB">
      <w:pPr>
        <w:pStyle w:val="EndnoteText"/>
        <w:rPr>
          <w:rFonts w:cs="Arial"/>
        </w:rPr>
      </w:pPr>
      <w:r w:rsidRPr="00A16B2D">
        <w:rPr>
          <w:rStyle w:val="EndnoteReference"/>
          <w:rFonts w:cs="Arial"/>
        </w:rPr>
        <w:endnoteRef/>
      </w:r>
      <w:r w:rsidRPr="00A16B2D">
        <w:rPr>
          <w:rFonts w:cs="Arial"/>
        </w:rPr>
        <w:t xml:space="preserve"> This was one of the key recommendations from the Senate Finance and Public Administration Legislation Committee inquiry, which stated </w:t>
      </w:r>
      <w:proofErr w:type="gramStart"/>
      <w:r w:rsidRPr="00A16B2D">
        <w:rPr>
          <w:rFonts w:cs="Arial"/>
        </w:rPr>
        <w:t>that:</w:t>
      </w:r>
      <w:proofErr w:type="gramEnd"/>
      <w:r w:rsidRPr="00A16B2D">
        <w:rPr>
          <w:rFonts w:cs="Arial"/>
        </w:rPr>
        <w:t xml:space="preserve"> “the definition of work activities under the revised CDP program should be expanded to include cultural transmission activities that are prioritised by the local community in their local jobs plans”. See: The Senate Finance and Public Administration References Committee inquiry in to the “Appropriateness and effectiveness of the objectives, design, implementation and evaluation of the Community Development Program (CDP)” (December 2017), p. 114 at </w:t>
      </w:r>
      <w:hyperlink r:id="rId28" w:history="1">
        <w:r w:rsidRPr="00A16B2D">
          <w:rPr>
            <w:rStyle w:val="Hyperlink"/>
            <w:rFonts w:cs="Arial"/>
          </w:rPr>
          <w:t>https://www.aph.gov.au/Parliamentary_Business/Committees/Senate/Finance_and_Public_Administration/CDP/Report</w:t>
        </w:r>
      </w:hyperlink>
      <w:r w:rsidRPr="00A16B2D">
        <w:rPr>
          <w:rStyle w:val="Hyperlink"/>
          <w:rFonts w:cs="Arial"/>
        </w:rPr>
        <w:t xml:space="preserve"> </w:t>
      </w:r>
    </w:p>
  </w:endnote>
  <w:endnote w:id="63">
    <w:p w14:paraId="0EA7C929" w14:textId="562F3A92" w:rsidR="005F406F" w:rsidRPr="00A16B2D" w:rsidRDefault="005F406F" w:rsidP="008617DB">
      <w:pPr>
        <w:pStyle w:val="EndnoteText"/>
        <w:rPr>
          <w:rFonts w:cs="Arial"/>
        </w:rPr>
      </w:pPr>
      <w:r w:rsidRPr="00A16B2D">
        <w:rPr>
          <w:rStyle w:val="EndnoteReference"/>
          <w:rFonts w:cs="Arial"/>
        </w:rPr>
        <w:endnoteRef/>
      </w:r>
      <w:r w:rsidRPr="00A16B2D">
        <w:rPr>
          <w:rFonts w:cs="Arial"/>
        </w:rPr>
        <w:t xml:space="preserve"> Aboriginal Peak Organisations Northern Territory, </w:t>
      </w:r>
      <w:r w:rsidRPr="00A16B2D">
        <w:rPr>
          <w:rFonts w:cs="Arial"/>
          <w:i/>
        </w:rPr>
        <w:t>Fair Work and Strong Communities: Proposal for a Remote Development and Employment Scheme</w:t>
      </w:r>
      <w:r w:rsidRPr="00A16B2D">
        <w:rPr>
          <w:rFonts w:cs="Arial"/>
        </w:rPr>
        <w:t xml:space="preserve">, May 2017, 6. At: </w:t>
      </w:r>
      <w:hyperlink r:id="rId29" w:history="1">
        <w:r w:rsidRPr="00A16B2D">
          <w:rPr>
            <w:rStyle w:val="Hyperlink"/>
            <w:rFonts w:cs="Arial"/>
          </w:rPr>
          <w:t>http://www.amsant.org.au/apont/wp-content/uploads/2017/07/RDES-Report_Online.pdf</w:t>
        </w:r>
      </w:hyperlink>
      <w:r>
        <w:rPr>
          <w:rStyle w:val="Hyperlink"/>
          <w:rFonts w:cs="Arial"/>
        </w:rPr>
        <w:t xml:space="preserve"> </w:t>
      </w:r>
      <w:r w:rsidRPr="00A16B2D">
        <w:rPr>
          <w:rFonts w:cs="Arial"/>
        </w:rPr>
        <w:t>(viewed 25 January 2018).</w:t>
      </w:r>
    </w:p>
  </w:endnote>
  <w:endnote w:id="64">
    <w:p w14:paraId="67B567C3" w14:textId="4669023A" w:rsidR="005F406F" w:rsidRPr="00A16B2D" w:rsidRDefault="005F406F">
      <w:pPr>
        <w:pStyle w:val="EndnoteText"/>
        <w:rPr>
          <w:rFonts w:cs="Arial"/>
        </w:rPr>
      </w:pPr>
      <w:r w:rsidRPr="00A16B2D">
        <w:rPr>
          <w:rStyle w:val="EndnoteReference"/>
          <w:rFonts w:cs="Arial"/>
        </w:rPr>
        <w:endnoteRef/>
      </w:r>
      <w:r w:rsidRPr="00A16B2D">
        <w:rPr>
          <w:rFonts w:cs="Arial"/>
        </w:rPr>
        <w:t xml:space="preserve"> Australian Human Rights Commission, Submission 21 to the Senate Finance and Public Administration Legislation Committee, </w:t>
      </w:r>
      <w:r w:rsidRPr="00A16B2D">
        <w:rPr>
          <w:rFonts w:cs="Arial"/>
          <w:i/>
        </w:rPr>
        <w:t>Inquiry in to the Social Security Legislation Amendment (Community Development Program) Bill 2015</w:t>
      </w:r>
      <w:r w:rsidRPr="00A16B2D">
        <w:rPr>
          <w:rFonts w:cs="Arial"/>
        </w:rPr>
        <w:t>, 5 February 2016.</w:t>
      </w:r>
    </w:p>
  </w:endnote>
  <w:endnote w:id="65">
    <w:p w14:paraId="3BD15ACB" w14:textId="406CBBAC" w:rsidR="005F406F" w:rsidRPr="00A16B2D" w:rsidRDefault="005F406F">
      <w:pPr>
        <w:pStyle w:val="EndnoteText"/>
        <w:rPr>
          <w:rFonts w:cs="Arial"/>
        </w:rPr>
      </w:pPr>
      <w:r w:rsidRPr="00A16B2D">
        <w:rPr>
          <w:rStyle w:val="EndnoteReference"/>
          <w:rFonts w:cs="Arial"/>
        </w:rPr>
        <w:endnoteRef/>
      </w:r>
      <w:r w:rsidRPr="00A16B2D">
        <w:rPr>
          <w:rFonts w:cs="Arial"/>
        </w:rPr>
        <w:t xml:space="preserve"> Australian Human Rights Commission, Submission 21 to the Senate Finance and Public Administration Legislation Committee, </w:t>
      </w:r>
      <w:r w:rsidRPr="00A16B2D">
        <w:rPr>
          <w:rFonts w:cs="Arial"/>
          <w:i/>
        </w:rPr>
        <w:t>Inquiry in to the Social Security Legislation Amendment (Community Development Program) Bill 2015</w:t>
      </w:r>
      <w:r w:rsidRPr="00A16B2D">
        <w:rPr>
          <w:rFonts w:cs="Arial"/>
        </w:rPr>
        <w:t xml:space="preserve">, 5 February 2016, 2. </w:t>
      </w:r>
    </w:p>
  </w:endnote>
  <w:endnote w:id="66">
    <w:p w14:paraId="6E4B8DBD" w14:textId="6A6ECAC7" w:rsidR="005F406F" w:rsidRPr="00A16B2D" w:rsidRDefault="005F406F">
      <w:pPr>
        <w:pStyle w:val="EndnoteText"/>
        <w:rPr>
          <w:rFonts w:cs="Arial"/>
        </w:rPr>
      </w:pPr>
      <w:r w:rsidRPr="00A16B2D">
        <w:rPr>
          <w:rStyle w:val="EndnoteReference"/>
          <w:rFonts w:cs="Arial"/>
        </w:rPr>
        <w:endnoteRef/>
      </w:r>
      <w:r w:rsidRPr="00A16B2D">
        <w:rPr>
          <w:rFonts w:cs="Arial"/>
        </w:rPr>
        <w:t xml:space="preserve"> Australian Human Rights Commission, Submission 21 to the Senate Finance and Public Administration Legislation Committee, </w:t>
      </w:r>
      <w:r w:rsidRPr="00A16B2D">
        <w:rPr>
          <w:rFonts w:cs="Arial"/>
          <w:i/>
        </w:rPr>
        <w:t>Inquiry in to the Social Security Legislation Amendment (Community Development Program) Bill 2015</w:t>
      </w:r>
      <w:r w:rsidRPr="00A16B2D">
        <w:rPr>
          <w:rFonts w:cs="Arial"/>
        </w:rPr>
        <w:t xml:space="preserve">, 5 February 2016, 2. </w:t>
      </w:r>
    </w:p>
  </w:endnote>
  <w:endnote w:id="67">
    <w:p w14:paraId="0CA6FC89" w14:textId="29C2B11A" w:rsidR="005F406F" w:rsidRPr="00A16B2D" w:rsidRDefault="005F406F">
      <w:pPr>
        <w:pStyle w:val="EndnoteText"/>
        <w:rPr>
          <w:rFonts w:cs="Arial"/>
        </w:rPr>
      </w:pPr>
      <w:r w:rsidRPr="00A16B2D">
        <w:rPr>
          <w:rStyle w:val="EndnoteReference"/>
          <w:rFonts w:cs="Arial"/>
        </w:rPr>
        <w:endnoteRef/>
      </w:r>
      <w:r w:rsidRPr="00A16B2D">
        <w:rPr>
          <w:rFonts w:cs="Arial"/>
        </w:rPr>
        <w:t xml:space="preserve"> Parliamentary Joint Committee on Human Rights, thirty-third report of the 44th Parliament, p.7.</w:t>
      </w:r>
    </w:p>
  </w:endnote>
  <w:endnote w:id="68">
    <w:p w14:paraId="13162AA2" w14:textId="77777777" w:rsidR="00CC087D" w:rsidRPr="00A16B2D" w:rsidRDefault="00CC087D" w:rsidP="00CC087D">
      <w:pPr>
        <w:pStyle w:val="EndnoteText"/>
        <w:rPr>
          <w:rFonts w:cs="Arial"/>
        </w:rPr>
      </w:pPr>
      <w:r w:rsidRPr="00A16B2D">
        <w:rPr>
          <w:rStyle w:val="EndnoteReference"/>
          <w:rFonts w:cs="Arial"/>
        </w:rPr>
        <w:endnoteRef/>
      </w:r>
      <w:r w:rsidRPr="00A16B2D">
        <w:rPr>
          <w:rFonts w:cs="Arial"/>
        </w:rPr>
        <w:t xml:space="preserve"> Department of the Prime Minister and Cabinet, </w:t>
      </w:r>
      <w:r w:rsidRPr="00A16B2D">
        <w:rPr>
          <w:rFonts w:cs="Arial"/>
          <w:i/>
        </w:rPr>
        <w:t>Discussion Paper: Remote Employment and Participation</w:t>
      </w:r>
      <w:r w:rsidRPr="00A16B2D">
        <w:rPr>
          <w:rFonts w:cs="Arial"/>
        </w:rPr>
        <w:t xml:space="preserve">, 14. At </w:t>
      </w:r>
      <w:hyperlink r:id="rId30" w:history="1">
        <w:r w:rsidRPr="00A16B2D">
          <w:rPr>
            <w:rStyle w:val="Hyperlink"/>
            <w:rFonts w:cs="Arial"/>
          </w:rPr>
          <w:t>https://www.pmc.gov.au/resource-centre/indigenous-affairs/discussion-paper-remote-employment-and-participation</w:t>
        </w:r>
      </w:hyperlink>
      <w:r w:rsidRPr="00A16B2D">
        <w:rPr>
          <w:rFonts w:cs="Arial"/>
        </w:rPr>
        <w:t xml:space="preserve"> (viewed 25 January 2018).</w:t>
      </w:r>
    </w:p>
  </w:endnote>
  <w:endnote w:id="69">
    <w:p w14:paraId="6DD0FED4" w14:textId="7768DFC9" w:rsidR="005F406F" w:rsidRPr="00A16B2D" w:rsidRDefault="005F406F">
      <w:pPr>
        <w:pStyle w:val="EndnoteText"/>
        <w:rPr>
          <w:rFonts w:cs="Arial"/>
        </w:rPr>
      </w:pPr>
      <w:r w:rsidRPr="00A16B2D">
        <w:rPr>
          <w:rStyle w:val="EndnoteReference"/>
          <w:rFonts w:cs="Arial"/>
        </w:rPr>
        <w:endnoteRef/>
      </w:r>
      <w:r w:rsidRPr="00A16B2D">
        <w:rPr>
          <w:rFonts w:cs="Arial"/>
        </w:rPr>
        <w:t xml:space="preserv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(December 2017), 109. </w:t>
      </w:r>
    </w:p>
  </w:endnote>
  <w:endnote w:id="70">
    <w:p w14:paraId="12C0C942" w14:textId="222E74ED" w:rsidR="005F406F" w:rsidRPr="00A16B2D" w:rsidRDefault="005F406F" w:rsidP="0043536A">
      <w:pPr>
        <w:pStyle w:val="EndnoteText"/>
        <w:rPr>
          <w:rFonts w:cs="Arial"/>
        </w:rPr>
      </w:pPr>
      <w:r w:rsidRPr="00A16B2D">
        <w:rPr>
          <w:rStyle w:val="EndnoteReference"/>
          <w:rFonts w:cs="Arial"/>
        </w:rPr>
        <w:endnoteRef/>
      </w:r>
      <w:r w:rsidRPr="00A16B2D">
        <w:rPr>
          <w:rFonts w:cs="Arial"/>
        </w:rPr>
        <w:t xml:space="preserve"> See: Social Justice and Native Title Report 2015, Chapter 2; Social Justice and Native Title Report 2016, Chapter 2; and Australian Human Rights Commission, submission 30 to the Community Affairs Legislation Committee,  </w:t>
      </w:r>
      <w:r w:rsidRPr="00A16B2D">
        <w:rPr>
          <w:rFonts w:cs="Arial"/>
          <w:i/>
        </w:rPr>
        <w:t>Inquiry into the Social Security Legislation Amendment (Debit Card Trial) Bill 2015</w:t>
      </w:r>
      <w:r w:rsidRPr="00A16B2D">
        <w:rPr>
          <w:rFonts w:cs="Arial"/>
        </w:rPr>
        <w:t xml:space="preserve">, 29 September 2017. </w:t>
      </w:r>
    </w:p>
  </w:endnote>
  <w:endnote w:id="71">
    <w:p w14:paraId="37C62EE1" w14:textId="53A2FF6B" w:rsidR="005F406F" w:rsidRPr="00A16B2D" w:rsidRDefault="005F406F">
      <w:pPr>
        <w:pStyle w:val="EndnoteText"/>
        <w:rPr>
          <w:rFonts w:cs="Arial"/>
        </w:rPr>
      </w:pPr>
      <w:r w:rsidRPr="00A16B2D">
        <w:rPr>
          <w:rStyle w:val="EndnoteReference"/>
          <w:rFonts w:cs="Arial"/>
        </w:rPr>
        <w:endnoteRef/>
      </w:r>
      <w:r w:rsidRPr="00A16B2D">
        <w:rPr>
          <w:rFonts w:cs="Arial"/>
        </w:rPr>
        <w:t xml:space="preserve"> Australian Human Rights Commission, submission 30 to the Community Affairs Legislation Committee,  </w:t>
      </w:r>
      <w:r w:rsidRPr="00A16B2D">
        <w:rPr>
          <w:rFonts w:cs="Arial"/>
          <w:i/>
        </w:rPr>
        <w:t>Inquiry into the Social Security Legislation Amendment (Debit Card Trial) Bill 2015</w:t>
      </w:r>
      <w:r w:rsidRPr="00A16B2D">
        <w:rPr>
          <w:rFonts w:cs="Arial"/>
        </w:rPr>
        <w:t xml:space="preserve">, 29 September 2017. </w:t>
      </w:r>
    </w:p>
  </w:endnote>
  <w:endnote w:id="72">
    <w:p w14:paraId="5D6CD5E3" w14:textId="76997D40" w:rsidR="005F406F" w:rsidRPr="00A16B2D" w:rsidRDefault="005F406F">
      <w:pPr>
        <w:pStyle w:val="EndnoteText"/>
        <w:rPr>
          <w:rFonts w:cs="Arial"/>
        </w:rPr>
      </w:pPr>
      <w:r w:rsidRPr="00A16B2D">
        <w:rPr>
          <w:rStyle w:val="EndnoteReference"/>
          <w:rFonts w:cs="Arial"/>
        </w:rPr>
        <w:endnoteRef/>
      </w:r>
      <w:r w:rsidRPr="00A16B2D">
        <w:rPr>
          <w:rFonts w:cs="Arial"/>
        </w:rPr>
        <w:t xml:space="preserve"> </w:t>
      </w:r>
      <w:r>
        <w:rPr>
          <w:rFonts w:cs="Arial"/>
        </w:rPr>
        <w:t xml:space="preserve">Christopher </w:t>
      </w:r>
      <w:proofErr w:type="spellStart"/>
      <w:r>
        <w:rPr>
          <w:rFonts w:cs="Arial"/>
        </w:rPr>
        <w:t>Knaus</w:t>
      </w:r>
      <w:proofErr w:type="spellEnd"/>
      <w:r w:rsidRPr="00A16B2D">
        <w:rPr>
          <w:rFonts w:cs="Arial"/>
        </w:rPr>
        <w:t>, ‘</w:t>
      </w:r>
      <w:r w:rsidRPr="00026C0D">
        <w:rPr>
          <w:rFonts w:cs="Arial"/>
        </w:rPr>
        <w:t>Family violence rates rise in Kimberley towns with cashless welfare’</w:t>
      </w:r>
      <w:r w:rsidRPr="00A16B2D">
        <w:rPr>
          <w:rFonts w:cs="Arial"/>
        </w:rPr>
        <w:t xml:space="preserve">, </w:t>
      </w:r>
      <w:r w:rsidRPr="00A16B2D">
        <w:rPr>
          <w:rFonts w:cs="Arial"/>
          <w:i/>
        </w:rPr>
        <w:t xml:space="preserve">The Guardian </w:t>
      </w:r>
      <w:r w:rsidRPr="00A16B2D">
        <w:rPr>
          <w:rFonts w:cs="Arial"/>
        </w:rPr>
        <w:t xml:space="preserve">(online) </w:t>
      </w:r>
      <w:r>
        <w:rPr>
          <w:rFonts w:cs="Arial"/>
        </w:rPr>
        <w:t>12 January 2018</w:t>
      </w:r>
      <w:r w:rsidRPr="00A16B2D">
        <w:rPr>
          <w:rFonts w:cs="Arial"/>
        </w:rPr>
        <w:t xml:space="preserve">. At </w:t>
      </w:r>
      <w:hyperlink r:id="rId31" w:history="1">
        <w:r w:rsidRPr="00B14C6D">
          <w:rPr>
            <w:rStyle w:val="Hyperlink"/>
            <w:rFonts w:cs="Arial"/>
          </w:rPr>
          <w:t>https://www.theguardian.com/australia-news/2018/jan/12/family-violence-rates-rise-in-kimberley-towns-with-cashless-welfare</w:t>
        </w:r>
      </w:hyperlink>
      <w:r>
        <w:rPr>
          <w:rFonts w:cs="Arial"/>
        </w:rPr>
        <w:t xml:space="preserve"> </w:t>
      </w:r>
      <w:r w:rsidRPr="00A16B2D">
        <w:rPr>
          <w:rFonts w:cs="Arial"/>
        </w:rPr>
        <w:t xml:space="preserve">(viewed </w:t>
      </w:r>
      <w:r>
        <w:rPr>
          <w:rFonts w:cs="Arial"/>
        </w:rPr>
        <w:t xml:space="preserve">30 </w:t>
      </w:r>
      <w:r w:rsidRPr="00A16B2D">
        <w:rPr>
          <w:rFonts w:cs="Arial"/>
        </w:rPr>
        <w:t>January 2018)</w:t>
      </w:r>
      <w:r>
        <w:rPr>
          <w:rFonts w:cs="Arial"/>
        </w:rPr>
        <w:t>.</w:t>
      </w:r>
    </w:p>
  </w:endnote>
  <w:endnote w:id="73">
    <w:p w14:paraId="2CC3E098" w14:textId="598FABED" w:rsidR="005F406F" w:rsidRPr="00A16B2D" w:rsidRDefault="005F406F">
      <w:pPr>
        <w:pStyle w:val="EndnoteText"/>
        <w:rPr>
          <w:rFonts w:cs="Arial"/>
        </w:rPr>
      </w:pPr>
      <w:r w:rsidRPr="00A16B2D">
        <w:rPr>
          <w:rStyle w:val="EndnoteReference"/>
          <w:rFonts w:cs="Arial"/>
        </w:rPr>
        <w:endnoteRef/>
      </w:r>
      <w:r>
        <w:rPr>
          <w:rFonts w:cs="Arial"/>
        </w:rPr>
        <w:t xml:space="preserve"> Janet Hunt, “</w:t>
      </w:r>
      <w:r w:rsidRPr="00A16B2D">
        <w:rPr>
          <w:rFonts w:cs="Arial"/>
        </w:rPr>
        <w:t>The Cashless Debit Card Evaluation</w:t>
      </w:r>
      <w:r>
        <w:rPr>
          <w:rFonts w:cs="Arial"/>
        </w:rPr>
        <w:t>: Does it really prove justice?</w:t>
      </w:r>
      <w:proofErr w:type="gramStart"/>
      <w:r>
        <w:rPr>
          <w:rFonts w:cs="Arial"/>
        </w:rPr>
        <w:t>”,</w:t>
      </w:r>
      <w:proofErr w:type="gramEnd"/>
      <w:r>
        <w:rPr>
          <w:rFonts w:cs="Arial"/>
        </w:rPr>
        <w:t xml:space="preserve"> </w:t>
      </w:r>
      <w:r w:rsidRPr="00A066F0">
        <w:rPr>
          <w:rFonts w:cs="Arial"/>
        </w:rPr>
        <w:t>2 CAEPR Tropical Issue</w:t>
      </w:r>
      <w:r>
        <w:rPr>
          <w:rFonts w:cs="Arial"/>
        </w:rPr>
        <w:t>,</w:t>
      </w:r>
      <w:r w:rsidRPr="00A16B2D">
        <w:rPr>
          <w:rFonts w:cs="Arial"/>
          <w:i/>
        </w:rPr>
        <w:t xml:space="preserve"> </w:t>
      </w:r>
      <w:r>
        <w:rPr>
          <w:rFonts w:cs="Arial"/>
        </w:rPr>
        <w:t xml:space="preserve">1. At: </w:t>
      </w:r>
      <w:hyperlink r:id="rId32" w:history="1">
        <w:r w:rsidRPr="00B14C6D">
          <w:rPr>
            <w:rStyle w:val="Hyperlink"/>
            <w:rFonts w:cs="Arial"/>
          </w:rPr>
          <w:t>http://caepr.cass.anu.edu.au/research/publications/cashless-debit-card-evaluation-does-it-really-prove-success</w:t>
        </w:r>
      </w:hyperlink>
      <w:r>
        <w:rPr>
          <w:rFonts w:cs="Arial"/>
        </w:rPr>
        <w:t xml:space="preserve"> (viewed 30 January 2018). </w:t>
      </w:r>
    </w:p>
  </w:endnote>
  <w:endnote w:id="74">
    <w:p w14:paraId="13DE7B8A" w14:textId="3CA7A76B" w:rsidR="005F406F" w:rsidRPr="00A16B2D" w:rsidRDefault="005F406F" w:rsidP="00D84F1C">
      <w:pPr>
        <w:pStyle w:val="EndnoteText"/>
        <w:rPr>
          <w:rFonts w:cs="Arial"/>
        </w:rPr>
      </w:pPr>
      <w:r w:rsidRPr="00A16B2D">
        <w:rPr>
          <w:rStyle w:val="EndnoteReference"/>
          <w:rFonts w:cs="Arial"/>
        </w:rPr>
        <w:endnoteRef/>
      </w:r>
      <w:r w:rsidRPr="00A16B2D">
        <w:rPr>
          <w:rFonts w:cs="Arial"/>
        </w:rPr>
        <w:t xml:space="preserve"> See: Senate Finance and Public Administration References Committee, </w:t>
      </w:r>
      <w:r w:rsidRPr="00A16B2D">
        <w:rPr>
          <w:rFonts w:cs="Arial"/>
          <w:i/>
        </w:rPr>
        <w:t>Inquiry in to the appropriateness and effectiveness of the objectives, design, implementation and evaluation of the Community Development Program (CDP)</w:t>
      </w:r>
      <w:r w:rsidRPr="00A16B2D">
        <w:rPr>
          <w:rFonts w:cs="Arial"/>
        </w:rPr>
        <w:t xml:space="preserve">, (December 2017), 105-106; and Aboriginal Peak Organisations Northern Territory, </w:t>
      </w:r>
      <w:r w:rsidRPr="00A16B2D">
        <w:rPr>
          <w:rFonts w:cs="Arial"/>
          <w:i/>
        </w:rPr>
        <w:t>Fair Work and Strong Communities: Proposal for a Remote Development and Employment Scheme</w:t>
      </w:r>
      <w:r w:rsidRPr="00A16B2D">
        <w:rPr>
          <w:rFonts w:cs="Arial"/>
        </w:rPr>
        <w:t xml:space="preserve">, May 2017, 33. At: </w:t>
      </w:r>
      <w:hyperlink r:id="rId33" w:history="1">
        <w:r w:rsidRPr="00A16B2D">
          <w:rPr>
            <w:rStyle w:val="Hyperlink"/>
            <w:rFonts w:cs="Arial"/>
          </w:rPr>
          <w:t>http://www.amsant.org.au/apont/wp-content/uploads/2017/07/RDES-Report_Online.pdf</w:t>
        </w:r>
      </w:hyperlink>
      <w:r>
        <w:rPr>
          <w:rStyle w:val="Hyperlink"/>
          <w:rFonts w:cs="Arial"/>
        </w:rPr>
        <w:t xml:space="preserve"> </w:t>
      </w:r>
      <w:r w:rsidRPr="00A16B2D">
        <w:rPr>
          <w:rFonts w:cs="Arial"/>
        </w:rPr>
        <w:t>(viewed 25 January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
    <w:altName w:val="Arial"/>
    <w:panose1 w:val="00000000000000000000"/>
    <w:charset w:val="00"/>
    <w:family w:val="swiss"/>
    <w:notTrueType/>
    <w:pitch w:val="default"/>
    <w:sig w:usb0="000002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A996" w14:textId="77777777" w:rsidR="005F406F" w:rsidRPr="0090165F" w:rsidRDefault="005F406F"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315E" w14:textId="77777777" w:rsidR="005F406F" w:rsidRPr="004A187B" w:rsidRDefault="005F406F" w:rsidP="008B23BC">
    <w:pPr>
      <w:pStyle w:val="Footer"/>
    </w:pPr>
    <w:r>
      <w:rPr>
        <w:noProof/>
      </w:rPr>
      <mc:AlternateContent>
        <mc:Choice Requires="wps">
          <w:drawing>
            <wp:anchor distT="0" distB="0" distL="114300" distR="114300" simplePos="0" relativeHeight="251660288" behindDoc="0" locked="0" layoutInCell="1" allowOverlap="1" wp14:anchorId="7D956328" wp14:editId="6709FAD4">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3189CC8" w14:textId="77777777" w:rsidR="005F406F" w:rsidRPr="0003606D" w:rsidRDefault="005F406F" w:rsidP="0003606D">
                          <w:pPr>
                            <w:pStyle w:val="coveraddresses"/>
                          </w:pPr>
                          <w:r w:rsidRPr="0003606D">
                            <w:t>ABN 47 996 232 602</w:t>
                          </w:r>
                        </w:p>
                        <w:p w14:paraId="32435942" w14:textId="77777777" w:rsidR="005F406F" w:rsidRPr="0003606D" w:rsidRDefault="005F406F" w:rsidP="0003606D">
                          <w:pPr>
                            <w:pStyle w:val="coveraddresses"/>
                          </w:pPr>
                          <w:r w:rsidRPr="0003606D">
                            <w:t xml:space="preserve">Level </w:t>
                          </w:r>
                          <w:proofErr w:type="gramStart"/>
                          <w:r w:rsidRPr="0003606D">
                            <w:t>3</w:t>
                          </w:r>
                          <w:proofErr w:type="gramEnd"/>
                          <w:r w:rsidRPr="0003606D">
                            <w:t>, 175 Pitt Street, Sydney NSW 2000</w:t>
                          </w:r>
                        </w:p>
                        <w:p w14:paraId="5CC40015" w14:textId="77777777" w:rsidR="005F406F" w:rsidRPr="0003606D" w:rsidRDefault="005F406F" w:rsidP="0003606D">
                          <w:pPr>
                            <w:pStyle w:val="coveraddresses"/>
                          </w:pPr>
                          <w:r w:rsidRPr="0003606D">
                            <w:t>GPO Box 5218, Sydney NSW 2001</w:t>
                          </w:r>
                        </w:p>
                        <w:p w14:paraId="66440DED" w14:textId="77777777" w:rsidR="005F406F" w:rsidRPr="0003606D" w:rsidRDefault="005F406F" w:rsidP="0003606D">
                          <w:pPr>
                            <w:pStyle w:val="coveraddresses"/>
                          </w:pPr>
                          <w:r w:rsidRPr="0003606D">
                            <w:t>General enquiries 1300 369 711</w:t>
                          </w:r>
                        </w:p>
                        <w:p w14:paraId="5BD7374E" w14:textId="77777777" w:rsidR="005F406F" w:rsidRPr="0003606D" w:rsidRDefault="005F406F" w:rsidP="0003606D">
                          <w:pPr>
                            <w:pStyle w:val="coveraddresses"/>
                          </w:pPr>
                          <w:r w:rsidRPr="0003606D">
                            <w:t>Complaints info line 1300 656 419</w:t>
                          </w:r>
                        </w:p>
                        <w:p w14:paraId="6A718EFD" w14:textId="77777777" w:rsidR="005F406F" w:rsidRPr="0003606D" w:rsidRDefault="005F406F" w:rsidP="0003606D">
                          <w:pPr>
                            <w:pStyle w:val="coveraddresses"/>
                          </w:pPr>
                          <w:r w:rsidRPr="0003606D">
                            <w:t>TTY 1800 620 241</w:t>
                          </w:r>
                        </w:p>
                        <w:p w14:paraId="21877014" w14:textId="77777777" w:rsidR="005F406F" w:rsidRPr="00B63D24" w:rsidRDefault="005F406F"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56328"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3189CC8" w14:textId="77777777" w:rsidR="005F406F" w:rsidRPr="0003606D" w:rsidRDefault="005F406F" w:rsidP="0003606D">
                    <w:pPr>
                      <w:pStyle w:val="coveraddresses"/>
                    </w:pPr>
                    <w:r w:rsidRPr="0003606D">
                      <w:t>ABN 47 996 232 602</w:t>
                    </w:r>
                  </w:p>
                  <w:p w14:paraId="32435942" w14:textId="77777777" w:rsidR="005F406F" w:rsidRPr="0003606D" w:rsidRDefault="005F406F" w:rsidP="0003606D">
                    <w:pPr>
                      <w:pStyle w:val="coveraddresses"/>
                    </w:pPr>
                    <w:r w:rsidRPr="0003606D">
                      <w:t>Level 3, 175 Pitt Street, Sydney NSW 2000</w:t>
                    </w:r>
                  </w:p>
                  <w:p w14:paraId="5CC40015" w14:textId="77777777" w:rsidR="005F406F" w:rsidRPr="0003606D" w:rsidRDefault="005F406F" w:rsidP="0003606D">
                    <w:pPr>
                      <w:pStyle w:val="coveraddresses"/>
                    </w:pPr>
                    <w:r w:rsidRPr="0003606D">
                      <w:t>GPO Box 5218, Sydney NSW 2001</w:t>
                    </w:r>
                  </w:p>
                  <w:p w14:paraId="66440DED" w14:textId="77777777" w:rsidR="005F406F" w:rsidRPr="0003606D" w:rsidRDefault="005F406F" w:rsidP="0003606D">
                    <w:pPr>
                      <w:pStyle w:val="coveraddresses"/>
                    </w:pPr>
                    <w:r w:rsidRPr="0003606D">
                      <w:t>General enquiries 1300 369 711</w:t>
                    </w:r>
                  </w:p>
                  <w:p w14:paraId="5BD7374E" w14:textId="77777777" w:rsidR="005F406F" w:rsidRPr="0003606D" w:rsidRDefault="005F406F" w:rsidP="0003606D">
                    <w:pPr>
                      <w:pStyle w:val="coveraddresses"/>
                    </w:pPr>
                    <w:r w:rsidRPr="0003606D">
                      <w:t>Complaints info line 1300 656 419</w:t>
                    </w:r>
                  </w:p>
                  <w:p w14:paraId="6A718EFD" w14:textId="77777777" w:rsidR="005F406F" w:rsidRPr="0003606D" w:rsidRDefault="005F406F" w:rsidP="0003606D">
                    <w:pPr>
                      <w:pStyle w:val="coveraddresses"/>
                    </w:pPr>
                    <w:r w:rsidRPr="0003606D">
                      <w:t>TTY 1800 620 241</w:t>
                    </w:r>
                  </w:p>
                  <w:p w14:paraId="21877014" w14:textId="77777777" w:rsidR="005F406F" w:rsidRPr="00B63D24" w:rsidRDefault="005F406F"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9F96" w14:textId="35C2A13A" w:rsidR="005F406F" w:rsidRPr="0090165F" w:rsidRDefault="005F406F"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B76C90">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45D2F" w14:textId="77777777" w:rsidR="005F406F" w:rsidRDefault="005F406F" w:rsidP="00F14C6D">
      <w:r>
        <w:separator/>
      </w:r>
    </w:p>
  </w:footnote>
  <w:footnote w:type="continuationSeparator" w:id="0">
    <w:p w14:paraId="33A9119C" w14:textId="77777777" w:rsidR="005F406F" w:rsidRDefault="005F406F"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4AF1" w14:textId="77777777" w:rsidR="005F406F" w:rsidRDefault="00B76C90">
    <w:pPr>
      <w:pStyle w:val="Header"/>
    </w:pPr>
    <w:r>
      <w:rPr>
        <w:noProof/>
      </w:rPr>
      <w:pict w14:anchorId="2E44C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CA7C" w14:textId="77777777" w:rsidR="005F406F" w:rsidRPr="00D27262" w:rsidRDefault="00B76C90" w:rsidP="002B1B65">
    <w:pPr>
      <w:spacing w:before="0" w:after="0"/>
      <w:jc w:val="right"/>
      <w:rPr>
        <w:sz w:val="22"/>
        <w:szCs w:val="22"/>
      </w:rPr>
    </w:pPr>
    <w:r>
      <w:rPr>
        <w:noProof/>
        <w:sz w:val="22"/>
        <w:szCs w:val="22"/>
      </w:rPr>
      <w:pict w14:anchorId="200BB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5F406F" w:rsidRPr="00D27262">
      <w:rPr>
        <w:sz w:val="22"/>
        <w:szCs w:val="22"/>
      </w:rPr>
      <w:t>Au</w:t>
    </w:r>
    <w:r w:rsidR="005F406F">
      <w:rPr>
        <w:sz w:val="22"/>
        <w:szCs w:val="22"/>
      </w:rPr>
      <w:t>stralian Human Rights Commission</w:t>
    </w:r>
  </w:p>
  <w:p w14:paraId="4A7BD29C" w14:textId="77777777" w:rsidR="005F406F" w:rsidRDefault="005F406F"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F406F" w:rsidRPr="00B85DD4" w14:paraId="40C0BD5B" w14:textId="77777777" w:rsidTr="00165E3C">
      <w:trPr>
        <w:trHeight w:val="1276"/>
      </w:trPr>
      <w:tc>
        <w:tcPr>
          <w:tcW w:w="1508" w:type="dxa"/>
        </w:tcPr>
        <w:p w14:paraId="2EC88696" w14:textId="77777777" w:rsidR="005F406F" w:rsidRPr="00B85DD4" w:rsidRDefault="005F406F" w:rsidP="00B520BC">
          <w:pPr>
            <w:pStyle w:val="Header"/>
            <w:tabs>
              <w:tab w:val="left" w:pos="4686"/>
              <w:tab w:val="left" w:pos="7088"/>
              <w:tab w:val="left" w:pos="7242"/>
            </w:tabs>
            <w:ind w:left="-108"/>
            <w:rPr>
              <w:rFonts w:cs="ArialMT"/>
              <w:b/>
              <w:spacing w:val="-20"/>
            </w:rPr>
          </w:pPr>
        </w:p>
      </w:tc>
      <w:tc>
        <w:tcPr>
          <w:tcW w:w="2688" w:type="dxa"/>
          <w:vAlign w:val="center"/>
        </w:tcPr>
        <w:p w14:paraId="5DDFEDE0" w14:textId="77777777" w:rsidR="005F406F" w:rsidRPr="00B85DD4" w:rsidRDefault="005F406F" w:rsidP="002B1B65">
          <w:pPr>
            <w:spacing w:before="0" w:after="0"/>
            <w:rPr>
              <w:rFonts w:cs="ArialMT"/>
              <w:i/>
              <w:color w:val="808080"/>
              <w:sz w:val="17"/>
            </w:rPr>
          </w:pPr>
        </w:p>
      </w:tc>
      <w:tc>
        <w:tcPr>
          <w:tcW w:w="2302" w:type="dxa"/>
        </w:tcPr>
        <w:p w14:paraId="72B58BDB" w14:textId="77777777" w:rsidR="005F406F" w:rsidRPr="00B85DD4" w:rsidRDefault="005F406F" w:rsidP="00B520BC">
          <w:pPr>
            <w:pStyle w:val="HeaderFooter"/>
            <w:rPr>
              <w:b/>
              <w:spacing w:val="-20"/>
              <w:sz w:val="40"/>
            </w:rPr>
          </w:pPr>
        </w:p>
      </w:tc>
      <w:tc>
        <w:tcPr>
          <w:tcW w:w="2130" w:type="dxa"/>
        </w:tcPr>
        <w:p w14:paraId="39C33676" w14:textId="77777777" w:rsidR="005F406F" w:rsidRPr="00B85DD4" w:rsidRDefault="005F406F" w:rsidP="00B520BC">
          <w:pPr>
            <w:pStyle w:val="HeaderFooter"/>
            <w:rPr>
              <w:b/>
              <w:spacing w:val="-20"/>
              <w:sz w:val="40"/>
            </w:rPr>
          </w:pPr>
        </w:p>
      </w:tc>
      <w:tc>
        <w:tcPr>
          <w:tcW w:w="1721" w:type="dxa"/>
        </w:tcPr>
        <w:p w14:paraId="110D27E9" w14:textId="77777777" w:rsidR="005F406F" w:rsidRPr="00B85DD4" w:rsidRDefault="005F406F" w:rsidP="00B520BC">
          <w:pPr>
            <w:pStyle w:val="HeaderFooter"/>
            <w:spacing w:before="227" w:after="340"/>
            <w:rPr>
              <w:b/>
              <w:spacing w:val="-20"/>
              <w:sz w:val="40"/>
            </w:rPr>
          </w:pPr>
        </w:p>
      </w:tc>
    </w:tr>
  </w:tbl>
  <w:p w14:paraId="3D2D303D" w14:textId="77777777" w:rsidR="005F406F" w:rsidRDefault="00B76C90">
    <w:pPr>
      <w:pStyle w:val="Header"/>
    </w:pPr>
    <w:r>
      <w:rPr>
        <w:rFonts w:cs="ArialMT"/>
        <w:b/>
        <w:noProof/>
        <w:spacing w:val="-20"/>
      </w:rPr>
      <w:pict w14:anchorId="7BF4E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E265" w14:textId="77777777" w:rsidR="005F406F" w:rsidRDefault="00B76C90">
    <w:pPr>
      <w:pStyle w:val="Header"/>
    </w:pPr>
    <w:r>
      <w:rPr>
        <w:noProof/>
      </w:rPr>
      <w:pict w14:anchorId="04E87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8C9B" w14:textId="77777777" w:rsidR="005F406F" w:rsidRPr="00D27262" w:rsidRDefault="005F406F" w:rsidP="000842E1">
    <w:pPr>
      <w:spacing w:before="0" w:after="60"/>
      <w:jc w:val="right"/>
      <w:rPr>
        <w:sz w:val="22"/>
        <w:szCs w:val="22"/>
      </w:rPr>
    </w:pPr>
    <w:r w:rsidRPr="00D27262">
      <w:rPr>
        <w:sz w:val="22"/>
        <w:szCs w:val="22"/>
      </w:rPr>
      <w:t>Au</w:t>
    </w:r>
    <w:r>
      <w:rPr>
        <w:sz w:val="22"/>
        <w:szCs w:val="22"/>
      </w:rPr>
      <w:t>stralian Human Rights Commission</w:t>
    </w:r>
  </w:p>
  <w:p w14:paraId="3EE4BFE5" w14:textId="06564C3C" w:rsidR="005F406F" w:rsidRPr="00D729AD" w:rsidRDefault="005F406F" w:rsidP="000842E1">
    <w:pPr>
      <w:pStyle w:val="Footer"/>
      <w:spacing w:after="240"/>
      <w:jc w:val="right"/>
      <w:rPr>
        <w:i/>
        <w:szCs w:val="18"/>
      </w:rPr>
    </w:pPr>
    <w:r>
      <w:rPr>
        <w:b/>
        <w:i/>
        <w:szCs w:val="18"/>
      </w:rPr>
      <w:t>Discussion Paper: Remote Employment and Participation</w:t>
    </w:r>
    <w:r>
      <w:rPr>
        <w:i/>
        <w:szCs w:val="18"/>
      </w:rPr>
      <w:t xml:space="preserve"> – February 2018</w:t>
    </w:r>
  </w:p>
  <w:p w14:paraId="0CC97AAA" w14:textId="51626306" w:rsidR="005F406F" w:rsidRPr="00F85B17" w:rsidRDefault="005F406F" w:rsidP="00F85B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5F406F" w:rsidRPr="00B85DD4" w14:paraId="17453174" w14:textId="77777777" w:rsidTr="002B1B65">
      <w:trPr>
        <w:trHeight w:val="1603"/>
      </w:trPr>
      <w:tc>
        <w:tcPr>
          <w:tcW w:w="1508" w:type="dxa"/>
        </w:tcPr>
        <w:p w14:paraId="6BCF5573" w14:textId="77777777" w:rsidR="005F406F" w:rsidRPr="00B85DD4" w:rsidRDefault="005F406F"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650D49EB" wp14:editId="49D99FF3">
                <wp:extent cx="821690" cy="821690"/>
                <wp:effectExtent l="0" t="0" r="0" b="0"/>
                <wp:docPr id="5"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c>
        <w:tcPr>
          <w:tcW w:w="2688" w:type="dxa"/>
          <w:vAlign w:val="center"/>
        </w:tcPr>
        <w:p w14:paraId="0C0E066E" w14:textId="77777777" w:rsidR="005F406F" w:rsidRPr="00D36BB2" w:rsidRDefault="005F406F" w:rsidP="002B1B65">
          <w:pPr>
            <w:pStyle w:val="LogoType"/>
            <w:pBdr>
              <w:bottom w:val="single" w:sz="4" w:space="1" w:color="808080"/>
            </w:pBdr>
            <w:spacing w:line="240" w:lineRule="auto"/>
          </w:pPr>
          <w:r w:rsidRPr="00D36BB2">
            <w:t>Australian</w:t>
          </w:r>
        </w:p>
        <w:p w14:paraId="111961F0" w14:textId="77777777" w:rsidR="005F406F" w:rsidRPr="00D36BB2" w:rsidRDefault="005F406F" w:rsidP="002B1B65">
          <w:pPr>
            <w:pStyle w:val="LogoType"/>
            <w:pBdr>
              <w:bottom w:val="single" w:sz="4" w:space="1" w:color="808080"/>
            </w:pBdr>
            <w:spacing w:line="240" w:lineRule="auto"/>
          </w:pPr>
          <w:r w:rsidRPr="00D36BB2">
            <w:t>Human Rights</w:t>
          </w:r>
        </w:p>
        <w:p w14:paraId="15CEDB9A" w14:textId="77777777" w:rsidR="005F406F" w:rsidRPr="00D36BB2" w:rsidRDefault="005F406F" w:rsidP="002B1B65">
          <w:pPr>
            <w:pStyle w:val="LogoType"/>
            <w:pBdr>
              <w:bottom w:val="single" w:sz="4" w:space="1" w:color="808080"/>
            </w:pBdr>
            <w:spacing w:line="240" w:lineRule="auto"/>
          </w:pPr>
          <w:r w:rsidRPr="00D36BB2">
            <w:t>Commission</w:t>
          </w:r>
        </w:p>
        <w:p w14:paraId="3BCB6B40" w14:textId="77777777" w:rsidR="005F406F" w:rsidRPr="00B85DD4" w:rsidRDefault="005F406F"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5DE5AF5" w14:textId="77777777" w:rsidR="005F406F" w:rsidRPr="00B85DD4" w:rsidRDefault="005F406F" w:rsidP="00B520BC">
          <w:pPr>
            <w:pStyle w:val="HeaderFooter"/>
            <w:rPr>
              <w:b/>
              <w:spacing w:val="-20"/>
              <w:sz w:val="40"/>
            </w:rPr>
          </w:pPr>
        </w:p>
      </w:tc>
      <w:tc>
        <w:tcPr>
          <w:tcW w:w="2130" w:type="dxa"/>
        </w:tcPr>
        <w:p w14:paraId="3E542147" w14:textId="77777777" w:rsidR="005F406F" w:rsidRPr="00B85DD4" w:rsidRDefault="005F406F" w:rsidP="00B520BC">
          <w:pPr>
            <w:pStyle w:val="HeaderFooter"/>
            <w:rPr>
              <w:b/>
              <w:spacing w:val="-20"/>
              <w:sz w:val="40"/>
            </w:rPr>
          </w:pPr>
        </w:p>
      </w:tc>
      <w:tc>
        <w:tcPr>
          <w:tcW w:w="1721" w:type="dxa"/>
        </w:tcPr>
        <w:p w14:paraId="3C8D6414" w14:textId="77777777" w:rsidR="005F406F" w:rsidRPr="00B85DD4" w:rsidRDefault="005F406F" w:rsidP="00B520BC">
          <w:pPr>
            <w:pStyle w:val="HeaderFooter"/>
            <w:spacing w:before="227" w:after="340"/>
            <w:rPr>
              <w:b/>
              <w:spacing w:val="-20"/>
              <w:sz w:val="40"/>
            </w:rPr>
          </w:pPr>
        </w:p>
      </w:tc>
    </w:tr>
  </w:tbl>
  <w:p w14:paraId="5486EEFB" w14:textId="77777777" w:rsidR="005F406F" w:rsidRDefault="00B76C90">
    <w:pPr>
      <w:pStyle w:val="Header"/>
    </w:pPr>
    <w:r>
      <w:rPr>
        <w:rFonts w:cs="ArialMT"/>
        <w:b/>
        <w:noProof/>
        <w:spacing w:val="-20"/>
      </w:rPr>
      <w:pict w14:anchorId="3CDA16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E2D1E"/>
    <w:multiLevelType w:val="hybridMultilevel"/>
    <w:tmpl w:val="C3984A1E"/>
    <w:lvl w:ilvl="0" w:tplc="EB54A140">
      <w:start w:val="1"/>
      <w:numFmt w:val="bullet"/>
      <w:pStyle w:val="ListParaMargin"/>
      <w:lvlText w:val=""/>
      <w:lvlJc w:val="left"/>
      <w:pPr>
        <w:tabs>
          <w:tab w:val="num" w:pos="284"/>
        </w:tabs>
        <w:ind w:left="284" w:hanging="284"/>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35A43D3"/>
    <w:multiLevelType w:val="hybridMultilevel"/>
    <w:tmpl w:val="4BCE7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52D898BE"/>
    <w:lvl w:ilvl="0" w:tplc="A32EC982">
      <w:start w:val="1"/>
      <w:numFmt w:val="decimal"/>
      <w:pStyle w:val="SubmissionNormal"/>
      <w:lvlText w:val="%1."/>
      <w:lvlJc w:val="left"/>
      <w:pPr>
        <w:tabs>
          <w:tab w:val="num" w:pos="720"/>
        </w:tabs>
        <w:ind w:left="720" w:hanging="360"/>
      </w:pPr>
      <w:rPr>
        <w:rFonts w:hint="default"/>
      </w:rPr>
    </w:lvl>
    <w:lvl w:ilvl="1" w:tplc="0C09001B">
      <w:start w:val="1"/>
      <w:numFmt w:val="lowerRoman"/>
      <w:lvlText w:val="%2."/>
      <w:lvlJc w:val="righ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B944A67"/>
    <w:multiLevelType w:val="hybridMultilevel"/>
    <w:tmpl w:val="191831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15:restartNumberingAfterBreak="0">
    <w:nsid w:val="4ABD0B46"/>
    <w:multiLevelType w:val="multilevel"/>
    <w:tmpl w:val="8676E80A"/>
    <w:styleLink w:val="StyleNumbered"/>
    <w:lvl w:ilvl="0">
      <w:start w:val="1"/>
      <w:numFmt w:val="decimal"/>
      <w:lvlText w:val="%1."/>
      <w:lvlJc w:val="left"/>
      <w:pPr>
        <w:tabs>
          <w:tab w:val="num" w:pos="1069"/>
        </w:tabs>
        <w:ind w:left="1069"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5631A0D"/>
    <w:multiLevelType w:val="hybridMultilevel"/>
    <w:tmpl w:val="40A8FD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6"/>
  </w:num>
  <w:num w:numId="14">
    <w:abstractNumId w:val="14"/>
  </w:num>
  <w:num w:numId="15">
    <w:abstractNumId w:val="13"/>
  </w:num>
  <w:num w:numId="16">
    <w:abstractNumId w:val="11"/>
  </w:num>
  <w:num w:numId="17">
    <w:abstractNumId w:val="10"/>
  </w:num>
  <w:num w:numId="18">
    <w:abstractNumId w:val="18"/>
  </w:num>
  <w:num w:numId="19">
    <w:abstractNumId w:val="12"/>
  </w:num>
  <w:num w:numId="20">
    <w:abstractNumId w:val="15"/>
  </w:num>
  <w:num w:numId="21">
    <w:abstractNumId w:val="20"/>
  </w:num>
  <w:num w:numId="22">
    <w:abstractNumId w:val="13"/>
  </w:num>
  <w:num w:numId="23">
    <w:abstractNumId w:val="13"/>
  </w:num>
  <w:num w:numId="24">
    <w:abstractNumId w:val="13"/>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34"/>
    <w:rsid w:val="000017D3"/>
    <w:rsid w:val="000029C9"/>
    <w:rsid w:val="00004992"/>
    <w:rsid w:val="00005C1F"/>
    <w:rsid w:val="00006295"/>
    <w:rsid w:val="00006409"/>
    <w:rsid w:val="00007271"/>
    <w:rsid w:val="00007CB7"/>
    <w:rsid w:val="00010426"/>
    <w:rsid w:val="0001046E"/>
    <w:rsid w:val="000110CF"/>
    <w:rsid w:val="0001287D"/>
    <w:rsid w:val="00012B83"/>
    <w:rsid w:val="00013C7A"/>
    <w:rsid w:val="00015B6C"/>
    <w:rsid w:val="0001672D"/>
    <w:rsid w:val="000167C6"/>
    <w:rsid w:val="00016A73"/>
    <w:rsid w:val="0001725D"/>
    <w:rsid w:val="0001799B"/>
    <w:rsid w:val="00017C1E"/>
    <w:rsid w:val="00017D9C"/>
    <w:rsid w:val="00020579"/>
    <w:rsid w:val="00021B21"/>
    <w:rsid w:val="000226FD"/>
    <w:rsid w:val="00025F8A"/>
    <w:rsid w:val="00026472"/>
    <w:rsid w:val="00026C0D"/>
    <w:rsid w:val="0002714F"/>
    <w:rsid w:val="0003030E"/>
    <w:rsid w:val="00032AB6"/>
    <w:rsid w:val="0003606D"/>
    <w:rsid w:val="00037BDB"/>
    <w:rsid w:val="00037C42"/>
    <w:rsid w:val="00040541"/>
    <w:rsid w:val="00041D4B"/>
    <w:rsid w:val="000422A6"/>
    <w:rsid w:val="00042A01"/>
    <w:rsid w:val="00043E81"/>
    <w:rsid w:val="00044DA1"/>
    <w:rsid w:val="00044F7C"/>
    <w:rsid w:val="00044FCB"/>
    <w:rsid w:val="0004581D"/>
    <w:rsid w:val="00045ED7"/>
    <w:rsid w:val="00051D9F"/>
    <w:rsid w:val="00052F40"/>
    <w:rsid w:val="00053734"/>
    <w:rsid w:val="0005489C"/>
    <w:rsid w:val="00054BA3"/>
    <w:rsid w:val="00054FE8"/>
    <w:rsid w:val="0005541B"/>
    <w:rsid w:val="00055513"/>
    <w:rsid w:val="0005636F"/>
    <w:rsid w:val="000564D1"/>
    <w:rsid w:val="00056DB1"/>
    <w:rsid w:val="00057587"/>
    <w:rsid w:val="000579B1"/>
    <w:rsid w:val="000627AD"/>
    <w:rsid w:val="00062A6E"/>
    <w:rsid w:val="0006322E"/>
    <w:rsid w:val="00063C75"/>
    <w:rsid w:val="00064B3C"/>
    <w:rsid w:val="00064F4A"/>
    <w:rsid w:val="00065A18"/>
    <w:rsid w:val="00065ADA"/>
    <w:rsid w:val="00067F7F"/>
    <w:rsid w:val="00071205"/>
    <w:rsid w:val="00071336"/>
    <w:rsid w:val="00071B24"/>
    <w:rsid w:val="00072888"/>
    <w:rsid w:val="00072C75"/>
    <w:rsid w:val="00072D2F"/>
    <w:rsid w:val="00073059"/>
    <w:rsid w:val="00073377"/>
    <w:rsid w:val="00074319"/>
    <w:rsid w:val="000743D2"/>
    <w:rsid w:val="00074BCD"/>
    <w:rsid w:val="000761F3"/>
    <w:rsid w:val="00076D1D"/>
    <w:rsid w:val="00077A8D"/>
    <w:rsid w:val="000805B5"/>
    <w:rsid w:val="000812E8"/>
    <w:rsid w:val="00081C15"/>
    <w:rsid w:val="00081CA3"/>
    <w:rsid w:val="00082BCD"/>
    <w:rsid w:val="000833F1"/>
    <w:rsid w:val="00083422"/>
    <w:rsid w:val="00083BA1"/>
    <w:rsid w:val="000842E1"/>
    <w:rsid w:val="0008513F"/>
    <w:rsid w:val="0008571F"/>
    <w:rsid w:val="00085858"/>
    <w:rsid w:val="000864EE"/>
    <w:rsid w:val="00086DF4"/>
    <w:rsid w:val="000906EF"/>
    <w:rsid w:val="00090971"/>
    <w:rsid w:val="000909AA"/>
    <w:rsid w:val="00091682"/>
    <w:rsid w:val="00093261"/>
    <w:rsid w:val="00093C6B"/>
    <w:rsid w:val="00093FFF"/>
    <w:rsid w:val="0009420C"/>
    <w:rsid w:val="00094736"/>
    <w:rsid w:val="0009565E"/>
    <w:rsid w:val="0009576D"/>
    <w:rsid w:val="00096153"/>
    <w:rsid w:val="00097B49"/>
    <w:rsid w:val="000A041D"/>
    <w:rsid w:val="000A07EA"/>
    <w:rsid w:val="000A0934"/>
    <w:rsid w:val="000A09FF"/>
    <w:rsid w:val="000A0ECD"/>
    <w:rsid w:val="000A1DB8"/>
    <w:rsid w:val="000A2ABC"/>
    <w:rsid w:val="000A3A02"/>
    <w:rsid w:val="000A48AC"/>
    <w:rsid w:val="000A6476"/>
    <w:rsid w:val="000A69C6"/>
    <w:rsid w:val="000A78CE"/>
    <w:rsid w:val="000A791D"/>
    <w:rsid w:val="000B05D3"/>
    <w:rsid w:val="000B0A5D"/>
    <w:rsid w:val="000B2301"/>
    <w:rsid w:val="000B2DFD"/>
    <w:rsid w:val="000B5005"/>
    <w:rsid w:val="000B5028"/>
    <w:rsid w:val="000B5314"/>
    <w:rsid w:val="000B5DA0"/>
    <w:rsid w:val="000B6924"/>
    <w:rsid w:val="000B71EB"/>
    <w:rsid w:val="000B7207"/>
    <w:rsid w:val="000B76EF"/>
    <w:rsid w:val="000C0B78"/>
    <w:rsid w:val="000C0F0D"/>
    <w:rsid w:val="000C1028"/>
    <w:rsid w:val="000C2035"/>
    <w:rsid w:val="000C2694"/>
    <w:rsid w:val="000C3AC7"/>
    <w:rsid w:val="000C420F"/>
    <w:rsid w:val="000C539F"/>
    <w:rsid w:val="000C53D1"/>
    <w:rsid w:val="000C5540"/>
    <w:rsid w:val="000C55D4"/>
    <w:rsid w:val="000C5D8A"/>
    <w:rsid w:val="000C648E"/>
    <w:rsid w:val="000C64AF"/>
    <w:rsid w:val="000C694E"/>
    <w:rsid w:val="000C6EBA"/>
    <w:rsid w:val="000D05FF"/>
    <w:rsid w:val="000D08FE"/>
    <w:rsid w:val="000D1A12"/>
    <w:rsid w:val="000D2D9C"/>
    <w:rsid w:val="000D30CD"/>
    <w:rsid w:val="000D31F5"/>
    <w:rsid w:val="000D3B72"/>
    <w:rsid w:val="000D409C"/>
    <w:rsid w:val="000D4974"/>
    <w:rsid w:val="000D54C5"/>
    <w:rsid w:val="000D5879"/>
    <w:rsid w:val="000D5CC6"/>
    <w:rsid w:val="000E0D4B"/>
    <w:rsid w:val="000E12E2"/>
    <w:rsid w:val="000E130A"/>
    <w:rsid w:val="000E241B"/>
    <w:rsid w:val="000E3C85"/>
    <w:rsid w:val="000E4FA4"/>
    <w:rsid w:val="000E58BD"/>
    <w:rsid w:val="000E6282"/>
    <w:rsid w:val="000E7ACB"/>
    <w:rsid w:val="000E7E66"/>
    <w:rsid w:val="000F03BF"/>
    <w:rsid w:val="000F1034"/>
    <w:rsid w:val="000F12CA"/>
    <w:rsid w:val="000F2BEE"/>
    <w:rsid w:val="000F4752"/>
    <w:rsid w:val="000F5B26"/>
    <w:rsid w:val="000F5C94"/>
    <w:rsid w:val="000F73A1"/>
    <w:rsid w:val="000F7FB6"/>
    <w:rsid w:val="00100C17"/>
    <w:rsid w:val="00101526"/>
    <w:rsid w:val="001016B0"/>
    <w:rsid w:val="0010594F"/>
    <w:rsid w:val="00106257"/>
    <w:rsid w:val="001079F6"/>
    <w:rsid w:val="00110839"/>
    <w:rsid w:val="00110C73"/>
    <w:rsid w:val="00110C8A"/>
    <w:rsid w:val="00112BEB"/>
    <w:rsid w:val="00113754"/>
    <w:rsid w:val="00115428"/>
    <w:rsid w:val="001155F0"/>
    <w:rsid w:val="001171BF"/>
    <w:rsid w:val="00117F77"/>
    <w:rsid w:val="00121648"/>
    <w:rsid w:val="00122343"/>
    <w:rsid w:val="00122497"/>
    <w:rsid w:val="00124D8D"/>
    <w:rsid w:val="00125236"/>
    <w:rsid w:val="0012564D"/>
    <w:rsid w:val="00125BC6"/>
    <w:rsid w:val="0012687E"/>
    <w:rsid w:val="001301D6"/>
    <w:rsid w:val="00130294"/>
    <w:rsid w:val="001305F7"/>
    <w:rsid w:val="00130C8B"/>
    <w:rsid w:val="00131775"/>
    <w:rsid w:val="00131A1D"/>
    <w:rsid w:val="00132A72"/>
    <w:rsid w:val="001335EB"/>
    <w:rsid w:val="00133749"/>
    <w:rsid w:val="0013415C"/>
    <w:rsid w:val="00134284"/>
    <w:rsid w:val="00134293"/>
    <w:rsid w:val="00134774"/>
    <w:rsid w:val="001348D3"/>
    <w:rsid w:val="0013532D"/>
    <w:rsid w:val="0013548E"/>
    <w:rsid w:val="001358BB"/>
    <w:rsid w:val="00135BC6"/>
    <w:rsid w:val="00136E9F"/>
    <w:rsid w:val="00140274"/>
    <w:rsid w:val="0014089B"/>
    <w:rsid w:val="001408AB"/>
    <w:rsid w:val="00141519"/>
    <w:rsid w:val="0014158D"/>
    <w:rsid w:val="001432BA"/>
    <w:rsid w:val="00143815"/>
    <w:rsid w:val="00143ED3"/>
    <w:rsid w:val="0014478B"/>
    <w:rsid w:val="001467DE"/>
    <w:rsid w:val="00146DB0"/>
    <w:rsid w:val="00146F14"/>
    <w:rsid w:val="001509BE"/>
    <w:rsid w:val="00151263"/>
    <w:rsid w:val="001515C0"/>
    <w:rsid w:val="001515DC"/>
    <w:rsid w:val="00151ADA"/>
    <w:rsid w:val="00153602"/>
    <w:rsid w:val="00154C99"/>
    <w:rsid w:val="001600AB"/>
    <w:rsid w:val="00160297"/>
    <w:rsid w:val="00161734"/>
    <w:rsid w:val="0016186A"/>
    <w:rsid w:val="0016291E"/>
    <w:rsid w:val="00162A8D"/>
    <w:rsid w:val="00164C8B"/>
    <w:rsid w:val="00165E3C"/>
    <w:rsid w:val="00167612"/>
    <w:rsid w:val="00167644"/>
    <w:rsid w:val="00170344"/>
    <w:rsid w:val="00170A36"/>
    <w:rsid w:val="00170A74"/>
    <w:rsid w:val="00171993"/>
    <w:rsid w:val="00171C30"/>
    <w:rsid w:val="00171C9C"/>
    <w:rsid w:val="0017219A"/>
    <w:rsid w:val="00173716"/>
    <w:rsid w:val="00173FB5"/>
    <w:rsid w:val="0017407E"/>
    <w:rsid w:val="001750B4"/>
    <w:rsid w:val="00175540"/>
    <w:rsid w:val="00176F47"/>
    <w:rsid w:val="0017746A"/>
    <w:rsid w:val="00183CEC"/>
    <w:rsid w:val="00185C33"/>
    <w:rsid w:val="0018616B"/>
    <w:rsid w:val="00187188"/>
    <w:rsid w:val="001901D7"/>
    <w:rsid w:val="00192911"/>
    <w:rsid w:val="001938A1"/>
    <w:rsid w:val="0019393F"/>
    <w:rsid w:val="00194ED4"/>
    <w:rsid w:val="0019616F"/>
    <w:rsid w:val="00197523"/>
    <w:rsid w:val="00197B64"/>
    <w:rsid w:val="001A1815"/>
    <w:rsid w:val="001A2195"/>
    <w:rsid w:val="001A2B9D"/>
    <w:rsid w:val="001A32F9"/>
    <w:rsid w:val="001A3C92"/>
    <w:rsid w:val="001A3CDA"/>
    <w:rsid w:val="001A4327"/>
    <w:rsid w:val="001A54CB"/>
    <w:rsid w:val="001A63B4"/>
    <w:rsid w:val="001A7209"/>
    <w:rsid w:val="001A7D1F"/>
    <w:rsid w:val="001B006D"/>
    <w:rsid w:val="001B0353"/>
    <w:rsid w:val="001B4117"/>
    <w:rsid w:val="001B4901"/>
    <w:rsid w:val="001B49B9"/>
    <w:rsid w:val="001B57CB"/>
    <w:rsid w:val="001C079D"/>
    <w:rsid w:val="001C0A22"/>
    <w:rsid w:val="001C0B47"/>
    <w:rsid w:val="001C0C9C"/>
    <w:rsid w:val="001C100B"/>
    <w:rsid w:val="001C10BA"/>
    <w:rsid w:val="001C1B73"/>
    <w:rsid w:val="001C1F8B"/>
    <w:rsid w:val="001C22ED"/>
    <w:rsid w:val="001C6CDD"/>
    <w:rsid w:val="001C730A"/>
    <w:rsid w:val="001D0330"/>
    <w:rsid w:val="001D057E"/>
    <w:rsid w:val="001D3714"/>
    <w:rsid w:val="001D4695"/>
    <w:rsid w:val="001D46BA"/>
    <w:rsid w:val="001D5854"/>
    <w:rsid w:val="001D72A1"/>
    <w:rsid w:val="001D733B"/>
    <w:rsid w:val="001E06BA"/>
    <w:rsid w:val="001E1114"/>
    <w:rsid w:val="001E121B"/>
    <w:rsid w:val="001E1A38"/>
    <w:rsid w:val="001E1E5E"/>
    <w:rsid w:val="001E21B1"/>
    <w:rsid w:val="001E3817"/>
    <w:rsid w:val="001E424B"/>
    <w:rsid w:val="001E7276"/>
    <w:rsid w:val="001F0B7F"/>
    <w:rsid w:val="001F1EF9"/>
    <w:rsid w:val="001F2BBB"/>
    <w:rsid w:val="001F45D1"/>
    <w:rsid w:val="001F4B16"/>
    <w:rsid w:val="001F4E21"/>
    <w:rsid w:val="001F6736"/>
    <w:rsid w:val="001F789A"/>
    <w:rsid w:val="001F7CAD"/>
    <w:rsid w:val="00200677"/>
    <w:rsid w:val="002014A7"/>
    <w:rsid w:val="00201DA9"/>
    <w:rsid w:val="00201DDF"/>
    <w:rsid w:val="00201FBE"/>
    <w:rsid w:val="00202C87"/>
    <w:rsid w:val="00205AC3"/>
    <w:rsid w:val="002068F0"/>
    <w:rsid w:val="00206B3E"/>
    <w:rsid w:val="00206D82"/>
    <w:rsid w:val="00206DBE"/>
    <w:rsid w:val="00206E46"/>
    <w:rsid w:val="00207279"/>
    <w:rsid w:val="00211907"/>
    <w:rsid w:val="0021273F"/>
    <w:rsid w:val="002137E7"/>
    <w:rsid w:val="00215364"/>
    <w:rsid w:val="00216D83"/>
    <w:rsid w:val="00216EE8"/>
    <w:rsid w:val="002174B3"/>
    <w:rsid w:val="00217A68"/>
    <w:rsid w:val="00217C63"/>
    <w:rsid w:val="00220365"/>
    <w:rsid w:val="0022037A"/>
    <w:rsid w:val="00220652"/>
    <w:rsid w:val="00223253"/>
    <w:rsid w:val="00223F5A"/>
    <w:rsid w:val="002243A6"/>
    <w:rsid w:val="002244D0"/>
    <w:rsid w:val="00224AA3"/>
    <w:rsid w:val="00225BB6"/>
    <w:rsid w:val="002260D0"/>
    <w:rsid w:val="00226D3D"/>
    <w:rsid w:val="00226F65"/>
    <w:rsid w:val="00227026"/>
    <w:rsid w:val="00227401"/>
    <w:rsid w:val="00227F72"/>
    <w:rsid w:val="00231537"/>
    <w:rsid w:val="00231590"/>
    <w:rsid w:val="00231C40"/>
    <w:rsid w:val="00231ED1"/>
    <w:rsid w:val="00232749"/>
    <w:rsid w:val="0023351D"/>
    <w:rsid w:val="00233999"/>
    <w:rsid w:val="00233E4C"/>
    <w:rsid w:val="00235520"/>
    <w:rsid w:val="002355E4"/>
    <w:rsid w:val="00237D5B"/>
    <w:rsid w:val="00237FE3"/>
    <w:rsid w:val="00240749"/>
    <w:rsid w:val="00240F79"/>
    <w:rsid w:val="00240FE8"/>
    <w:rsid w:val="00242624"/>
    <w:rsid w:val="00242672"/>
    <w:rsid w:val="00242DD5"/>
    <w:rsid w:val="002445F8"/>
    <w:rsid w:val="00244A09"/>
    <w:rsid w:val="00245533"/>
    <w:rsid w:val="0024557E"/>
    <w:rsid w:val="0024571D"/>
    <w:rsid w:val="00245F22"/>
    <w:rsid w:val="00246BC8"/>
    <w:rsid w:val="00250108"/>
    <w:rsid w:val="0025206E"/>
    <w:rsid w:val="002528A9"/>
    <w:rsid w:val="002537FB"/>
    <w:rsid w:val="002542D9"/>
    <w:rsid w:val="00254AEF"/>
    <w:rsid w:val="00254ED6"/>
    <w:rsid w:val="00256A25"/>
    <w:rsid w:val="00256BB8"/>
    <w:rsid w:val="00257439"/>
    <w:rsid w:val="002576A8"/>
    <w:rsid w:val="002600B4"/>
    <w:rsid w:val="002612D3"/>
    <w:rsid w:val="0026134E"/>
    <w:rsid w:val="00261BD4"/>
    <w:rsid w:val="00262208"/>
    <w:rsid w:val="002644D2"/>
    <w:rsid w:val="002671F2"/>
    <w:rsid w:val="00270195"/>
    <w:rsid w:val="0027038D"/>
    <w:rsid w:val="00271838"/>
    <w:rsid w:val="00272E0D"/>
    <w:rsid w:val="0027338F"/>
    <w:rsid w:val="0027423C"/>
    <w:rsid w:val="002748E1"/>
    <w:rsid w:val="00274A25"/>
    <w:rsid w:val="00274CE7"/>
    <w:rsid w:val="00275BE3"/>
    <w:rsid w:val="00275D41"/>
    <w:rsid w:val="00277624"/>
    <w:rsid w:val="00280C9B"/>
    <w:rsid w:val="0028185A"/>
    <w:rsid w:val="00281A45"/>
    <w:rsid w:val="00281D66"/>
    <w:rsid w:val="00281F62"/>
    <w:rsid w:val="00282975"/>
    <w:rsid w:val="00282EA5"/>
    <w:rsid w:val="002830B3"/>
    <w:rsid w:val="0028325E"/>
    <w:rsid w:val="002835CD"/>
    <w:rsid w:val="00283D26"/>
    <w:rsid w:val="0028404D"/>
    <w:rsid w:val="00284063"/>
    <w:rsid w:val="00285BEB"/>
    <w:rsid w:val="002863D7"/>
    <w:rsid w:val="002867FA"/>
    <w:rsid w:val="00286A1E"/>
    <w:rsid w:val="00287086"/>
    <w:rsid w:val="002876BF"/>
    <w:rsid w:val="00287BC0"/>
    <w:rsid w:val="00290A2A"/>
    <w:rsid w:val="00290AB6"/>
    <w:rsid w:val="00290B73"/>
    <w:rsid w:val="00293117"/>
    <w:rsid w:val="00293595"/>
    <w:rsid w:val="00293BD3"/>
    <w:rsid w:val="0029498A"/>
    <w:rsid w:val="00295738"/>
    <w:rsid w:val="00297037"/>
    <w:rsid w:val="00297245"/>
    <w:rsid w:val="00297599"/>
    <w:rsid w:val="002A01FE"/>
    <w:rsid w:val="002A03F2"/>
    <w:rsid w:val="002A08F0"/>
    <w:rsid w:val="002A1629"/>
    <w:rsid w:val="002A1740"/>
    <w:rsid w:val="002A1F6A"/>
    <w:rsid w:val="002A38CA"/>
    <w:rsid w:val="002A3E46"/>
    <w:rsid w:val="002A451B"/>
    <w:rsid w:val="002A456E"/>
    <w:rsid w:val="002A53CB"/>
    <w:rsid w:val="002A5ED1"/>
    <w:rsid w:val="002A633D"/>
    <w:rsid w:val="002A6891"/>
    <w:rsid w:val="002B01E7"/>
    <w:rsid w:val="002B036B"/>
    <w:rsid w:val="002B0688"/>
    <w:rsid w:val="002B085F"/>
    <w:rsid w:val="002B1294"/>
    <w:rsid w:val="002B133E"/>
    <w:rsid w:val="002B15A6"/>
    <w:rsid w:val="002B1B65"/>
    <w:rsid w:val="002B2285"/>
    <w:rsid w:val="002C0222"/>
    <w:rsid w:val="002C1866"/>
    <w:rsid w:val="002C2F9D"/>
    <w:rsid w:val="002C3839"/>
    <w:rsid w:val="002C3FB1"/>
    <w:rsid w:val="002C4B6B"/>
    <w:rsid w:val="002C4E23"/>
    <w:rsid w:val="002C4FA8"/>
    <w:rsid w:val="002C5138"/>
    <w:rsid w:val="002C5BEF"/>
    <w:rsid w:val="002C7022"/>
    <w:rsid w:val="002C7E17"/>
    <w:rsid w:val="002D0FA8"/>
    <w:rsid w:val="002D1D34"/>
    <w:rsid w:val="002D2C0A"/>
    <w:rsid w:val="002D6EA3"/>
    <w:rsid w:val="002E0EA2"/>
    <w:rsid w:val="002E14AF"/>
    <w:rsid w:val="002E157F"/>
    <w:rsid w:val="002E2A87"/>
    <w:rsid w:val="002E2FA1"/>
    <w:rsid w:val="002E3C69"/>
    <w:rsid w:val="002E3F30"/>
    <w:rsid w:val="002E6606"/>
    <w:rsid w:val="002E7751"/>
    <w:rsid w:val="002E7D4D"/>
    <w:rsid w:val="002E7F34"/>
    <w:rsid w:val="002F1178"/>
    <w:rsid w:val="002F1194"/>
    <w:rsid w:val="002F1FD8"/>
    <w:rsid w:val="002F2A52"/>
    <w:rsid w:val="002F2AA0"/>
    <w:rsid w:val="002F2E90"/>
    <w:rsid w:val="002F3670"/>
    <w:rsid w:val="002F3C7D"/>
    <w:rsid w:val="002F4AB9"/>
    <w:rsid w:val="002F4CE1"/>
    <w:rsid w:val="002F5FB4"/>
    <w:rsid w:val="002F6BF1"/>
    <w:rsid w:val="002F7649"/>
    <w:rsid w:val="002F7992"/>
    <w:rsid w:val="0030063E"/>
    <w:rsid w:val="00300F22"/>
    <w:rsid w:val="00302017"/>
    <w:rsid w:val="003022E3"/>
    <w:rsid w:val="0030261B"/>
    <w:rsid w:val="00302A92"/>
    <w:rsid w:val="0030359E"/>
    <w:rsid w:val="00304A37"/>
    <w:rsid w:val="00305747"/>
    <w:rsid w:val="00305C8F"/>
    <w:rsid w:val="00310933"/>
    <w:rsid w:val="00310D62"/>
    <w:rsid w:val="00310ED4"/>
    <w:rsid w:val="0031100F"/>
    <w:rsid w:val="00312301"/>
    <w:rsid w:val="00313B95"/>
    <w:rsid w:val="003141F7"/>
    <w:rsid w:val="0031492A"/>
    <w:rsid w:val="00314E20"/>
    <w:rsid w:val="00314F5F"/>
    <w:rsid w:val="0031561E"/>
    <w:rsid w:val="00316B7F"/>
    <w:rsid w:val="00316C1A"/>
    <w:rsid w:val="00316D91"/>
    <w:rsid w:val="003172EF"/>
    <w:rsid w:val="0031765B"/>
    <w:rsid w:val="0032020E"/>
    <w:rsid w:val="00320AE1"/>
    <w:rsid w:val="00320B32"/>
    <w:rsid w:val="003212A0"/>
    <w:rsid w:val="0032148D"/>
    <w:rsid w:val="0032173B"/>
    <w:rsid w:val="00322067"/>
    <w:rsid w:val="00322C35"/>
    <w:rsid w:val="00323C73"/>
    <w:rsid w:val="003255E4"/>
    <w:rsid w:val="00326EEB"/>
    <w:rsid w:val="00327411"/>
    <w:rsid w:val="00327531"/>
    <w:rsid w:val="003300CF"/>
    <w:rsid w:val="003310B0"/>
    <w:rsid w:val="00331141"/>
    <w:rsid w:val="0033140A"/>
    <w:rsid w:val="00331456"/>
    <w:rsid w:val="00331A4F"/>
    <w:rsid w:val="00334C3F"/>
    <w:rsid w:val="003356B5"/>
    <w:rsid w:val="00336397"/>
    <w:rsid w:val="00336DE7"/>
    <w:rsid w:val="003378D9"/>
    <w:rsid w:val="00337D44"/>
    <w:rsid w:val="00340BCB"/>
    <w:rsid w:val="00341324"/>
    <w:rsid w:val="003419C6"/>
    <w:rsid w:val="003420AE"/>
    <w:rsid w:val="0034280B"/>
    <w:rsid w:val="0034359F"/>
    <w:rsid w:val="003440A0"/>
    <w:rsid w:val="00344758"/>
    <w:rsid w:val="003452D1"/>
    <w:rsid w:val="00346986"/>
    <w:rsid w:val="00346A94"/>
    <w:rsid w:val="00347142"/>
    <w:rsid w:val="003472CC"/>
    <w:rsid w:val="0035035A"/>
    <w:rsid w:val="00351E9E"/>
    <w:rsid w:val="0035228A"/>
    <w:rsid w:val="00353218"/>
    <w:rsid w:val="00353C14"/>
    <w:rsid w:val="00354078"/>
    <w:rsid w:val="003545D1"/>
    <w:rsid w:val="00354702"/>
    <w:rsid w:val="00354D39"/>
    <w:rsid w:val="003565A8"/>
    <w:rsid w:val="003565D8"/>
    <w:rsid w:val="003566EA"/>
    <w:rsid w:val="00356B23"/>
    <w:rsid w:val="00356B4C"/>
    <w:rsid w:val="003575B4"/>
    <w:rsid w:val="00357EE2"/>
    <w:rsid w:val="0036158D"/>
    <w:rsid w:val="003634BC"/>
    <w:rsid w:val="00363CB9"/>
    <w:rsid w:val="00365682"/>
    <w:rsid w:val="0036698C"/>
    <w:rsid w:val="00366D64"/>
    <w:rsid w:val="00366F05"/>
    <w:rsid w:val="00371A7E"/>
    <w:rsid w:val="00372C79"/>
    <w:rsid w:val="003733B5"/>
    <w:rsid w:val="0037374A"/>
    <w:rsid w:val="003752E7"/>
    <w:rsid w:val="0037557F"/>
    <w:rsid w:val="00375F89"/>
    <w:rsid w:val="00376CE4"/>
    <w:rsid w:val="00380E59"/>
    <w:rsid w:val="003817A6"/>
    <w:rsid w:val="00382757"/>
    <w:rsid w:val="0038400E"/>
    <w:rsid w:val="00384381"/>
    <w:rsid w:val="00384E29"/>
    <w:rsid w:val="00385A97"/>
    <w:rsid w:val="00386DAA"/>
    <w:rsid w:val="0038703A"/>
    <w:rsid w:val="003900F3"/>
    <w:rsid w:val="0039101F"/>
    <w:rsid w:val="00392121"/>
    <w:rsid w:val="003935F0"/>
    <w:rsid w:val="00393791"/>
    <w:rsid w:val="003940EC"/>
    <w:rsid w:val="003953B5"/>
    <w:rsid w:val="00395BFE"/>
    <w:rsid w:val="003A0224"/>
    <w:rsid w:val="003A0C07"/>
    <w:rsid w:val="003A1656"/>
    <w:rsid w:val="003A1730"/>
    <w:rsid w:val="003A1732"/>
    <w:rsid w:val="003A2A5A"/>
    <w:rsid w:val="003A2C7A"/>
    <w:rsid w:val="003A41A6"/>
    <w:rsid w:val="003A46E0"/>
    <w:rsid w:val="003A5A68"/>
    <w:rsid w:val="003B0988"/>
    <w:rsid w:val="003B0E09"/>
    <w:rsid w:val="003B1277"/>
    <w:rsid w:val="003B1BC4"/>
    <w:rsid w:val="003B2149"/>
    <w:rsid w:val="003B25AB"/>
    <w:rsid w:val="003B2D24"/>
    <w:rsid w:val="003B353F"/>
    <w:rsid w:val="003B3BC5"/>
    <w:rsid w:val="003B52E9"/>
    <w:rsid w:val="003B5DF2"/>
    <w:rsid w:val="003B6D9B"/>
    <w:rsid w:val="003C07AC"/>
    <w:rsid w:val="003C1184"/>
    <w:rsid w:val="003C17EA"/>
    <w:rsid w:val="003C24F7"/>
    <w:rsid w:val="003C39AC"/>
    <w:rsid w:val="003C4C66"/>
    <w:rsid w:val="003C4CEE"/>
    <w:rsid w:val="003C4DA1"/>
    <w:rsid w:val="003C5315"/>
    <w:rsid w:val="003C76A8"/>
    <w:rsid w:val="003C77A8"/>
    <w:rsid w:val="003C798B"/>
    <w:rsid w:val="003C7FDA"/>
    <w:rsid w:val="003D0667"/>
    <w:rsid w:val="003D0EAB"/>
    <w:rsid w:val="003D0EB2"/>
    <w:rsid w:val="003D1178"/>
    <w:rsid w:val="003D1792"/>
    <w:rsid w:val="003D1BE3"/>
    <w:rsid w:val="003D349B"/>
    <w:rsid w:val="003D371C"/>
    <w:rsid w:val="003D3DCC"/>
    <w:rsid w:val="003D4C38"/>
    <w:rsid w:val="003D528C"/>
    <w:rsid w:val="003D54E6"/>
    <w:rsid w:val="003D5C7A"/>
    <w:rsid w:val="003D66C0"/>
    <w:rsid w:val="003D7068"/>
    <w:rsid w:val="003D781F"/>
    <w:rsid w:val="003D7ED1"/>
    <w:rsid w:val="003E09B8"/>
    <w:rsid w:val="003E0F41"/>
    <w:rsid w:val="003E16EE"/>
    <w:rsid w:val="003E2529"/>
    <w:rsid w:val="003E2B9A"/>
    <w:rsid w:val="003E2C07"/>
    <w:rsid w:val="003E3B0B"/>
    <w:rsid w:val="003E49BA"/>
    <w:rsid w:val="003E5581"/>
    <w:rsid w:val="003E5811"/>
    <w:rsid w:val="003E5C81"/>
    <w:rsid w:val="003E7875"/>
    <w:rsid w:val="003E7A68"/>
    <w:rsid w:val="003F23C5"/>
    <w:rsid w:val="003F3DB4"/>
    <w:rsid w:val="003F4FB4"/>
    <w:rsid w:val="003F5826"/>
    <w:rsid w:val="003F614D"/>
    <w:rsid w:val="003F732E"/>
    <w:rsid w:val="003F7564"/>
    <w:rsid w:val="003F76BE"/>
    <w:rsid w:val="004005C3"/>
    <w:rsid w:val="00400835"/>
    <w:rsid w:val="00400D35"/>
    <w:rsid w:val="004019FD"/>
    <w:rsid w:val="00401BE1"/>
    <w:rsid w:val="0040207F"/>
    <w:rsid w:val="00402FED"/>
    <w:rsid w:val="0040411D"/>
    <w:rsid w:val="00405CE0"/>
    <w:rsid w:val="00406EFD"/>
    <w:rsid w:val="00407493"/>
    <w:rsid w:val="004078B1"/>
    <w:rsid w:val="00407E3C"/>
    <w:rsid w:val="0041010A"/>
    <w:rsid w:val="004101A0"/>
    <w:rsid w:val="004108E5"/>
    <w:rsid w:val="00411912"/>
    <w:rsid w:val="00412555"/>
    <w:rsid w:val="004133CD"/>
    <w:rsid w:val="00413F8A"/>
    <w:rsid w:val="00414128"/>
    <w:rsid w:val="00414372"/>
    <w:rsid w:val="00414E5C"/>
    <w:rsid w:val="0041625E"/>
    <w:rsid w:val="00416654"/>
    <w:rsid w:val="0041685B"/>
    <w:rsid w:val="00417786"/>
    <w:rsid w:val="00417F48"/>
    <w:rsid w:val="00420C37"/>
    <w:rsid w:val="0042136E"/>
    <w:rsid w:val="00422417"/>
    <w:rsid w:val="00422E08"/>
    <w:rsid w:val="00423306"/>
    <w:rsid w:val="00424233"/>
    <w:rsid w:val="004243B1"/>
    <w:rsid w:val="004244B4"/>
    <w:rsid w:val="00424642"/>
    <w:rsid w:val="00425F67"/>
    <w:rsid w:val="00426C5D"/>
    <w:rsid w:val="00426DF8"/>
    <w:rsid w:val="0042759F"/>
    <w:rsid w:val="0043042B"/>
    <w:rsid w:val="00430602"/>
    <w:rsid w:val="00430743"/>
    <w:rsid w:val="00430832"/>
    <w:rsid w:val="0043144D"/>
    <w:rsid w:val="0043149F"/>
    <w:rsid w:val="004319AD"/>
    <w:rsid w:val="004320DD"/>
    <w:rsid w:val="00432C86"/>
    <w:rsid w:val="004332E7"/>
    <w:rsid w:val="00433C9F"/>
    <w:rsid w:val="004349A1"/>
    <w:rsid w:val="00434AE4"/>
    <w:rsid w:val="00434D8F"/>
    <w:rsid w:val="00435097"/>
    <w:rsid w:val="0043536A"/>
    <w:rsid w:val="0043540C"/>
    <w:rsid w:val="00440681"/>
    <w:rsid w:val="00440FAB"/>
    <w:rsid w:val="0044119B"/>
    <w:rsid w:val="00441833"/>
    <w:rsid w:val="00441A10"/>
    <w:rsid w:val="00441AC9"/>
    <w:rsid w:val="00443699"/>
    <w:rsid w:val="004442F2"/>
    <w:rsid w:val="00444AB9"/>
    <w:rsid w:val="00445776"/>
    <w:rsid w:val="00445D61"/>
    <w:rsid w:val="00445EBF"/>
    <w:rsid w:val="00445F7F"/>
    <w:rsid w:val="0044612C"/>
    <w:rsid w:val="00446998"/>
    <w:rsid w:val="0044705F"/>
    <w:rsid w:val="00447A31"/>
    <w:rsid w:val="00450687"/>
    <w:rsid w:val="00450F2F"/>
    <w:rsid w:val="00452287"/>
    <w:rsid w:val="004523F2"/>
    <w:rsid w:val="004546D3"/>
    <w:rsid w:val="0045472F"/>
    <w:rsid w:val="00455392"/>
    <w:rsid w:val="00456214"/>
    <w:rsid w:val="004565E0"/>
    <w:rsid w:val="004568FB"/>
    <w:rsid w:val="00457E19"/>
    <w:rsid w:val="00457EC9"/>
    <w:rsid w:val="00460710"/>
    <w:rsid w:val="00463E45"/>
    <w:rsid w:val="00463F65"/>
    <w:rsid w:val="00463FC6"/>
    <w:rsid w:val="00464089"/>
    <w:rsid w:val="00465446"/>
    <w:rsid w:val="00465EDB"/>
    <w:rsid w:val="00466FC2"/>
    <w:rsid w:val="00467750"/>
    <w:rsid w:val="00467AD0"/>
    <w:rsid w:val="00467C7F"/>
    <w:rsid w:val="00467D65"/>
    <w:rsid w:val="00470178"/>
    <w:rsid w:val="004715E1"/>
    <w:rsid w:val="00472BB8"/>
    <w:rsid w:val="00472EFF"/>
    <w:rsid w:val="00474063"/>
    <w:rsid w:val="004740A7"/>
    <w:rsid w:val="004751CA"/>
    <w:rsid w:val="00475D85"/>
    <w:rsid w:val="0047653D"/>
    <w:rsid w:val="00476793"/>
    <w:rsid w:val="00476F2B"/>
    <w:rsid w:val="00477962"/>
    <w:rsid w:val="00482A7E"/>
    <w:rsid w:val="004837C8"/>
    <w:rsid w:val="00484571"/>
    <w:rsid w:val="00485136"/>
    <w:rsid w:val="004859A0"/>
    <w:rsid w:val="004861CC"/>
    <w:rsid w:val="0048633D"/>
    <w:rsid w:val="004863CB"/>
    <w:rsid w:val="00486D1B"/>
    <w:rsid w:val="00487235"/>
    <w:rsid w:val="00487421"/>
    <w:rsid w:val="00487436"/>
    <w:rsid w:val="00490844"/>
    <w:rsid w:val="004911AB"/>
    <w:rsid w:val="00492EA4"/>
    <w:rsid w:val="00494FFA"/>
    <w:rsid w:val="00496F51"/>
    <w:rsid w:val="004A035B"/>
    <w:rsid w:val="004A081F"/>
    <w:rsid w:val="004A187B"/>
    <w:rsid w:val="004A29B5"/>
    <w:rsid w:val="004A2CA5"/>
    <w:rsid w:val="004A2D3C"/>
    <w:rsid w:val="004A3125"/>
    <w:rsid w:val="004A31D5"/>
    <w:rsid w:val="004A3A7E"/>
    <w:rsid w:val="004A44CD"/>
    <w:rsid w:val="004A4596"/>
    <w:rsid w:val="004A5659"/>
    <w:rsid w:val="004A713B"/>
    <w:rsid w:val="004A72EC"/>
    <w:rsid w:val="004A7456"/>
    <w:rsid w:val="004A7938"/>
    <w:rsid w:val="004A7FE7"/>
    <w:rsid w:val="004B03E1"/>
    <w:rsid w:val="004B0E4E"/>
    <w:rsid w:val="004B14E5"/>
    <w:rsid w:val="004B47F4"/>
    <w:rsid w:val="004B580E"/>
    <w:rsid w:val="004B5854"/>
    <w:rsid w:val="004B6599"/>
    <w:rsid w:val="004B69FF"/>
    <w:rsid w:val="004B6A1A"/>
    <w:rsid w:val="004B7490"/>
    <w:rsid w:val="004B759F"/>
    <w:rsid w:val="004C0881"/>
    <w:rsid w:val="004C1130"/>
    <w:rsid w:val="004C13CA"/>
    <w:rsid w:val="004C1C10"/>
    <w:rsid w:val="004C420F"/>
    <w:rsid w:val="004C4D7E"/>
    <w:rsid w:val="004C4D91"/>
    <w:rsid w:val="004C5185"/>
    <w:rsid w:val="004C7412"/>
    <w:rsid w:val="004C7C31"/>
    <w:rsid w:val="004C7DAE"/>
    <w:rsid w:val="004D00D9"/>
    <w:rsid w:val="004D04BF"/>
    <w:rsid w:val="004D20D6"/>
    <w:rsid w:val="004D2711"/>
    <w:rsid w:val="004D3E9E"/>
    <w:rsid w:val="004D3EDE"/>
    <w:rsid w:val="004D5530"/>
    <w:rsid w:val="004D5D26"/>
    <w:rsid w:val="004D67A3"/>
    <w:rsid w:val="004D69F8"/>
    <w:rsid w:val="004D6CA4"/>
    <w:rsid w:val="004D6E55"/>
    <w:rsid w:val="004E0DFF"/>
    <w:rsid w:val="004E235A"/>
    <w:rsid w:val="004E2BD0"/>
    <w:rsid w:val="004E4C3A"/>
    <w:rsid w:val="004E6E6B"/>
    <w:rsid w:val="004E7AF9"/>
    <w:rsid w:val="004E7FF7"/>
    <w:rsid w:val="004F0812"/>
    <w:rsid w:val="004F0B1A"/>
    <w:rsid w:val="004F0DF1"/>
    <w:rsid w:val="004F116D"/>
    <w:rsid w:val="004F1C7C"/>
    <w:rsid w:val="004F22A5"/>
    <w:rsid w:val="004F48E0"/>
    <w:rsid w:val="004F55C6"/>
    <w:rsid w:val="004F6B05"/>
    <w:rsid w:val="004F7292"/>
    <w:rsid w:val="005005C2"/>
    <w:rsid w:val="005005E6"/>
    <w:rsid w:val="00500621"/>
    <w:rsid w:val="0050234B"/>
    <w:rsid w:val="005028FA"/>
    <w:rsid w:val="00503C94"/>
    <w:rsid w:val="00503D87"/>
    <w:rsid w:val="005042D3"/>
    <w:rsid w:val="00504DEC"/>
    <w:rsid w:val="00506492"/>
    <w:rsid w:val="005110EB"/>
    <w:rsid w:val="005111B9"/>
    <w:rsid w:val="00511EF7"/>
    <w:rsid w:val="005123F0"/>
    <w:rsid w:val="00512DE1"/>
    <w:rsid w:val="00513540"/>
    <w:rsid w:val="00513941"/>
    <w:rsid w:val="00513FDA"/>
    <w:rsid w:val="00514067"/>
    <w:rsid w:val="005165E8"/>
    <w:rsid w:val="0052003E"/>
    <w:rsid w:val="00520979"/>
    <w:rsid w:val="00521D96"/>
    <w:rsid w:val="0052357A"/>
    <w:rsid w:val="00524E20"/>
    <w:rsid w:val="0052542F"/>
    <w:rsid w:val="00525C7E"/>
    <w:rsid w:val="00527832"/>
    <w:rsid w:val="0052785D"/>
    <w:rsid w:val="0053051D"/>
    <w:rsid w:val="00531154"/>
    <w:rsid w:val="0053171E"/>
    <w:rsid w:val="005318CC"/>
    <w:rsid w:val="00532183"/>
    <w:rsid w:val="005328E8"/>
    <w:rsid w:val="00533F28"/>
    <w:rsid w:val="005343C3"/>
    <w:rsid w:val="005344E6"/>
    <w:rsid w:val="005344F4"/>
    <w:rsid w:val="00534618"/>
    <w:rsid w:val="00535155"/>
    <w:rsid w:val="00535213"/>
    <w:rsid w:val="00536960"/>
    <w:rsid w:val="0053776F"/>
    <w:rsid w:val="0054016C"/>
    <w:rsid w:val="005407B9"/>
    <w:rsid w:val="005419E9"/>
    <w:rsid w:val="005424FB"/>
    <w:rsid w:val="00542662"/>
    <w:rsid w:val="0054382A"/>
    <w:rsid w:val="00543B6A"/>
    <w:rsid w:val="00544635"/>
    <w:rsid w:val="00544BED"/>
    <w:rsid w:val="005451BB"/>
    <w:rsid w:val="00546836"/>
    <w:rsid w:val="00546EB1"/>
    <w:rsid w:val="00547168"/>
    <w:rsid w:val="005474C8"/>
    <w:rsid w:val="005511B2"/>
    <w:rsid w:val="0055156D"/>
    <w:rsid w:val="005517BF"/>
    <w:rsid w:val="00552C10"/>
    <w:rsid w:val="00553DFD"/>
    <w:rsid w:val="00555BBF"/>
    <w:rsid w:val="00556419"/>
    <w:rsid w:val="005565D1"/>
    <w:rsid w:val="005566E7"/>
    <w:rsid w:val="00560EDA"/>
    <w:rsid w:val="005615C2"/>
    <w:rsid w:val="0056163E"/>
    <w:rsid w:val="00562469"/>
    <w:rsid w:val="00563EA3"/>
    <w:rsid w:val="00564208"/>
    <w:rsid w:val="00564708"/>
    <w:rsid w:val="00564931"/>
    <w:rsid w:val="0056590F"/>
    <w:rsid w:val="005661AC"/>
    <w:rsid w:val="005661B5"/>
    <w:rsid w:val="00567B32"/>
    <w:rsid w:val="00571073"/>
    <w:rsid w:val="00571CEB"/>
    <w:rsid w:val="00571E30"/>
    <w:rsid w:val="0057276A"/>
    <w:rsid w:val="00572B4F"/>
    <w:rsid w:val="00573152"/>
    <w:rsid w:val="005741EC"/>
    <w:rsid w:val="00575A6F"/>
    <w:rsid w:val="005763F3"/>
    <w:rsid w:val="0057751C"/>
    <w:rsid w:val="005776EB"/>
    <w:rsid w:val="00577ECA"/>
    <w:rsid w:val="00580EA5"/>
    <w:rsid w:val="0058166D"/>
    <w:rsid w:val="0058170A"/>
    <w:rsid w:val="00582143"/>
    <w:rsid w:val="005823AD"/>
    <w:rsid w:val="005829DB"/>
    <w:rsid w:val="00582A28"/>
    <w:rsid w:val="00584266"/>
    <w:rsid w:val="0058535F"/>
    <w:rsid w:val="00585498"/>
    <w:rsid w:val="00585FF8"/>
    <w:rsid w:val="00586519"/>
    <w:rsid w:val="00586D30"/>
    <w:rsid w:val="00587588"/>
    <w:rsid w:val="00587711"/>
    <w:rsid w:val="00590C69"/>
    <w:rsid w:val="00590F6B"/>
    <w:rsid w:val="0059135D"/>
    <w:rsid w:val="00591951"/>
    <w:rsid w:val="00591C42"/>
    <w:rsid w:val="00593C05"/>
    <w:rsid w:val="005945F9"/>
    <w:rsid w:val="00594640"/>
    <w:rsid w:val="00595AA8"/>
    <w:rsid w:val="00595CE7"/>
    <w:rsid w:val="005960D0"/>
    <w:rsid w:val="005A003A"/>
    <w:rsid w:val="005A0C3A"/>
    <w:rsid w:val="005A1153"/>
    <w:rsid w:val="005A1B5C"/>
    <w:rsid w:val="005A2689"/>
    <w:rsid w:val="005A2696"/>
    <w:rsid w:val="005A3089"/>
    <w:rsid w:val="005A361E"/>
    <w:rsid w:val="005A3D2D"/>
    <w:rsid w:val="005A468B"/>
    <w:rsid w:val="005A4B21"/>
    <w:rsid w:val="005A4B6D"/>
    <w:rsid w:val="005A64D3"/>
    <w:rsid w:val="005A7847"/>
    <w:rsid w:val="005A7B0E"/>
    <w:rsid w:val="005A7DE4"/>
    <w:rsid w:val="005B053B"/>
    <w:rsid w:val="005B0919"/>
    <w:rsid w:val="005B135F"/>
    <w:rsid w:val="005B4307"/>
    <w:rsid w:val="005B4A48"/>
    <w:rsid w:val="005B5894"/>
    <w:rsid w:val="005B66D8"/>
    <w:rsid w:val="005B6C60"/>
    <w:rsid w:val="005C06B1"/>
    <w:rsid w:val="005C1566"/>
    <w:rsid w:val="005C1634"/>
    <w:rsid w:val="005C1FEF"/>
    <w:rsid w:val="005C3ED2"/>
    <w:rsid w:val="005C4C93"/>
    <w:rsid w:val="005C5D41"/>
    <w:rsid w:val="005C60B3"/>
    <w:rsid w:val="005C7482"/>
    <w:rsid w:val="005D04E9"/>
    <w:rsid w:val="005D0C88"/>
    <w:rsid w:val="005D1048"/>
    <w:rsid w:val="005D1433"/>
    <w:rsid w:val="005D1691"/>
    <w:rsid w:val="005D1F34"/>
    <w:rsid w:val="005D2D5F"/>
    <w:rsid w:val="005D383D"/>
    <w:rsid w:val="005D4E2F"/>
    <w:rsid w:val="005D6587"/>
    <w:rsid w:val="005D7768"/>
    <w:rsid w:val="005E013C"/>
    <w:rsid w:val="005E1673"/>
    <w:rsid w:val="005E2AE8"/>
    <w:rsid w:val="005E2B45"/>
    <w:rsid w:val="005E2D32"/>
    <w:rsid w:val="005E383F"/>
    <w:rsid w:val="005E58FF"/>
    <w:rsid w:val="005E6C28"/>
    <w:rsid w:val="005E6CD2"/>
    <w:rsid w:val="005E70E5"/>
    <w:rsid w:val="005E7A01"/>
    <w:rsid w:val="005F06F7"/>
    <w:rsid w:val="005F084D"/>
    <w:rsid w:val="005F0BBE"/>
    <w:rsid w:val="005F2D2A"/>
    <w:rsid w:val="005F3420"/>
    <w:rsid w:val="005F406F"/>
    <w:rsid w:val="005F4D80"/>
    <w:rsid w:val="005F5874"/>
    <w:rsid w:val="005F6722"/>
    <w:rsid w:val="005F727B"/>
    <w:rsid w:val="005F76C8"/>
    <w:rsid w:val="0060109C"/>
    <w:rsid w:val="00601D17"/>
    <w:rsid w:val="00602416"/>
    <w:rsid w:val="006037C0"/>
    <w:rsid w:val="00604ECB"/>
    <w:rsid w:val="00605B8A"/>
    <w:rsid w:val="00605C82"/>
    <w:rsid w:val="00605F66"/>
    <w:rsid w:val="00606CC4"/>
    <w:rsid w:val="006104FF"/>
    <w:rsid w:val="006116BE"/>
    <w:rsid w:val="00611B0F"/>
    <w:rsid w:val="00613966"/>
    <w:rsid w:val="006148B8"/>
    <w:rsid w:val="00614E09"/>
    <w:rsid w:val="00614E52"/>
    <w:rsid w:val="006165F4"/>
    <w:rsid w:val="00616B50"/>
    <w:rsid w:val="0061797C"/>
    <w:rsid w:val="006213DE"/>
    <w:rsid w:val="006226AB"/>
    <w:rsid w:val="0062297B"/>
    <w:rsid w:val="006232FB"/>
    <w:rsid w:val="006242ED"/>
    <w:rsid w:val="00624561"/>
    <w:rsid w:val="00624CCB"/>
    <w:rsid w:val="006269CD"/>
    <w:rsid w:val="00626F13"/>
    <w:rsid w:val="00631011"/>
    <w:rsid w:val="00631258"/>
    <w:rsid w:val="00631314"/>
    <w:rsid w:val="00631C1D"/>
    <w:rsid w:val="006323D8"/>
    <w:rsid w:val="00634422"/>
    <w:rsid w:val="0063577D"/>
    <w:rsid w:val="006359B7"/>
    <w:rsid w:val="006360A6"/>
    <w:rsid w:val="0063693E"/>
    <w:rsid w:val="0063727D"/>
    <w:rsid w:val="00640053"/>
    <w:rsid w:val="00640316"/>
    <w:rsid w:val="0064067F"/>
    <w:rsid w:val="00642806"/>
    <w:rsid w:val="0064461B"/>
    <w:rsid w:val="006454A5"/>
    <w:rsid w:val="0064638B"/>
    <w:rsid w:val="0064769D"/>
    <w:rsid w:val="006478C7"/>
    <w:rsid w:val="00647CAF"/>
    <w:rsid w:val="00650EFA"/>
    <w:rsid w:val="00654793"/>
    <w:rsid w:val="00654B03"/>
    <w:rsid w:val="00655056"/>
    <w:rsid w:val="00655A38"/>
    <w:rsid w:val="00656A7A"/>
    <w:rsid w:val="00656DF1"/>
    <w:rsid w:val="00661AEF"/>
    <w:rsid w:val="00662191"/>
    <w:rsid w:val="00663560"/>
    <w:rsid w:val="006636AD"/>
    <w:rsid w:val="00663773"/>
    <w:rsid w:val="00663BFE"/>
    <w:rsid w:val="00664467"/>
    <w:rsid w:val="00665882"/>
    <w:rsid w:val="006659C6"/>
    <w:rsid w:val="00665A91"/>
    <w:rsid w:val="00665D8E"/>
    <w:rsid w:val="0066685C"/>
    <w:rsid w:val="00667810"/>
    <w:rsid w:val="00670EEE"/>
    <w:rsid w:val="006711AE"/>
    <w:rsid w:val="00672231"/>
    <w:rsid w:val="00673373"/>
    <w:rsid w:val="006745CF"/>
    <w:rsid w:val="00675CEC"/>
    <w:rsid w:val="006761CB"/>
    <w:rsid w:val="006763D9"/>
    <w:rsid w:val="00676AB5"/>
    <w:rsid w:val="00677003"/>
    <w:rsid w:val="00677DA2"/>
    <w:rsid w:val="006800D4"/>
    <w:rsid w:val="00680D60"/>
    <w:rsid w:val="0068224D"/>
    <w:rsid w:val="006825D4"/>
    <w:rsid w:val="00682705"/>
    <w:rsid w:val="00683987"/>
    <w:rsid w:val="00683B0B"/>
    <w:rsid w:val="00683DDF"/>
    <w:rsid w:val="00684076"/>
    <w:rsid w:val="006845C4"/>
    <w:rsid w:val="006847D6"/>
    <w:rsid w:val="00684BF4"/>
    <w:rsid w:val="00684EBD"/>
    <w:rsid w:val="0068650A"/>
    <w:rsid w:val="00687296"/>
    <w:rsid w:val="00687595"/>
    <w:rsid w:val="0068769D"/>
    <w:rsid w:val="00687CA8"/>
    <w:rsid w:val="006909BA"/>
    <w:rsid w:val="00690C63"/>
    <w:rsid w:val="0069180A"/>
    <w:rsid w:val="00692B60"/>
    <w:rsid w:val="0069318F"/>
    <w:rsid w:val="006938AB"/>
    <w:rsid w:val="006946E2"/>
    <w:rsid w:val="00694FA8"/>
    <w:rsid w:val="00695217"/>
    <w:rsid w:val="00695730"/>
    <w:rsid w:val="00695D25"/>
    <w:rsid w:val="0069654C"/>
    <w:rsid w:val="00697245"/>
    <w:rsid w:val="00697CF9"/>
    <w:rsid w:val="00697EDB"/>
    <w:rsid w:val="006A0285"/>
    <w:rsid w:val="006A042A"/>
    <w:rsid w:val="006A12A3"/>
    <w:rsid w:val="006A2BDC"/>
    <w:rsid w:val="006A4B16"/>
    <w:rsid w:val="006A4E35"/>
    <w:rsid w:val="006A5159"/>
    <w:rsid w:val="006A57DC"/>
    <w:rsid w:val="006A5FF3"/>
    <w:rsid w:val="006A626D"/>
    <w:rsid w:val="006A6BB3"/>
    <w:rsid w:val="006A72C6"/>
    <w:rsid w:val="006A7997"/>
    <w:rsid w:val="006B0059"/>
    <w:rsid w:val="006B0CB1"/>
    <w:rsid w:val="006B19E4"/>
    <w:rsid w:val="006B2281"/>
    <w:rsid w:val="006B2427"/>
    <w:rsid w:val="006B3C74"/>
    <w:rsid w:val="006B4B2E"/>
    <w:rsid w:val="006B5B68"/>
    <w:rsid w:val="006B6A15"/>
    <w:rsid w:val="006B6DB2"/>
    <w:rsid w:val="006B72A3"/>
    <w:rsid w:val="006B7A3B"/>
    <w:rsid w:val="006C2016"/>
    <w:rsid w:val="006C2C4D"/>
    <w:rsid w:val="006C3193"/>
    <w:rsid w:val="006C31E0"/>
    <w:rsid w:val="006C5478"/>
    <w:rsid w:val="006C5868"/>
    <w:rsid w:val="006C6FF7"/>
    <w:rsid w:val="006C7016"/>
    <w:rsid w:val="006C7C0A"/>
    <w:rsid w:val="006C7C46"/>
    <w:rsid w:val="006D0C08"/>
    <w:rsid w:val="006D10A1"/>
    <w:rsid w:val="006D15B9"/>
    <w:rsid w:val="006D16E3"/>
    <w:rsid w:val="006D202D"/>
    <w:rsid w:val="006D26EA"/>
    <w:rsid w:val="006D3EA5"/>
    <w:rsid w:val="006D4615"/>
    <w:rsid w:val="006D56C6"/>
    <w:rsid w:val="006D5B59"/>
    <w:rsid w:val="006D5E71"/>
    <w:rsid w:val="006D5EE5"/>
    <w:rsid w:val="006D6A98"/>
    <w:rsid w:val="006D6D25"/>
    <w:rsid w:val="006E0217"/>
    <w:rsid w:val="006E0623"/>
    <w:rsid w:val="006E1515"/>
    <w:rsid w:val="006E15ED"/>
    <w:rsid w:val="006E20CA"/>
    <w:rsid w:val="006E3446"/>
    <w:rsid w:val="006E3AA0"/>
    <w:rsid w:val="006E3AAD"/>
    <w:rsid w:val="006E4F08"/>
    <w:rsid w:val="006F0207"/>
    <w:rsid w:val="006F04D4"/>
    <w:rsid w:val="006F1C82"/>
    <w:rsid w:val="006F3046"/>
    <w:rsid w:val="006F4266"/>
    <w:rsid w:val="006F688E"/>
    <w:rsid w:val="006F6D31"/>
    <w:rsid w:val="006F6D41"/>
    <w:rsid w:val="00701170"/>
    <w:rsid w:val="00701406"/>
    <w:rsid w:val="00701FD0"/>
    <w:rsid w:val="007036FF"/>
    <w:rsid w:val="00703F34"/>
    <w:rsid w:val="0070450F"/>
    <w:rsid w:val="007054D6"/>
    <w:rsid w:val="00706FB5"/>
    <w:rsid w:val="00707AF4"/>
    <w:rsid w:val="00707EB0"/>
    <w:rsid w:val="00707F75"/>
    <w:rsid w:val="00711285"/>
    <w:rsid w:val="00713099"/>
    <w:rsid w:val="007159C9"/>
    <w:rsid w:val="00716657"/>
    <w:rsid w:val="00720638"/>
    <w:rsid w:val="00720F82"/>
    <w:rsid w:val="00722DC8"/>
    <w:rsid w:val="00722E17"/>
    <w:rsid w:val="00723AA8"/>
    <w:rsid w:val="0072404E"/>
    <w:rsid w:val="007254BC"/>
    <w:rsid w:val="007254D8"/>
    <w:rsid w:val="00727093"/>
    <w:rsid w:val="00727290"/>
    <w:rsid w:val="0072761A"/>
    <w:rsid w:val="007310D5"/>
    <w:rsid w:val="00731533"/>
    <w:rsid w:val="00732318"/>
    <w:rsid w:val="007325E0"/>
    <w:rsid w:val="007328EB"/>
    <w:rsid w:val="00732A74"/>
    <w:rsid w:val="00732E53"/>
    <w:rsid w:val="007335FA"/>
    <w:rsid w:val="00733C4E"/>
    <w:rsid w:val="00733F5E"/>
    <w:rsid w:val="007352F8"/>
    <w:rsid w:val="007358B8"/>
    <w:rsid w:val="00740489"/>
    <w:rsid w:val="007417D2"/>
    <w:rsid w:val="0074208D"/>
    <w:rsid w:val="00742803"/>
    <w:rsid w:val="00743727"/>
    <w:rsid w:val="007443B5"/>
    <w:rsid w:val="00745431"/>
    <w:rsid w:val="0074630E"/>
    <w:rsid w:val="0074791C"/>
    <w:rsid w:val="00747E5B"/>
    <w:rsid w:val="00751343"/>
    <w:rsid w:val="007521B7"/>
    <w:rsid w:val="00752236"/>
    <w:rsid w:val="00753446"/>
    <w:rsid w:val="007539E1"/>
    <w:rsid w:val="00753C28"/>
    <w:rsid w:val="007540BF"/>
    <w:rsid w:val="0075459C"/>
    <w:rsid w:val="00754F49"/>
    <w:rsid w:val="00755ED1"/>
    <w:rsid w:val="00756B1B"/>
    <w:rsid w:val="00756BBA"/>
    <w:rsid w:val="007578D0"/>
    <w:rsid w:val="00760686"/>
    <w:rsid w:val="00760E20"/>
    <w:rsid w:val="007620BE"/>
    <w:rsid w:val="0076293F"/>
    <w:rsid w:val="00762B0B"/>
    <w:rsid w:val="00765089"/>
    <w:rsid w:val="007658A6"/>
    <w:rsid w:val="00766EBF"/>
    <w:rsid w:val="00767176"/>
    <w:rsid w:val="0077057A"/>
    <w:rsid w:val="00770DCB"/>
    <w:rsid w:val="00771115"/>
    <w:rsid w:val="007718E7"/>
    <w:rsid w:val="00771AA9"/>
    <w:rsid w:val="00772886"/>
    <w:rsid w:val="007739DA"/>
    <w:rsid w:val="0077419C"/>
    <w:rsid w:val="0077435D"/>
    <w:rsid w:val="00774704"/>
    <w:rsid w:val="00775485"/>
    <w:rsid w:val="0077596F"/>
    <w:rsid w:val="00777932"/>
    <w:rsid w:val="00777E49"/>
    <w:rsid w:val="007812EB"/>
    <w:rsid w:val="007813D5"/>
    <w:rsid w:val="00782213"/>
    <w:rsid w:val="00782FFB"/>
    <w:rsid w:val="00783984"/>
    <w:rsid w:val="00784DF4"/>
    <w:rsid w:val="00785233"/>
    <w:rsid w:val="007852EB"/>
    <w:rsid w:val="007853D6"/>
    <w:rsid w:val="007855D4"/>
    <w:rsid w:val="007867DD"/>
    <w:rsid w:val="007869DF"/>
    <w:rsid w:val="0078733A"/>
    <w:rsid w:val="007903AA"/>
    <w:rsid w:val="00790748"/>
    <w:rsid w:val="00790F7D"/>
    <w:rsid w:val="00791512"/>
    <w:rsid w:val="0079176A"/>
    <w:rsid w:val="00791F02"/>
    <w:rsid w:val="00792EDC"/>
    <w:rsid w:val="00793169"/>
    <w:rsid w:val="00794672"/>
    <w:rsid w:val="00794E84"/>
    <w:rsid w:val="007952B9"/>
    <w:rsid w:val="007955CE"/>
    <w:rsid w:val="0079718C"/>
    <w:rsid w:val="00797247"/>
    <w:rsid w:val="007973A2"/>
    <w:rsid w:val="007A0699"/>
    <w:rsid w:val="007A0AFD"/>
    <w:rsid w:val="007A0C04"/>
    <w:rsid w:val="007A0CB4"/>
    <w:rsid w:val="007A0EEC"/>
    <w:rsid w:val="007A1536"/>
    <w:rsid w:val="007A18FF"/>
    <w:rsid w:val="007A1B92"/>
    <w:rsid w:val="007A50CD"/>
    <w:rsid w:val="007A7184"/>
    <w:rsid w:val="007B103A"/>
    <w:rsid w:val="007B1A61"/>
    <w:rsid w:val="007B357C"/>
    <w:rsid w:val="007B42CD"/>
    <w:rsid w:val="007B4BC3"/>
    <w:rsid w:val="007B63EB"/>
    <w:rsid w:val="007B69B8"/>
    <w:rsid w:val="007B7C4D"/>
    <w:rsid w:val="007B7CDB"/>
    <w:rsid w:val="007C0416"/>
    <w:rsid w:val="007C260C"/>
    <w:rsid w:val="007C38D7"/>
    <w:rsid w:val="007C4BE5"/>
    <w:rsid w:val="007C5372"/>
    <w:rsid w:val="007C6654"/>
    <w:rsid w:val="007C7D4A"/>
    <w:rsid w:val="007D09E0"/>
    <w:rsid w:val="007D17AD"/>
    <w:rsid w:val="007D195D"/>
    <w:rsid w:val="007D207B"/>
    <w:rsid w:val="007D2936"/>
    <w:rsid w:val="007D3889"/>
    <w:rsid w:val="007D4237"/>
    <w:rsid w:val="007D4269"/>
    <w:rsid w:val="007D48B6"/>
    <w:rsid w:val="007D4BF6"/>
    <w:rsid w:val="007D4FC3"/>
    <w:rsid w:val="007D517C"/>
    <w:rsid w:val="007D54F0"/>
    <w:rsid w:val="007D5953"/>
    <w:rsid w:val="007D60D5"/>
    <w:rsid w:val="007D6163"/>
    <w:rsid w:val="007D626E"/>
    <w:rsid w:val="007D6C0E"/>
    <w:rsid w:val="007D6EF6"/>
    <w:rsid w:val="007E0935"/>
    <w:rsid w:val="007E09CE"/>
    <w:rsid w:val="007E21CF"/>
    <w:rsid w:val="007E2CA3"/>
    <w:rsid w:val="007E3CA3"/>
    <w:rsid w:val="007E4A34"/>
    <w:rsid w:val="007E534D"/>
    <w:rsid w:val="007E5B88"/>
    <w:rsid w:val="007E6928"/>
    <w:rsid w:val="007E6BFB"/>
    <w:rsid w:val="007E76A0"/>
    <w:rsid w:val="007F0D0B"/>
    <w:rsid w:val="007F21CA"/>
    <w:rsid w:val="007F2560"/>
    <w:rsid w:val="007F32EC"/>
    <w:rsid w:val="007F350B"/>
    <w:rsid w:val="007F4AC9"/>
    <w:rsid w:val="007F4B78"/>
    <w:rsid w:val="007F52E8"/>
    <w:rsid w:val="007F5E05"/>
    <w:rsid w:val="007F62ED"/>
    <w:rsid w:val="007F6669"/>
    <w:rsid w:val="007F721F"/>
    <w:rsid w:val="007F7DC3"/>
    <w:rsid w:val="008007A8"/>
    <w:rsid w:val="00800F3F"/>
    <w:rsid w:val="00801C3B"/>
    <w:rsid w:val="00802EED"/>
    <w:rsid w:val="008042D9"/>
    <w:rsid w:val="00805460"/>
    <w:rsid w:val="00805FF3"/>
    <w:rsid w:val="008068F9"/>
    <w:rsid w:val="00807909"/>
    <w:rsid w:val="00811554"/>
    <w:rsid w:val="00811C24"/>
    <w:rsid w:val="00811D93"/>
    <w:rsid w:val="00812A76"/>
    <w:rsid w:val="00814F71"/>
    <w:rsid w:val="00814FC0"/>
    <w:rsid w:val="00817F25"/>
    <w:rsid w:val="0082005D"/>
    <w:rsid w:val="0082182A"/>
    <w:rsid w:val="00821AEF"/>
    <w:rsid w:val="008225B7"/>
    <w:rsid w:val="008225BA"/>
    <w:rsid w:val="0082290E"/>
    <w:rsid w:val="00822C37"/>
    <w:rsid w:val="0082587B"/>
    <w:rsid w:val="00826489"/>
    <w:rsid w:val="008268B7"/>
    <w:rsid w:val="0082781F"/>
    <w:rsid w:val="00827FDE"/>
    <w:rsid w:val="00830087"/>
    <w:rsid w:val="00830302"/>
    <w:rsid w:val="00830AEC"/>
    <w:rsid w:val="0083260C"/>
    <w:rsid w:val="00832A38"/>
    <w:rsid w:val="00834C73"/>
    <w:rsid w:val="0083558A"/>
    <w:rsid w:val="0083566A"/>
    <w:rsid w:val="0083590B"/>
    <w:rsid w:val="00835F6B"/>
    <w:rsid w:val="0083621C"/>
    <w:rsid w:val="00836B42"/>
    <w:rsid w:val="00837E97"/>
    <w:rsid w:val="00837FC8"/>
    <w:rsid w:val="008406B8"/>
    <w:rsid w:val="008413C9"/>
    <w:rsid w:val="00842F63"/>
    <w:rsid w:val="00843DEC"/>
    <w:rsid w:val="00843FF4"/>
    <w:rsid w:val="00844117"/>
    <w:rsid w:val="0084493B"/>
    <w:rsid w:val="00850D56"/>
    <w:rsid w:val="008517A1"/>
    <w:rsid w:val="00851DC0"/>
    <w:rsid w:val="00852B1C"/>
    <w:rsid w:val="00853CF5"/>
    <w:rsid w:val="00853D63"/>
    <w:rsid w:val="00853EF1"/>
    <w:rsid w:val="008551D0"/>
    <w:rsid w:val="008554A0"/>
    <w:rsid w:val="008557C3"/>
    <w:rsid w:val="008567E6"/>
    <w:rsid w:val="00856FC4"/>
    <w:rsid w:val="008579FA"/>
    <w:rsid w:val="00857BB5"/>
    <w:rsid w:val="008617DB"/>
    <w:rsid w:val="008618F1"/>
    <w:rsid w:val="00862F74"/>
    <w:rsid w:val="00863B94"/>
    <w:rsid w:val="00864680"/>
    <w:rsid w:val="00864B85"/>
    <w:rsid w:val="008655DF"/>
    <w:rsid w:val="008657DC"/>
    <w:rsid w:val="00867665"/>
    <w:rsid w:val="00870CC8"/>
    <w:rsid w:val="00871317"/>
    <w:rsid w:val="00871C54"/>
    <w:rsid w:val="008724DE"/>
    <w:rsid w:val="008746C2"/>
    <w:rsid w:val="008748C3"/>
    <w:rsid w:val="00876557"/>
    <w:rsid w:val="00877BA1"/>
    <w:rsid w:val="00881283"/>
    <w:rsid w:val="0088202E"/>
    <w:rsid w:val="0088215A"/>
    <w:rsid w:val="00882172"/>
    <w:rsid w:val="0088296A"/>
    <w:rsid w:val="008832B9"/>
    <w:rsid w:val="00886002"/>
    <w:rsid w:val="0088669D"/>
    <w:rsid w:val="0089078A"/>
    <w:rsid w:val="008909C6"/>
    <w:rsid w:val="00890FF5"/>
    <w:rsid w:val="00891819"/>
    <w:rsid w:val="008929BF"/>
    <w:rsid w:val="00893A70"/>
    <w:rsid w:val="008941EE"/>
    <w:rsid w:val="0089441E"/>
    <w:rsid w:val="0089468D"/>
    <w:rsid w:val="00894BD5"/>
    <w:rsid w:val="008951DD"/>
    <w:rsid w:val="00895AF8"/>
    <w:rsid w:val="00896BAD"/>
    <w:rsid w:val="00896CC8"/>
    <w:rsid w:val="00896F85"/>
    <w:rsid w:val="00896FA4"/>
    <w:rsid w:val="00897947"/>
    <w:rsid w:val="008A0939"/>
    <w:rsid w:val="008A0B6C"/>
    <w:rsid w:val="008A0CAC"/>
    <w:rsid w:val="008A1888"/>
    <w:rsid w:val="008A284D"/>
    <w:rsid w:val="008A36FD"/>
    <w:rsid w:val="008A3C52"/>
    <w:rsid w:val="008A3CC6"/>
    <w:rsid w:val="008A3D57"/>
    <w:rsid w:val="008A4D32"/>
    <w:rsid w:val="008A5B16"/>
    <w:rsid w:val="008A6769"/>
    <w:rsid w:val="008A6826"/>
    <w:rsid w:val="008A7007"/>
    <w:rsid w:val="008A73DE"/>
    <w:rsid w:val="008A749D"/>
    <w:rsid w:val="008B0629"/>
    <w:rsid w:val="008B0DA1"/>
    <w:rsid w:val="008B0E81"/>
    <w:rsid w:val="008B0F1D"/>
    <w:rsid w:val="008B12FF"/>
    <w:rsid w:val="008B13DB"/>
    <w:rsid w:val="008B224F"/>
    <w:rsid w:val="008B23BC"/>
    <w:rsid w:val="008B2C1D"/>
    <w:rsid w:val="008B3324"/>
    <w:rsid w:val="008B3A76"/>
    <w:rsid w:val="008B3DE5"/>
    <w:rsid w:val="008B4144"/>
    <w:rsid w:val="008B4444"/>
    <w:rsid w:val="008B5438"/>
    <w:rsid w:val="008B5D3C"/>
    <w:rsid w:val="008C0CAB"/>
    <w:rsid w:val="008C1644"/>
    <w:rsid w:val="008C1EB5"/>
    <w:rsid w:val="008C2B62"/>
    <w:rsid w:val="008C31BD"/>
    <w:rsid w:val="008C3603"/>
    <w:rsid w:val="008C3E35"/>
    <w:rsid w:val="008C4CA2"/>
    <w:rsid w:val="008C5543"/>
    <w:rsid w:val="008C5557"/>
    <w:rsid w:val="008D0E5C"/>
    <w:rsid w:val="008D22C5"/>
    <w:rsid w:val="008D22DA"/>
    <w:rsid w:val="008D332B"/>
    <w:rsid w:val="008D3AD0"/>
    <w:rsid w:val="008D4546"/>
    <w:rsid w:val="008D4927"/>
    <w:rsid w:val="008D4978"/>
    <w:rsid w:val="008D4F3C"/>
    <w:rsid w:val="008D522C"/>
    <w:rsid w:val="008D5980"/>
    <w:rsid w:val="008D5B42"/>
    <w:rsid w:val="008D6484"/>
    <w:rsid w:val="008D673B"/>
    <w:rsid w:val="008D77DD"/>
    <w:rsid w:val="008E042F"/>
    <w:rsid w:val="008E04F6"/>
    <w:rsid w:val="008E097A"/>
    <w:rsid w:val="008E13B5"/>
    <w:rsid w:val="008E2815"/>
    <w:rsid w:val="008E2986"/>
    <w:rsid w:val="008E2D3F"/>
    <w:rsid w:val="008E31DD"/>
    <w:rsid w:val="008E3380"/>
    <w:rsid w:val="008E3D60"/>
    <w:rsid w:val="008E3F4C"/>
    <w:rsid w:val="008E478A"/>
    <w:rsid w:val="008E4A84"/>
    <w:rsid w:val="008E4F5E"/>
    <w:rsid w:val="008E662E"/>
    <w:rsid w:val="008F0B17"/>
    <w:rsid w:val="008F115A"/>
    <w:rsid w:val="008F1EB0"/>
    <w:rsid w:val="008F21AA"/>
    <w:rsid w:val="008F23D5"/>
    <w:rsid w:val="008F2C6A"/>
    <w:rsid w:val="008F331F"/>
    <w:rsid w:val="008F43AE"/>
    <w:rsid w:val="008F55F9"/>
    <w:rsid w:val="008F6B7B"/>
    <w:rsid w:val="0090165F"/>
    <w:rsid w:val="00901B82"/>
    <w:rsid w:val="00902995"/>
    <w:rsid w:val="00902AC3"/>
    <w:rsid w:val="00903599"/>
    <w:rsid w:val="009041E8"/>
    <w:rsid w:val="00905001"/>
    <w:rsid w:val="0091153C"/>
    <w:rsid w:val="00911636"/>
    <w:rsid w:val="0091185D"/>
    <w:rsid w:val="00911985"/>
    <w:rsid w:val="009124F8"/>
    <w:rsid w:val="0091260C"/>
    <w:rsid w:val="00912B09"/>
    <w:rsid w:val="009139A6"/>
    <w:rsid w:val="00913E12"/>
    <w:rsid w:val="00915290"/>
    <w:rsid w:val="009152BF"/>
    <w:rsid w:val="00917497"/>
    <w:rsid w:val="00917A7E"/>
    <w:rsid w:val="00917ED2"/>
    <w:rsid w:val="00920FFA"/>
    <w:rsid w:val="00921B87"/>
    <w:rsid w:val="0092609B"/>
    <w:rsid w:val="0092701A"/>
    <w:rsid w:val="0092740C"/>
    <w:rsid w:val="0093026E"/>
    <w:rsid w:val="00930623"/>
    <w:rsid w:val="00932036"/>
    <w:rsid w:val="009327F9"/>
    <w:rsid w:val="0093401F"/>
    <w:rsid w:val="009341AB"/>
    <w:rsid w:val="0093665D"/>
    <w:rsid w:val="0093748F"/>
    <w:rsid w:val="00937919"/>
    <w:rsid w:val="00937FC0"/>
    <w:rsid w:val="009410A5"/>
    <w:rsid w:val="00941A4E"/>
    <w:rsid w:val="00941CBF"/>
    <w:rsid w:val="009441EE"/>
    <w:rsid w:val="00945112"/>
    <w:rsid w:val="00946C68"/>
    <w:rsid w:val="00950E53"/>
    <w:rsid w:val="00952360"/>
    <w:rsid w:val="00952505"/>
    <w:rsid w:val="00952DA3"/>
    <w:rsid w:val="009530AC"/>
    <w:rsid w:val="00953974"/>
    <w:rsid w:val="00953E4B"/>
    <w:rsid w:val="009541B0"/>
    <w:rsid w:val="0095583D"/>
    <w:rsid w:val="009558AB"/>
    <w:rsid w:val="00956C0E"/>
    <w:rsid w:val="00957B80"/>
    <w:rsid w:val="00961BE2"/>
    <w:rsid w:val="009625D7"/>
    <w:rsid w:val="00963D77"/>
    <w:rsid w:val="009640F7"/>
    <w:rsid w:val="00965128"/>
    <w:rsid w:val="00966439"/>
    <w:rsid w:val="00966C2F"/>
    <w:rsid w:val="00970622"/>
    <w:rsid w:val="009708C3"/>
    <w:rsid w:val="00971249"/>
    <w:rsid w:val="00971881"/>
    <w:rsid w:val="00971B7F"/>
    <w:rsid w:val="00971E41"/>
    <w:rsid w:val="009744C1"/>
    <w:rsid w:val="0097512B"/>
    <w:rsid w:val="00975D89"/>
    <w:rsid w:val="00975E4C"/>
    <w:rsid w:val="00975ED5"/>
    <w:rsid w:val="00976AF9"/>
    <w:rsid w:val="00980E23"/>
    <w:rsid w:val="00981E09"/>
    <w:rsid w:val="00982E4E"/>
    <w:rsid w:val="00983239"/>
    <w:rsid w:val="00984FE2"/>
    <w:rsid w:val="0098511E"/>
    <w:rsid w:val="00985E0B"/>
    <w:rsid w:val="00985F23"/>
    <w:rsid w:val="00986496"/>
    <w:rsid w:val="00987BF1"/>
    <w:rsid w:val="00990803"/>
    <w:rsid w:val="009915CE"/>
    <w:rsid w:val="00992E56"/>
    <w:rsid w:val="00992E85"/>
    <w:rsid w:val="0099315B"/>
    <w:rsid w:val="0099372C"/>
    <w:rsid w:val="00994E30"/>
    <w:rsid w:val="00995AFD"/>
    <w:rsid w:val="0099627F"/>
    <w:rsid w:val="0099676A"/>
    <w:rsid w:val="0099689E"/>
    <w:rsid w:val="00997BD7"/>
    <w:rsid w:val="009A1295"/>
    <w:rsid w:val="009A1607"/>
    <w:rsid w:val="009A2544"/>
    <w:rsid w:val="009A2FDD"/>
    <w:rsid w:val="009A467F"/>
    <w:rsid w:val="009A4E33"/>
    <w:rsid w:val="009A5B5F"/>
    <w:rsid w:val="009A61F2"/>
    <w:rsid w:val="009A655E"/>
    <w:rsid w:val="009A6898"/>
    <w:rsid w:val="009A745A"/>
    <w:rsid w:val="009A7CED"/>
    <w:rsid w:val="009B0141"/>
    <w:rsid w:val="009B0B97"/>
    <w:rsid w:val="009B0CCA"/>
    <w:rsid w:val="009B120E"/>
    <w:rsid w:val="009B12B6"/>
    <w:rsid w:val="009B193E"/>
    <w:rsid w:val="009B29A1"/>
    <w:rsid w:val="009B3301"/>
    <w:rsid w:val="009B35A9"/>
    <w:rsid w:val="009B3860"/>
    <w:rsid w:val="009B38F1"/>
    <w:rsid w:val="009B490C"/>
    <w:rsid w:val="009B499C"/>
    <w:rsid w:val="009B5151"/>
    <w:rsid w:val="009B5510"/>
    <w:rsid w:val="009C04B6"/>
    <w:rsid w:val="009C1DD5"/>
    <w:rsid w:val="009C31CC"/>
    <w:rsid w:val="009C3E12"/>
    <w:rsid w:val="009C3E1E"/>
    <w:rsid w:val="009C6CBD"/>
    <w:rsid w:val="009C7F9A"/>
    <w:rsid w:val="009D032F"/>
    <w:rsid w:val="009D05EE"/>
    <w:rsid w:val="009D06E5"/>
    <w:rsid w:val="009D192C"/>
    <w:rsid w:val="009D31F6"/>
    <w:rsid w:val="009D3A8D"/>
    <w:rsid w:val="009D3CF2"/>
    <w:rsid w:val="009D5520"/>
    <w:rsid w:val="009D5DDC"/>
    <w:rsid w:val="009D6622"/>
    <w:rsid w:val="009D67F6"/>
    <w:rsid w:val="009D7642"/>
    <w:rsid w:val="009E072B"/>
    <w:rsid w:val="009E0FE1"/>
    <w:rsid w:val="009E1189"/>
    <w:rsid w:val="009E23FB"/>
    <w:rsid w:val="009E33BA"/>
    <w:rsid w:val="009E430C"/>
    <w:rsid w:val="009E44BE"/>
    <w:rsid w:val="009E50F9"/>
    <w:rsid w:val="009E5278"/>
    <w:rsid w:val="009E5811"/>
    <w:rsid w:val="009E5D4F"/>
    <w:rsid w:val="009E5DDF"/>
    <w:rsid w:val="009E5F9C"/>
    <w:rsid w:val="009E6CB9"/>
    <w:rsid w:val="009E70CD"/>
    <w:rsid w:val="009F0A07"/>
    <w:rsid w:val="009F1333"/>
    <w:rsid w:val="009F2B51"/>
    <w:rsid w:val="009F32C9"/>
    <w:rsid w:val="009F407A"/>
    <w:rsid w:val="009F4C90"/>
    <w:rsid w:val="009F4F31"/>
    <w:rsid w:val="009F57E6"/>
    <w:rsid w:val="009F63B8"/>
    <w:rsid w:val="009F6B03"/>
    <w:rsid w:val="00A00E73"/>
    <w:rsid w:val="00A0173B"/>
    <w:rsid w:val="00A02204"/>
    <w:rsid w:val="00A02273"/>
    <w:rsid w:val="00A023AC"/>
    <w:rsid w:val="00A03D9A"/>
    <w:rsid w:val="00A03F2E"/>
    <w:rsid w:val="00A03F36"/>
    <w:rsid w:val="00A03FDC"/>
    <w:rsid w:val="00A0406E"/>
    <w:rsid w:val="00A04905"/>
    <w:rsid w:val="00A05384"/>
    <w:rsid w:val="00A057B2"/>
    <w:rsid w:val="00A066F0"/>
    <w:rsid w:val="00A0689C"/>
    <w:rsid w:val="00A072A9"/>
    <w:rsid w:val="00A079E6"/>
    <w:rsid w:val="00A1054D"/>
    <w:rsid w:val="00A11307"/>
    <w:rsid w:val="00A11BCD"/>
    <w:rsid w:val="00A11C29"/>
    <w:rsid w:val="00A127DB"/>
    <w:rsid w:val="00A13187"/>
    <w:rsid w:val="00A13715"/>
    <w:rsid w:val="00A1385A"/>
    <w:rsid w:val="00A13AF3"/>
    <w:rsid w:val="00A143FF"/>
    <w:rsid w:val="00A15820"/>
    <w:rsid w:val="00A168B5"/>
    <w:rsid w:val="00A16B2D"/>
    <w:rsid w:val="00A16F84"/>
    <w:rsid w:val="00A20245"/>
    <w:rsid w:val="00A205D6"/>
    <w:rsid w:val="00A21388"/>
    <w:rsid w:val="00A213A5"/>
    <w:rsid w:val="00A225AF"/>
    <w:rsid w:val="00A23B3A"/>
    <w:rsid w:val="00A27791"/>
    <w:rsid w:val="00A32781"/>
    <w:rsid w:val="00A339F7"/>
    <w:rsid w:val="00A360E9"/>
    <w:rsid w:val="00A36656"/>
    <w:rsid w:val="00A41355"/>
    <w:rsid w:val="00A42EBA"/>
    <w:rsid w:val="00A43667"/>
    <w:rsid w:val="00A43B92"/>
    <w:rsid w:val="00A43E0D"/>
    <w:rsid w:val="00A46479"/>
    <w:rsid w:val="00A47BA3"/>
    <w:rsid w:val="00A5223F"/>
    <w:rsid w:val="00A54226"/>
    <w:rsid w:val="00A54251"/>
    <w:rsid w:val="00A54A81"/>
    <w:rsid w:val="00A56591"/>
    <w:rsid w:val="00A56A7E"/>
    <w:rsid w:val="00A57A0F"/>
    <w:rsid w:val="00A60857"/>
    <w:rsid w:val="00A60A46"/>
    <w:rsid w:val="00A60F11"/>
    <w:rsid w:val="00A61029"/>
    <w:rsid w:val="00A6107E"/>
    <w:rsid w:val="00A6111C"/>
    <w:rsid w:val="00A6179E"/>
    <w:rsid w:val="00A61B36"/>
    <w:rsid w:val="00A626C8"/>
    <w:rsid w:val="00A62970"/>
    <w:rsid w:val="00A64316"/>
    <w:rsid w:val="00A65088"/>
    <w:rsid w:val="00A65AF9"/>
    <w:rsid w:val="00A665D3"/>
    <w:rsid w:val="00A6660A"/>
    <w:rsid w:val="00A67298"/>
    <w:rsid w:val="00A67C5A"/>
    <w:rsid w:val="00A70CD0"/>
    <w:rsid w:val="00A718AF"/>
    <w:rsid w:val="00A721A1"/>
    <w:rsid w:val="00A72D78"/>
    <w:rsid w:val="00A7301E"/>
    <w:rsid w:val="00A7359F"/>
    <w:rsid w:val="00A73775"/>
    <w:rsid w:val="00A7708F"/>
    <w:rsid w:val="00A77D9F"/>
    <w:rsid w:val="00A77E16"/>
    <w:rsid w:val="00A802E9"/>
    <w:rsid w:val="00A804D9"/>
    <w:rsid w:val="00A80BFD"/>
    <w:rsid w:val="00A824BA"/>
    <w:rsid w:val="00A82CD8"/>
    <w:rsid w:val="00A83CB4"/>
    <w:rsid w:val="00A84866"/>
    <w:rsid w:val="00A85AFC"/>
    <w:rsid w:val="00A85C5D"/>
    <w:rsid w:val="00A85E0E"/>
    <w:rsid w:val="00A863B2"/>
    <w:rsid w:val="00A87C54"/>
    <w:rsid w:val="00A91860"/>
    <w:rsid w:val="00A92063"/>
    <w:rsid w:val="00A923AE"/>
    <w:rsid w:val="00A9247B"/>
    <w:rsid w:val="00A92521"/>
    <w:rsid w:val="00A92C66"/>
    <w:rsid w:val="00A92D9C"/>
    <w:rsid w:val="00A92F92"/>
    <w:rsid w:val="00A961F9"/>
    <w:rsid w:val="00A96892"/>
    <w:rsid w:val="00A96A25"/>
    <w:rsid w:val="00AA04AE"/>
    <w:rsid w:val="00AA0863"/>
    <w:rsid w:val="00AA1268"/>
    <w:rsid w:val="00AA1588"/>
    <w:rsid w:val="00AA1DA5"/>
    <w:rsid w:val="00AA2051"/>
    <w:rsid w:val="00AA3735"/>
    <w:rsid w:val="00AA375B"/>
    <w:rsid w:val="00AA53AE"/>
    <w:rsid w:val="00AA76AE"/>
    <w:rsid w:val="00AB01DC"/>
    <w:rsid w:val="00AB16CA"/>
    <w:rsid w:val="00AB2283"/>
    <w:rsid w:val="00AB27F6"/>
    <w:rsid w:val="00AB3027"/>
    <w:rsid w:val="00AB40EF"/>
    <w:rsid w:val="00AB445A"/>
    <w:rsid w:val="00AB4DFF"/>
    <w:rsid w:val="00AB4E2B"/>
    <w:rsid w:val="00AB4F31"/>
    <w:rsid w:val="00AB5D9A"/>
    <w:rsid w:val="00AB6083"/>
    <w:rsid w:val="00AB647E"/>
    <w:rsid w:val="00AB65AB"/>
    <w:rsid w:val="00AB6A74"/>
    <w:rsid w:val="00AB7764"/>
    <w:rsid w:val="00AC0002"/>
    <w:rsid w:val="00AC0294"/>
    <w:rsid w:val="00AC0D22"/>
    <w:rsid w:val="00AC29B9"/>
    <w:rsid w:val="00AC2B93"/>
    <w:rsid w:val="00AC337E"/>
    <w:rsid w:val="00AC3D5E"/>
    <w:rsid w:val="00AC5A60"/>
    <w:rsid w:val="00AC60BA"/>
    <w:rsid w:val="00AC691F"/>
    <w:rsid w:val="00AC6A7D"/>
    <w:rsid w:val="00AC7E07"/>
    <w:rsid w:val="00AD04DA"/>
    <w:rsid w:val="00AD06EC"/>
    <w:rsid w:val="00AD134A"/>
    <w:rsid w:val="00AD179D"/>
    <w:rsid w:val="00AD2BE9"/>
    <w:rsid w:val="00AD30CE"/>
    <w:rsid w:val="00AD3644"/>
    <w:rsid w:val="00AD373E"/>
    <w:rsid w:val="00AD42A5"/>
    <w:rsid w:val="00AD42ED"/>
    <w:rsid w:val="00AD4E69"/>
    <w:rsid w:val="00AD5594"/>
    <w:rsid w:val="00AD5A00"/>
    <w:rsid w:val="00AD66D3"/>
    <w:rsid w:val="00AD69BC"/>
    <w:rsid w:val="00AD7A65"/>
    <w:rsid w:val="00AE0D24"/>
    <w:rsid w:val="00AE22DD"/>
    <w:rsid w:val="00AE3403"/>
    <w:rsid w:val="00AE4E5A"/>
    <w:rsid w:val="00AE5BEC"/>
    <w:rsid w:val="00AE63AC"/>
    <w:rsid w:val="00AE661B"/>
    <w:rsid w:val="00AE77AC"/>
    <w:rsid w:val="00AF0697"/>
    <w:rsid w:val="00AF0C68"/>
    <w:rsid w:val="00AF1386"/>
    <w:rsid w:val="00AF3326"/>
    <w:rsid w:val="00AF39D3"/>
    <w:rsid w:val="00AF5940"/>
    <w:rsid w:val="00AF606C"/>
    <w:rsid w:val="00AF699E"/>
    <w:rsid w:val="00AF70EF"/>
    <w:rsid w:val="00AF734B"/>
    <w:rsid w:val="00AF7C1E"/>
    <w:rsid w:val="00AF7D10"/>
    <w:rsid w:val="00B00039"/>
    <w:rsid w:val="00B002CF"/>
    <w:rsid w:val="00B01E59"/>
    <w:rsid w:val="00B02366"/>
    <w:rsid w:val="00B02E93"/>
    <w:rsid w:val="00B02F72"/>
    <w:rsid w:val="00B039BC"/>
    <w:rsid w:val="00B041F2"/>
    <w:rsid w:val="00B058DD"/>
    <w:rsid w:val="00B058E9"/>
    <w:rsid w:val="00B059F9"/>
    <w:rsid w:val="00B06D8C"/>
    <w:rsid w:val="00B07790"/>
    <w:rsid w:val="00B07AF1"/>
    <w:rsid w:val="00B11A5D"/>
    <w:rsid w:val="00B11B57"/>
    <w:rsid w:val="00B123B1"/>
    <w:rsid w:val="00B12739"/>
    <w:rsid w:val="00B12759"/>
    <w:rsid w:val="00B128C4"/>
    <w:rsid w:val="00B12C69"/>
    <w:rsid w:val="00B13A97"/>
    <w:rsid w:val="00B14E93"/>
    <w:rsid w:val="00B15F14"/>
    <w:rsid w:val="00B1616E"/>
    <w:rsid w:val="00B16F14"/>
    <w:rsid w:val="00B16F51"/>
    <w:rsid w:val="00B207D6"/>
    <w:rsid w:val="00B20828"/>
    <w:rsid w:val="00B210DE"/>
    <w:rsid w:val="00B215ED"/>
    <w:rsid w:val="00B2188E"/>
    <w:rsid w:val="00B2249B"/>
    <w:rsid w:val="00B22F6E"/>
    <w:rsid w:val="00B249DC"/>
    <w:rsid w:val="00B24B1D"/>
    <w:rsid w:val="00B26EE5"/>
    <w:rsid w:val="00B277E0"/>
    <w:rsid w:val="00B3079B"/>
    <w:rsid w:val="00B3173A"/>
    <w:rsid w:val="00B31772"/>
    <w:rsid w:val="00B322B3"/>
    <w:rsid w:val="00B32B65"/>
    <w:rsid w:val="00B34946"/>
    <w:rsid w:val="00B35041"/>
    <w:rsid w:val="00B35757"/>
    <w:rsid w:val="00B364F4"/>
    <w:rsid w:val="00B3680B"/>
    <w:rsid w:val="00B373C5"/>
    <w:rsid w:val="00B37879"/>
    <w:rsid w:val="00B40D18"/>
    <w:rsid w:val="00B42077"/>
    <w:rsid w:val="00B42410"/>
    <w:rsid w:val="00B42EF2"/>
    <w:rsid w:val="00B43AE1"/>
    <w:rsid w:val="00B440FF"/>
    <w:rsid w:val="00B45A81"/>
    <w:rsid w:val="00B45E07"/>
    <w:rsid w:val="00B461BD"/>
    <w:rsid w:val="00B466E9"/>
    <w:rsid w:val="00B5057C"/>
    <w:rsid w:val="00B50965"/>
    <w:rsid w:val="00B512DE"/>
    <w:rsid w:val="00B519FD"/>
    <w:rsid w:val="00B520BC"/>
    <w:rsid w:val="00B53C6F"/>
    <w:rsid w:val="00B53CBA"/>
    <w:rsid w:val="00B53DA5"/>
    <w:rsid w:val="00B545F3"/>
    <w:rsid w:val="00B546DA"/>
    <w:rsid w:val="00B5494E"/>
    <w:rsid w:val="00B569B3"/>
    <w:rsid w:val="00B576B3"/>
    <w:rsid w:val="00B57B4E"/>
    <w:rsid w:val="00B6011C"/>
    <w:rsid w:val="00B6079F"/>
    <w:rsid w:val="00B61872"/>
    <w:rsid w:val="00B61C14"/>
    <w:rsid w:val="00B63D24"/>
    <w:rsid w:val="00B63DDC"/>
    <w:rsid w:val="00B6487F"/>
    <w:rsid w:val="00B64CCF"/>
    <w:rsid w:val="00B650E0"/>
    <w:rsid w:val="00B65A05"/>
    <w:rsid w:val="00B663BA"/>
    <w:rsid w:val="00B664B6"/>
    <w:rsid w:val="00B67FB3"/>
    <w:rsid w:val="00B70BB4"/>
    <w:rsid w:val="00B716E5"/>
    <w:rsid w:val="00B717C7"/>
    <w:rsid w:val="00B727C5"/>
    <w:rsid w:val="00B73843"/>
    <w:rsid w:val="00B74242"/>
    <w:rsid w:val="00B7480E"/>
    <w:rsid w:val="00B76C90"/>
    <w:rsid w:val="00B76E41"/>
    <w:rsid w:val="00B77DA2"/>
    <w:rsid w:val="00B8188E"/>
    <w:rsid w:val="00B81A22"/>
    <w:rsid w:val="00B82780"/>
    <w:rsid w:val="00B82A3F"/>
    <w:rsid w:val="00B843A4"/>
    <w:rsid w:val="00B84D91"/>
    <w:rsid w:val="00B85026"/>
    <w:rsid w:val="00B8534C"/>
    <w:rsid w:val="00B85385"/>
    <w:rsid w:val="00B91E31"/>
    <w:rsid w:val="00B924E6"/>
    <w:rsid w:val="00B93D99"/>
    <w:rsid w:val="00B943DF"/>
    <w:rsid w:val="00B95062"/>
    <w:rsid w:val="00B95450"/>
    <w:rsid w:val="00B95A44"/>
    <w:rsid w:val="00B95D01"/>
    <w:rsid w:val="00B962E1"/>
    <w:rsid w:val="00B97ABD"/>
    <w:rsid w:val="00B97FA9"/>
    <w:rsid w:val="00BA01F7"/>
    <w:rsid w:val="00BA0412"/>
    <w:rsid w:val="00BA0B58"/>
    <w:rsid w:val="00BA1121"/>
    <w:rsid w:val="00BA262D"/>
    <w:rsid w:val="00BA3061"/>
    <w:rsid w:val="00BA36EA"/>
    <w:rsid w:val="00BA3932"/>
    <w:rsid w:val="00BA3A7B"/>
    <w:rsid w:val="00BA4A3A"/>
    <w:rsid w:val="00BA4B7C"/>
    <w:rsid w:val="00BA4BC8"/>
    <w:rsid w:val="00BA5698"/>
    <w:rsid w:val="00BA72AE"/>
    <w:rsid w:val="00BA7480"/>
    <w:rsid w:val="00BA7757"/>
    <w:rsid w:val="00BB07C1"/>
    <w:rsid w:val="00BB2192"/>
    <w:rsid w:val="00BB2DC5"/>
    <w:rsid w:val="00BB4A91"/>
    <w:rsid w:val="00BB5789"/>
    <w:rsid w:val="00BB636B"/>
    <w:rsid w:val="00BB6AC2"/>
    <w:rsid w:val="00BC14E8"/>
    <w:rsid w:val="00BC3011"/>
    <w:rsid w:val="00BC357A"/>
    <w:rsid w:val="00BC371C"/>
    <w:rsid w:val="00BC3C01"/>
    <w:rsid w:val="00BC42FB"/>
    <w:rsid w:val="00BC464A"/>
    <w:rsid w:val="00BC4E06"/>
    <w:rsid w:val="00BC5058"/>
    <w:rsid w:val="00BC5BA0"/>
    <w:rsid w:val="00BC708B"/>
    <w:rsid w:val="00BC754A"/>
    <w:rsid w:val="00BC79EB"/>
    <w:rsid w:val="00BD1438"/>
    <w:rsid w:val="00BD146F"/>
    <w:rsid w:val="00BD193A"/>
    <w:rsid w:val="00BD2726"/>
    <w:rsid w:val="00BD4486"/>
    <w:rsid w:val="00BD52A9"/>
    <w:rsid w:val="00BD53F7"/>
    <w:rsid w:val="00BD55F8"/>
    <w:rsid w:val="00BD5B8D"/>
    <w:rsid w:val="00BD6833"/>
    <w:rsid w:val="00BD6AAA"/>
    <w:rsid w:val="00BD7FCF"/>
    <w:rsid w:val="00BD7FD2"/>
    <w:rsid w:val="00BE04D8"/>
    <w:rsid w:val="00BE061E"/>
    <w:rsid w:val="00BE0B47"/>
    <w:rsid w:val="00BE4E2B"/>
    <w:rsid w:val="00BE513F"/>
    <w:rsid w:val="00BE6172"/>
    <w:rsid w:val="00BE7F51"/>
    <w:rsid w:val="00BF02A3"/>
    <w:rsid w:val="00BF0F67"/>
    <w:rsid w:val="00BF36ED"/>
    <w:rsid w:val="00BF417E"/>
    <w:rsid w:val="00BF41B5"/>
    <w:rsid w:val="00BF4DE2"/>
    <w:rsid w:val="00BF4E56"/>
    <w:rsid w:val="00BF5207"/>
    <w:rsid w:val="00BF5AB8"/>
    <w:rsid w:val="00BF7A9B"/>
    <w:rsid w:val="00C018EA"/>
    <w:rsid w:val="00C03BA1"/>
    <w:rsid w:val="00C052B5"/>
    <w:rsid w:val="00C05946"/>
    <w:rsid w:val="00C06EFC"/>
    <w:rsid w:val="00C07970"/>
    <w:rsid w:val="00C079D5"/>
    <w:rsid w:val="00C07F38"/>
    <w:rsid w:val="00C106E8"/>
    <w:rsid w:val="00C10EDC"/>
    <w:rsid w:val="00C112ED"/>
    <w:rsid w:val="00C11368"/>
    <w:rsid w:val="00C11E24"/>
    <w:rsid w:val="00C12344"/>
    <w:rsid w:val="00C14518"/>
    <w:rsid w:val="00C14773"/>
    <w:rsid w:val="00C1749D"/>
    <w:rsid w:val="00C21521"/>
    <w:rsid w:val="00C21D43"/>
    <w:rsid w:val="00C22749"/>
    <w:rsid w:val="00C2342D"/>
    <w:rsid w:val="00C23831"/>
    <w:rsid w:val="00C258C6"/>
    <w:rsid w:val="00C25BDA"/>
    <w:rsid w:val="00C269CA"/>
    <w:rsid w:val="00C30AEF"/>
    <w:rsid w:val="00C31077"/>
    <w:rsid w:val="00C31D51"/>
    <w:rsid w:val="00C3245C"/>
    <w:rsid w:val="00C33104"/>
    <w:rsid w:val="00C332AC"/>
    <w:rsid w:val="00C34C11"/>
    <w:rsid w:val="00C34C65"/>
    <w:rsid w:val="00C34E3B"/>
    <w:rsid w:val="00C3525D"/>
    <w:rsid w:val="00C35D31"/>
    <w:rsid w:val="00C368CB"/>
    <w:rsid w:val="00C3709B"/>
    <w:rsid w:val="00C37541"/>
    <w:rsid w:val="00C41358"/>
    <w:rsid w:val="00C41C9A"/>
    <w:rsid w:val="00C43C35"/>
    <w:rsid w:val="00C448AE"/>
    <w:rsid w:val="00C45CE9"/>
    <w:rsid w:val="00C45E98"/>
    <w:rsid w:val="00C47E56"/>
    <w:rsid w:val="00C50388"/>
    <w:rsid w:val="00C508F7"/>
    <w:rsid w:val="00C53C45"/>
    <w:rsid w:val="00C553E7"/>
    <w:rsid w:val="00C558FB"/>
    <w:rsid w:val="00C60864"/>
    <w:rsid w:val="00C60E07"/>
    <w:rsid w:val="00C61379"/>
    <w:rsid w:val="00C61601"/>
    <w:rsid w:val="00C62FE4"/>
    <w:rsid w:val="00C632A2"/>
    <w:rsid w:val="00C632C6"/>
    <w:rsid w:val="00C638B9"/>
    <w:rsid w:val="00C64912"/>
    <w:rsid w:val="00C64B9E"/>
    <w:rsid w:val="00C64C2C"/>
    <w:rsid w:val="00C64DD0"/>
    <w:rsid w:val="00C65EA6"/>
    <w:rsid w:val="00C678E2"/>
    <w:rsid w:val="00C67B94"/>
    <w:rsid w:val="00C700C4"/>
    <w:rsid w:val="00C70197"/>
    <w:rsid w:val="00C716BB"/>
    <w:rsid w:val="00C72234"/>
    <w:rsid w:val="00C734BF"/>
    <w:rsid w:val="00C7422F"/>
    <w:rsid w:val="00C76033"/>
    <w:rsid w:val="00C761DE"/>
    <w:rsid w:val="00C764A6"/>
    <w:rsid w:val="00C80A95"/>
    <w:rsid w:val="00C80BC6"/>
    <w:rsid w:val="00C82BAE"/>
    <w:rsid w:val="00C838A1"/>
    <w:rsid w:val="00C83C56"/>
    <w:rsid w:val="00C84148"/>
    <w:rsid w:val="00C84602"/>
    <w:rsid w:val="00C846A8"/>
    <w:rsid w:val="00C854D4"/>
    <w:rsid w:val="00C85CB9"/>
    <w:rsid w:val="00C86FA5"/>
    <w:rsid w:val="00C87CC6"/>
    <w:rsid w:val="00C90556"/>
    <w:rsid w:val="00C905A0"/>
    <w:rsid w:val="00C9335D"/>
    <w:rsid w:val="00C9567F"/>
    <w:rsid w:val="00C95BF6"/>
    <w:rsid w:val="00C95CB1"/>
    <w:rsid w:val="00C966FA"/>
    <w:rsid w:val="00CA0D78"/>
    <w:rsid w:val="00CA1261"/>
    <w:rsid w:val="00CA12AF"/>
    <w:rsid w:val="00CA15EC"/>
    <w:rsid w:val="00CA1AB9"/>
    <w:rsid w:val="00CA2EF7"/>
    <w:rsid w:val="00CA32D6"/>
    <w:rsid w:val="00CA3469"/>
    <w:rsid w:val="00CA38B0"/>
    <w:rsid w:val="00CA4855"/>
    <w:rsid w:val="00CA5222"/>
    <w:rsid w:val="00CA6123"/>
    <w:rsid w:val="00CA6529"/>
    <w:rsid w:val="00CA6E0F"/>
    <w:rsid w:val="00CB03DD"/>
    <w:rsid w:val="00CB0650"/>
    <w:rsid w:val="00CB157A"/>
    <w:rsid w:val="00CB1B3D"/>
    <w:rsid w:val="00CB24FE"/>
    <w:rsid w:val="00CB3FB9"/>
    <w:rsid w:val="00CB505A"/>
    <w:rsid w:val="00CB5C6F"/>
    <w:rsid w:val="00CB5E18"/>
    <w:rsid w:val="00CB6157"/>
    <w:rsid w:val="00CB7342"/>
    <w:rsid w:val="00CB7890"/>
    <w:rsid w:val="00CC087D"/>
    <w:rsid w:val="00CC1F13"/>
    <w:rsid w:val="00CC1F33"/>
    <w:rsid w:val="00CC4014"/>
    <w:rsid w:val="00CC4224"/>
    <w:rsid w:val="00CC42CC"/>
    <w:rsid w:val="00CC6089"/>
    <w:rsid w:val="00CC6226"/>
    <w:rsid w:val="00CC62B6"/>
    <w:rsid w:val="00CD2102"/>
    <w:rsid w:val="00CD28EF"/>
    <w:rsid w:val="00CD2C36"/>
    <w:rsid w:val="00CD2C54"/>
    <w:rsid w:val="00CD3A37"/>
    <w:rsid w:val="00CD4E0E"/>
    <w:rsid w:val="00CD567F"/>
    <w:rsid w:val="00CD58FD"/>
    <w:rsid w:val="00CE001A"/>
    <w:rsid w:val="00CE0B74"/>
    <w:rsid w:val="00CE0E56"/>
    <w:rsid w:val="00CE21F4"/>
    <w:rsid w:val="00CE22CC"/>
    <w:rsid w:val="00CE24CC"/>
    <w:rsid w:val="00CE3233"/>
    <w:rsid w:val="00CE5DD7"/>
    <w:rsid w:val="00CE6594"/>
    <w:rsid w:val="00CE6E60"/>
    <w:rsid w:val="00CF01D7"/>
    <w:rsid w:val="00CF0D92"/>
    <w:rsid w:val="00CF1D3B"/>
    <w:rsid w:val="00CF4A1D"/>
    <w:rsid w:val="00CF53AF"/>
    <w:rsid w:val="00CF6315"/>
    <w:rsid w:val="00CF651B"/>
    <w:rsid w:val="00CF693E"/>
    <w:rsid w:val="00CF6E95"/>
    <w:rsid w:val="00CF7215"/>
    <w:rsid w:val="00CF7B8B"/>
    <w:rsid w:val="00D00312"/>
    <w:rsid w:val="00D00BB3"/>
    <w:rsid w:val="00D00BB8"/>
    <w:rsid w:val="00D00F3D"/>
    <w:rsid w:val="00D020FF"/>
    <w:rsid w:val="00D0254B"/>
    <w:rsid w:val="00D02BB0"/>
    <w:rsid w:val="00D0345B"/>
    <w:rsid w:val="00D03716"/>
    <w:rsid w:val="00D0388A"/>
    <w:rsid w:val="00D03B42"/>
    <w:rsid w:val="00D03FFE"/>
    <w:rsid w:val="00D047A7"/>
    <w:rsid w:val="00D05374"/>
    <w:rsid w:val="00D054BE"/>
    <w:rsid w:val="00D0566A"/>
    <w:rsid w:val="00D05967"/>
    <w:rsid w:val="00D0665A"/>
    <w:rsid w:val="00D10DE4"/>
    <w:rsid w:val="00D111F1"/>
    <w:rsid w:val="00D162DF"/>
    <w:rsid w:val="00D16D08"/>
    <w:rsid w:val="00D170C7"/>
    <w:rsid w:val="00D170E4"/>
    <w:rsid w:val="00D20DBB"/>
    <w:rsid w:val="00D218F3"/>
    <w:rsid w:val="00D22735"/>
    <w:rsid w:val="00D2302A"/>
    <w:rsid w:val="00D2356C"/>
    <w:rsid w:val="00D24B3E"/>
    <w:rsid w:val="00D25008"/>
    <w:rsid w:val="00D2500D"/>
    <w:rsid w:val="00D255F9"/>
    <w:rsid w:val="00D278EE"/>
    <w:rsid w:val="00D27B56"/>
    <w:rsid w:val="00D30A61"/>
    <w:rsid w:val="00D337C1"/>
    <w:rsid w:val="00D338D5"/>
    <w:rsid w:val="00D3407E"/>
    <w:rsid w:val="00D343C2"/>
    <w:rsid w:val="00D343FA"/>
    <w:rsid w:val="00D34C2D"/>
    <w:rsid w:val="00D34F59"/>
    <w:rsid w:val="00D357E7"/>
    <w:rsid w:val="00D35F09"/>
    <w:rsid w:val="00D3625A"/>
    <w:rsid w:val="00D36B68"/>
    <w:rsid w:val="00D37A3E"/>
    <w:rsid w:val="00D40778"/>
    <w:rsid w:val="00D410A3"/>
    <w:rsid w:val="00D41267"/>
    <w:rsid w:val="00D418FF"/>
    <w:rsid w:val="00D4325E"/>
    <w:rsid w:val="00D43361"/>
    <w:rsid w:val="00D43A88"/>
    <w:rsid w:val="00D43E99"/>
    <w:rsid w:val="00D44B72"/>
    <w:rsid w:val="00D467EE"/>
    <w:rsid w:val="00D46B93"/>
    <w:rsid w:val="00D476CA"/>
    <w:rsid w:val="00D50384"/>
    <w:rsid w:val="00D50DDC"/>
    <w:rsid w:val="00D5136B"/>
    <w:rsid w:val="00D519CD"/>
    <w:rsid w:val="00D52CFD"/>
    <w:rsid w:val="00D534D7"/>
    <w:rsid w:val="00D53653"/>
    <w:rsid w:val="00D53E58"/>
    <w:rsid w:val="00D53F17"/>
    <w:rsid w:val="00D54487"/>
    <w:rsid w:val="00D545A1"/>
    <w:rsid w:val="00D54E86"/>
    <w:rsid w:val="00D5539A"/>
    <w:rsid w:val="00D5599B"/>
    <w:rsid w:val="00D57441"/>
    <w:rsid w:val="00D578B0"/>
    <w:rsid w:val="00D57DBE"/>
    <w:rsid w:val="00D57E39"/>
    <w:rsid w:val="00D60031"/>
    <w:rsid w:val="00D601DE"/>
    <w:rsid w:val="00D62B72"/>
    <w:rsid w:val="00D63AF4"/>
    <w:rsid w:val="00D640FA"/>
    <w:rsid w:val="00D64700"/>
    <w:rsid w:val="00D65C76"/>
    <w:rsid w:val="00D67127"/>
    <w:rsid w:val="00D729AD"/>
    <w:rsid w:val="00D734C7"/>
    <w:rsid w:val="00D73D75"/>
    <w:rsid w:val="00D754C5"/>
    <w:rsid w:val="00D7550F"/>
    <w:rsid w:val="00D762D6"/>
    <w:rsid w:val="00D76A8B"/>
    <w:rsid w:val="00D76F0C"/>
    <w:rsid w:val="00D775FD"/>
    <w:rsid w:val="00D80C1F"/>
    <w:rsid w:val="00D80FC9"/>
    <w:rsid w:val="00D81BA2"/>
    <w:rsid w:val="00D8202F"/>
    <w:rsid w:val="00D8345F"/>
    <w:rsid w:val="00D83D21"/>
    <w:rsid w:val="00D844C2"/>
    <w:rsid w:val="00D84925"/>
    <w:rsid w:val="00D84F1C"/>
    <w:rsid w:val="00D850FC"/>
    <w:rsid w:val="00D85C71"/>
    <w:rsid w:val="00D85D5E"/>
    <w:rsid w:val="00D87FB9"/>
    <w:rsid w:val="00D90356"/>
    <w:rsid w:val="00D918C3"/>
    <w:rsid w:val="00D91A86"/>
    <w:rsid w:val="00D9262A"/>
    <w:rsid w:val="00D92726"/>
    <w:rsid w:val="00D92A53"/>
    <w:rsid w:val="00D93A51"/>
    <w:rsid w:val="00D9531B"/>
    <w:rsid w:val="00DA0351"/>
    <w:rsid w:val="00DA1894"/>
    <w:rsid w:val="00DA19B5"/>
    <w:rsid w:val="00DA1B26"/>
    <w:rsid w:val="00DA1C84"/>
    <w:rsid w:val="00DA2F25"/>
    <w:rsid w:val="00DA2F73"/>
    <w:rsid w:val="00DA3065"/>
    <w:rsid w:val="00DA3164"/>
    <w:rsid w:val="00DA3A49"/>
    <w:rsid w:val="00DA3E3B"/>
    <w:rsid w:val="00DA3E3E"/>
    <w:rsid w:val="00DA4769"/>
    <w:rsid w:val="00DA4D19"/>
    <w:rsid w:val="00DA60F9"/>
    <w:rsid w:val="00DA66F1"/>
    <w:rsid w:val="00DB12B0"/>
    <w:rsid w:val="00DB16CA"/>
    <w:rsid w:val="00DB1C3D"/>
    <w:rsid w:val="00DB20BF"/>
    <w:rsid w:val="00DB298D"/>
    <w:rsid w:val="00DB2D08"/>
    <w:rsid w:val="00DB3637"/>
    <w:rsid w:val="00DB5201"/>
    <w:rsid w:val="00DB5D1F"/>
    <w:rsid w:val="00DB6F8F"/>
    <w:rsid w:val="00DC03DE"/>
    <w:rsid w:val="00DC10DA"/>
    <w:rsid w:val="00DC11BB"/>
    <w:rsid w:val="00DC2636"/>
    <w:rsid w:val="00DC2D38"/>
    <w:rsid w:val="00DC2EFA"/>
    <w:rsid w:val="00DC39B2"/>
    <w:rsid w:val="00DC462F"/>
    <w:rsid w:val="00DC6E83"/>
    <w:rsid w:val="00DC70F4"/>
    <w:rsid w:val="00DC7F28"/>
    <w:rsid w:val="00DD0C9F"/>
    <w:rsid w:val="00DD21CF"/>
    <w:rsid w:val="00DD23B3"/>
    <w:rsid w:val="00DD5091"/>
    <w:rsid w:val="00DD5C82"/>
    <w:rsid w:val="00DD6055"/>
    <w:rsid w:val="00DD64B0"/>
    <w:rsid w:val="00DD64D6"/>
    <w:rsid w:val="00DD6A21"/>
    <w:rsid w:val="00DD7037"/>
    <w:rsid w:val="00DE0A44"/>
    <w:rsid w:val="00DE208F"/>
    <w:rsid w:val="00DE2865"/>
    <w:rsid w:val="00DE3748"/>
    <w:rsid w:val="00DE4EF6"/>
    <w:rsid w:val="00DE528E"/>
    <w:rsid w:val="00DE56C2"/>
    <w:rsid w:val="00DE60CA"/>
    <w:rsid w:val="00DE6306"/>
    <w:rsid w:val="00DE74F5"/>
    <w:rsid w:val="00DE7A8B"/>
    <w:rsid w:val="00DE7FDC"/>
    <w:rsid w:val="00DF0664"/>
    <w:rsid w:val="00DF0A80"/>
    <w:rsid w:val="00DF18C6"/>
    <w:rsid w:val="00DF32AB"/>
    <w:rsid w:val="00DF35D7"/>
    <w:rsid w:val="00DF3EF9"/>
    <w:rsid w:val="00DF3EFC"/>
    <w:rsid w:val="00DF4BDE"/>
    <w:rsid w:val="00DF4F7F"/>
    <w:rsid w:val="00DF58F4"/>
    <w:rsid w:val="00DF5DCF"/>
    <w:rsid w:val="00DF72C6"/>
    <w:rsid w:val="00DF74EA"/>
    <w:rsid w:val="00DF7587"/>
    <w:rsid w:val="00E00009"/>
    <w:rsid w:val="00E004FF"/>
    <w:rsid w:val="00E005D7"/>
    <w:rsid w:val="00E00B3E"/>
    <w:rsid w:val="00E0196D"/>
    <w:rsid w:val="00E02AB6"/>
    <w:rsid w:val="00E034C3"/>
    <w:rsid w:val="00E05918"/>
    <w:rsid w:val="00E05AA8"/>
    <w:rsid w:val="00E070AE"/>
    <w:rsid w:val="00E070BA"/>
    <w:rsid w:val="00E104EF"/>
    <w:rsid w:val="00E10DD1"/>
    <w:rsid w:val="00E113F5"/>
    <w:rsid w:val="00E11BB8"/>
    <w:rsid w:val="00E120F9"/>
    <w:rsid w:val="00E12D33"/>
    <w:rsid w:val="00E1357A"/>
    <w:rsid w:val="00E13AB7"/>
    <w:rsid w:val="00E13EB2"/>
    <w:rsid w:val="00E14353"/>
    <w:rsid w:val="00E156DE"/>
    <w:rsid w:val="00E167E9"/>
    <w:rsid w:val="00E16E2E"/>
    <w:rsid w:val="00E16F32"/>
    <w:rsid w:val="00E17493"/>
    <w:rsid w:val="00E177C4"/>
    <w:rsid w:val="00E17A12"/>
    <w:rsid w:val="00E17BF9"/>
    <w:rsid w:val="00E17D71"/>
    <w:rsid w:val="00E218DB"/>
    <w:rsid w:val="00E21F75"/>
    <w:rsid w:val="00E23B52"/>
    <w:rsid w:val="00E24FA3"/>
    <w:rsid w:val="00E2672F"/>
    <w:rsid w:val="00E26B28"/>
    <w:rsid w:val="00E27E19"/>
    <w:rsid w:val="00E30E7B"/>
    <w:rsid w:val="00E31465"/>
    <w:rsid w:val="00E31E7D"/>
    <w:rsid w:val="00E32493"/>
    <w:rsid w:val="00E328CD"/>
    <w:rsid w:val="00E346BD"/>
    <w:rsid w:val="00E34D60"/>
    <w:rsid w:val="00E36B95"/>
    <w:rsid w:val="00E3795D"/>
    <w:rsid w:val="00E4003F"/>
    <w:rsid w:val="00E400F7"/>
    <w:rsid w:val="00E40B5E"/>
    <w:rsid w:val="00E40F4D"/>
    <w:rsid w:val="00E4237A"/>
    <w:rsid w:val="00E4251F"/>
    <w:rsid w:val="00E44A41"/>
    <w:rsid w:val="00E44F70"/>
    <w:rsid w:val="00E458F6"/>
    <w:rsid w:val="00E45954"/>
    <w:rsid w:val="00E47127"/>
    <w:rsid w:val="00E50BED"/>
    <w:rsid w:val="00E5180C"/>
    <w:rsid w:val="00E52032"/>
    <w:rsid w:val="00E524A4"/>
    <w:rsid w:val="00E53248"/>
    <w:rsid w:val="00E537E3"/>
    <w:rsid w:val="00E54B81"/>
    <w:rsid w:val="00E54CC1"/>
    <w:rsid w:val="00E55113"/>
    <w:rsid w:val="00E55F3E"/>
    <w:rsid w:val="00E563B1"/>
    <w:rsid w:val="00E57473"/>
    <w:rsid w:val="00E60A99"/>
    <w:rsid w:val="00E60D4A"/>
    <w:rsid w:val="00E60F2E"/>
    <w:rsid w:val="00E61295"/>
    <w:rsid w:val="00E63020"/>
    <w:rsid w:val="00E63A59"/>
    <w:rsid w:val="00E63DD8"/>
    <w:rsid w:val="00E640C8"/>
    <w:rsid w:val="00E647A1"/>
    <w:rsid w:val="00E64A41"/>
    <w:rsid w:val="00E655AD"/>
    <w:rsid w:val="00E65CDA"/>
    <w:rsid w:val="00E6626F"/>
    <w:rsid w:val="00E669BA"/>
    <w:rsid w:val="00E67EE7"/>
    <w:rsid w:val="00E70252"/>
    <w:rsid w:val="00E70470"/>
    <w:rsid w:val="00E7085F"/>
    <w:rsid w:val="00E717A9"/>
    <w:rsid w:val="00E7214B"/>
    <w:rsid w:val="00E7280E"/>
    <w:rsid w:val="00E735FF"/>
    <w:rsid w:val="00E73779"/>
    <w:rsid w:val="00E73839"/>
    <w:rsid w:val="00E7443F"/>
    <w:rsid w:val="00E75E72"/>
    <w:rsid w:val="00E763C6"/>
    <w:rsid w:val="00E7760A"/>
    <w:rsid w:val="00E77F3F"/>
    <w:rsid w:val="00E80005"/>
    <w:rsid w:val="00E80290"/>
    <w:rsid w:val="00E82104"/>
    <w:rsid w:val="00E8370D"/>
    <w:rsid w:val="00E84675"/>
    <w:rsid w:val="00E8501C"/>
    <w:rsid w:val="00E855C1"/>
    <w:rsid w:val="00E85E90"/>
    <w:rsid w:val="00E8650C"/>
    <w:rsid w:val="00E87188"/>
    <w:rsid w:val="00E879F3"/>
    <w:rsid w:val="00E87D19"/>
    <w:rsid w:val="00E90A66"/>
    <w:rsid w:val="00E91232"/>
    <w:rsid w:val="00E920E3"/>
    <w:rsid w:val="00E9224B"/>
    <w:rsid w:val="00E92289"/>
    <w:rsid w:val="00E927F1"/>
    <w:rsid w:val="00E92B3C"/>
    <w:rsid w:val="00E93261"/>
    <w:rsid w:val="00E93A88"/>
    <w:rsid w:val="00E93E71"/>
    <w:rsid w:val="00E95A23"/>
    <w:rsid w:val="00E977DC"/>
    <w:rsid w:val="00E97D74"/>
    <w:rsid w:val="00E97DCF"/>
    <w:rsid w:val="00EA0AA6"/>
    <w:rsid w:val="00EA1121"/>
    <w:rsid w:val="00EA16C3"/>
    <w:rsid w:val="00EA2EC3"/>
    <w:rsid w:val="00EA3503"/>
    <w:rsid w:val="00EA38BF"/>
    <w:rsid w:val="00EA3D9F"/>
    <w:rsid w:val="00EA4194"/>
    <w:rsid w:val="00EA44D9"/>
    <w:rsid w:val="00EA59A3"/>
    <w:rsid w:val="00EA720C"/>
    <w:rsid w:val="00EA7D6C"/>
    <w:rsid w:val="00EB0ED5"/>
    <w:rsid w:val="00EB0EF7"/>
    <w:rsid w:val="00EB2A1E"/>
    <w:rsid w:val="00EB2A6C"/>
    <w:rsid w:val="00EB34CE"/>
    <w:rsid w:val="00EB3A3A"/>
    <w:rsid w:val="00EB4C9F"/>
    <w:rsid w:val="00EB4E11"/>
    <w:rsid w:val="00EB51C3"/>
    <w:rsid w:val="00EB5B54"/>
    <w:rsid w:val="00EB66C1"/>
    <w:rsid w:val="00EB6A76"/>
    <w:rsid w:val="00EC027B"/>
    <w:rsid w:val="00EC0D28"/>
    <w:rsid w:val="00EC193F"/>
    <w:rsid w:val="00EC1F1E"/>
    <w:rsid w:val="00EC229C"/>
    <w:rsid w:val="00EC2527"/>
    <w:rsid w:val="00EC2D53"/>
    <w:rsid w:val="00EC3FF9"/>
    <w:rsid w:val="00EC6485"/>
    <w:rsid w:val="00EC6C53"/>
    <w:rsid w:val="00EC75C7"/>
    <w:rsid w:val="00ED08EE"/>
    <w:rsid w:val="00ED25FE"/>
    <w:rsid w:val="00ED2A30"/>
    <w:rsid w:val="00ED3512"/>
    <w:rsid w:val="00ED407A"/>
    <w:rsid w:val="00ED4A79"/>
    <w:rsid w:val="00ED630D"/>
    <w:rsid w:val="00ED63C9"/>
    <w:rsid w:val="00ED6902"/>
    <w:rsid w:val="00EE06C3"/>
    <w:rsid w:val="00EE079D"/>
    <w:rsid w:val="00EE14BD"/>
    <w:rsid w:val="00EE1AD5"/>
    <w:rsid w:val="00EE230A"/>
    <w:rsid w:val="00EE3B76"/>
    <w:rsid w:val="00EE4F7B"/>
    <w:rsid w:val="00EE6683"/>
    <w:rsid w:val="00EE7D64"/>
    <w:rsid w:val="00EF15ED"/>
    <w:rsid w:val="00EF2793"/>
    <w:rsid w:val="00EF288D"/>
    <w:rsid w:val="00EF2928"/>
    <w:rsid w:val="00EF2E67"/>
    <w:rsid w:val="00EF4620"/>
    <w:rsid w:val="00EF4687"/>
    <w:rsid w:val="00EF5D5E"/>
    <w:rsid w:val="00EF61A9"/>
    <w:rsid w:val="00EF6714"/>
    <w:rsid w:val="00EF67A5"/>
    <w:rsid w:val="00EF7DAD"/>
    <w:rsid w:val="00F00BDA"/>
    <w:rsid w:val="00F01F61"/>
    <w:rsid w:val="00F0233C"/>
    <w:rsid w:val="00F0246E"/>
    <w:rsid w:val="00F02C90"/>
    <w:rsid w:val="00F03F1B"/>
    <w:rsid w:val="00F04192"/>
    <w:rsid w:val="00F0478C"/>
    <w:rsid w:val="00F04B9D"/>
    <w:rsid w:val="00F05BC8"/>
    <w:rsid w:val="00F05F61"/>
    <w:rsid w:val="00F05F7A"/>
    <w:rsid w:val="00F06EEF"/>
    <w:rsid w:val="00F070E2"/>
    <w:rsid w:val="00F0746F"/>
    <w:rsid w:val="00F11C3D"/>
    <w:rsid w:val="00F12ED0"/>
    <w:rsid w:val="00F13097"/>
    <w:rsid w:val="00F132A2"/>
    <w:rsid w:val="00F13941"/>
    <w:rsid w:val="00F13C5C"/>
    <w:rsid w:val="00F14746"/>
    <w:rsid w:val="00F14C6D"/>
    <w:rsid w:val="00F16702"/>
    <w:rsid w:val="00F17C9E"/>
    <w:rsid w:val="00F205A5"/>
    <w:rsid w:val="00F2081F"/>
    <w:rsid w:val="00F21A37"/>
    <w:rsid w:val="00F22275"/>
    <w:rsid w:val="00F232F4"/>
    <w:rsid w:val="00F2357E"/>
    <w:rsid w:val="00F23915"/>
    <w:rsid w:val="00F24CEE"/>
    <w:rsid w:val="00F2547A"/>
    <w:rsid w:val="00F257AB"/>
    <w:rsid w:val="00F26A68"/>
    <w:rsid w:val="00F26ED7"/>
    <w:rsid w:val="00F31451"/>
    <w:rsid w:val="00F315FD"/>
    <w:rsid w:val="00F31952"/>
    <w:rsid w:val="00F31F93"/>
    <w:rsid w:val="00F32103"/>
    <w:rsid w:val="00F32B99"/>
    <w:rsid w:val="00F32D5E"/>
    <w:rsid w:val="00F337A2"/>
    <w:rsid w:val="00F34D7C"/>
    <w:rsid w:val="00F35B11"/>
    <w:rsid w:val="00F36C2C"/>
    <w:rsid w:val="00F3720B"/>
    <w:rsid w:val="00F37530"/>
    <w:rsid w:val="00F375FB"/>
    <w:rsid w:val="00F37AF6"/>
    <w:rsid w:val="00F4040D"/>
    <w:rsid w:val="00F4131E"/>
    <w:rsid w:val="00F41A8B"/>
    <w:rsid w:val="00F41D89"/>
    <w:rsid w:val="00F45502"/>
    <w:rsid w:val="00F4605F"/>
    <w:rsid w:val="00F46B68"/>
    <w:rsid w:val="00F476C3"/>
    <w:rsid w:val="00F50318"/>
    <w:rsid w:val="00F50856"/>
    <w:rsid w:val="00F510D3"/>
    <w:rsid w:val="00F51F90"/>
    <w:rsid w:val="00F52F9A"/>
    <w:rsid w:val="00F536B6"/>
    <w:rsid w:val="00F53DF7"/>
    <w:rsid w:val="00F56254"/>
    <w:rsid w:val="00F60D6D"/>
    <w:rsid w:val="00F60DE5"/>
    <w:rsid w:val="00F613E6"/>
    <w:rsid w:val="00F62144"/>
    <w:rsid w:val="00F63197"/>
    <w:rsid w:val="00F652D9"/>
    <w:rsid w:val="00F66370"/>
    <w:rsid w:val="00F66863"/>
    <w:rsid w:val="00F66FEF"/>
    <w:rsid w:val="00F675C6"/>
    <w:rsid w:val="00F70FFE"/>
    <w:rsid w:val="00F713C4"/>
    <w:rsid w:val="00F729F5"/>
    <w:rsid w:val="00F729F6"/>
    <w:rsid w:val="00F74654"/>
    <w:rsid w:val="00F751AF"/>
    <w:rsid w:val="00F75BC2"/>
    <w:rsid w:val="00F75C3A"/>
    <w:rsid w:val="00F76158"/>
    <w:rsid w:val="00F764E4"/>
    <w:rsid w:val="00F7696E"/>
    <w:rsid w:val="00F7756F"/>
    <w:rsid w:val="00F77F4F"/>
    <w:rsid w:val="00F810CA"/>
    <w:rsid w:val="00F81DD3"/>
    <w:rsid w:val="00F821A8"/>
    <w:rsid w:val="00F822EC"/>
    <w:rsid w:val="00F8304F"/>
    <w:rsid w:val="00F84165"/>
    <w:rsid w:val="00F84742"/>
    <w:rsid w:val="00F85B17"/>
    <w:rsid w:val="00F8692B"/>
    <w:rsid w:val="00F90721"/>
    <w:rsid w:val="00F909CA"/>
    <w:rsid w:val="00F90AE3"/>
    <w:rsid w:val="00F91BB6"/>
    <w:rsid w:val="00F92E40"/>
    <w:rsid w:val="00F933F7"/>
    <w:rsid w:val="00F93E14"/>
    <w:rsid w:val="00F94F97"/>
    <w:rsid w:val="00F95A27"/>
    <w:rsid w:val="00F95B5A"/>
    <w:rsid w:val="00F973C2"/>
    <w:rsid w:val="00F97439"/>
    <w:rsid w:val="00F977A5"/>
    <w:rsid w:val="00FA08E2"/>
    <w:rsid w:val="00FA0B8F"/>
    <w:rsid w:val="00FA136D"/>
    <w:rsid w:val="00FA2535"/>
    <w:rsid w:val="00FA26EA"/>
    <w:rsid w:val="00FA3049"/>
    <w:rsid w:val="00FA4916"/>
    <w:rsid w:val="00FA59D7"/>
    <w:rsid w:val="00FA5A97"/>
    <w:rsid w:val="00FB061B"/>
    <w:rsid w:val="00FB10DB"/>
    <w:rsid w:val="00FB271E"/>
    <w:rsid w:val="00FB3FEB"/>
    <w:rsid w:val="00FB4D70"/>
    <w:rsid w:val="00FB4FA1"/>
    <w:rsid w:val="00FB59D4"/>
    <w:rsid w:val="00FB5AD2"/>
    <w:rsid w:val="00FB62AA"/>
    <w:rsid w:val="00FC01B8"/>
    <w:rsid w:val="00FC11B9"/>
    <w:rsid w:val="00FC129B"/>
    <w:rsid w:val="00FC15BE"/>
    <w:rsid w:val="00FC35CF"/>
    <w:rsid w:val="00FC4093"/>
    <w:rsid w:val="00FC4EE6"/>
    <w:rsid w:val="00FC5003"/>
    <w:rsid w:val="00FC53D9"/>
    <w:rsid w:val="00FC56F9"/>
    <w:rsid w:val="00FC6518"/>
    <w:rsid w:val="00FC6D93"/>
    <w:rsid w:val="00FC6FA6"/>
    <w:rsid w:val="00FC73E7"/>
    <w:rsid w:val="00FC789E"/>
    <w:rsid w:val="00FD01B5"/>
    <w:rsid w:val="00FD18DA"/>
    <w:rsid w:val="00FD1AA8"/>
    <w:rsid w:val="00FD1CAA"/>
    <w:rsid w:val="00FD23B4"/>
    <w:rsid w:val="00FD4958"/>
    <w:rsid w:val="00FD7514"/>
    <w:rsid w:val="00FD7541"/>
    <w:rsid w:val="00FE0BE6"/>
    <w:rsid w:val="00FE0F31"/>
    <w:rsid w:val="00FE1429"/>
    <w:rsid w:val="00FE25E0"/>
    <w:rsid w:val="00FE26AF"/>
    <w:rsid w:val="00FE2997"/>
    <w:rsid w:val="00FE2D0F"/>
    <w:rsid w:val="00FE3354"/>
    <w:rsid w:val="00FE3ED4"/>
    <w:rsid w:val="00FE441D"/>
    <w:rsid w:val="00FE503D"/>
    <w:rsid w:val="00FE5BF6"/>
    <w:rsid w:val="00FE63D6"/>
    <w:rsid w:val="00FE6765"/>
    <w:rsid w:val="00FE68CA"/>
    <w:rsid w:val="00FF200A"/>
    <w:rsid w:val="00FF2BB3"/>
    <w:rsid w:val="00FF2C65"/>
    <w:rsid w:val="00FF2E89"/>
    <w:rsid w:val="00FF38E7"/>
    <w:rsid w:val="00FF3F1B"/>
    <w:rsid w:val="00FF44CB"/>
    <w:rsid w:val="00FF5537"/>
    <w:rsid w:val="00FF5675"/>
    <w:rsid w:val="00FF577E"/>
    <w:rsid w:val="00FF62D5"/>
    <w:rsid w:val="00FF64AE"/>
    <w:rsid w:val="00FF6BDC"/>
    <w:rsid w:val="00FF7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42B8869"/>
  <w15:docId w15:val="{1CF36FE2-6674-4A95-906D-AC9258AD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6D16E3"/>
    <w:pPr>
      <w:tabs>
        <w:tab w:val="right" w:leader="dot" w:pos="9060"/>
      </w:tabs>
      <w:spacing w:after="0"/>
      <w:ind w:left="720" w:hanging="436"/>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qFormat/>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Char"/>
    <w:basedOn w:val="Normal"/>
    <w:link w:val="FootnoteTextChar"/>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
    <w:basedOn w:val="Normal"/>
    <w:link w:val="SubmissionNormalChar"/>
    <w:rsid w:val="00B34946"/>
    <w:pPr>
      <w:numPr>
        <w:numId w:val="15"/>
      </w:numPr>
    </w:pPr>
    <w:rPr>
      <w:rFonts w:eastAsia="Times New Roman"/>
    </w:rPr>
  </w:style>
  <w:style w:type="character" w:customStyle="1" w:styleId="SubmissionNormalChar">
    <w:name w:val="Submission Normal Char"/>
    <w:aliases w:val="No Spacing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link w:val="ListParagraphChar"/>
    <w:uiPriority w:val="34"/>
    <w:qFormat/>
    <w:rsid w:val="000C2035"/>
    <w:pPr>
      <w:ind w:left="720"/>
      <w:contextualSpacing/>
    </w:pPr>
  </w:style>
  <w:style w:type="character" w:customStyle="1" w:styleId="ListParagraphChar">
    <w:name w:val="List Paragraph Char"/>
    <w:link w:val="ListParagraph"/>
    <w:uiPriority w:val="34"/>
    <w:rsid w:val="00354D39"/>
    <w:rPr>
      <w:rFonts w:ascii="Arial" w:eastAsia="MS Mincho" w:hAnsi="Arial"/>
      <w:sz w:val="24"/>
      <w:szCs w:val="24"/>
    </w:rPr>
  </w:style>
  <w:style w:type="paragraph" w:customStyle="1" w:styleId="Body">
    <w:name w:val="Body"/>
    <w:rsid w:val="00354D39"/>
    <w:pPr>
      <w:pBdr>
        <w:top w:val="nil"/>
        <w:left w:val="nil"/>
        <w:bottom w:val="nil"/>
        <w:right w:val="nil"/>
        <w:between w:val="nil"/>
        <w:bar w:val="nil"/>
      </w:pBdr>
      <w:spacing w:before="240" w:after="240"/>
    </w:pPr>
    <w:rPr>
      <w:rFonts w:ascii="Arial" w:eastAsia="Arial Unicode MS" w:hAnsi="Arial" w:cs="Arial Unicode MS"/>
      <w:color w:val="000000"/>
      <w:sz w:val="24"/>
      <w:szCs w:val="24"/>
      <w:u w:color="000000"/>
      <w:bdr w:val="nil"/>
      <w:lang w:val="en-US" w:eastAsia="en-US"/>
    </w:rPr>
  </w:style>
  <w:style w:type="paragraph" w:customStyle="1" w:styleId="ListParaMargin">
    <w:name w:val="List Para Margin"/>
    <w:next w:val="Normal"/>
    <w:uiPriority w:val="99"/>
    <w:rsid w:val="00354D39"/>
    <w:pPr>
      <w:keepLines/>
      <w:widowControl w:val="0"/>
      <w:numPr>
        <w:numId w:val="17"/>
      </w:numPr>
      <w:tabs>
        <w:tab w:val="left" w:pos="567"/>
        <w:tab w:val="left" w:pos="850"/>
      </w:tabs>
      <w:suppressAutoHyphens/>
      <w:autoSpaceDE w:val="0"/>
      <w:autoSpaceDN w:val="0"/>
      <w:adjustRightInd w:val="0"/>
      <w:spacing w:after="200" w:line="288" w:lineRule="auto"/>
      <w:textAlignment w:val="center"/>
    </w:pPr>
    <w:rPr>
      <w:rFonts w:ascii="Arial" w:eastAsia="MS Mincho" w:hAnsi="Arial" w:cs="HelveticaNeue"/>
      <w:color w:val="000000"/>
      <w:sz w:val="24"/>
      <w:szCs w:val="17"/>
      <w:lang w:val="en-US"/>
    </w:rPr>
  </w:style>
  <w:style w:type="paragraph" w:customStyle="1" w:styleId="Style4">
    <w:name w:val="Style4"/>
    <w:basedOn w:val="EndnoteText"/>
    <w:link w:val="Style4Char"/>
    <w:qFormat/>
    <w:rsid w:val="003D781F"/>
    <w:pPr>
      <w:spacing w:line="259" w:lineRule="auto"/>
    </w:pPr>
  </w:style>
  <w:style w:type="character" w:customStyle="1" w:styleId="Style4Char">
    <w:name w:val="Style4 Char"/>
    <w:basedOn w:val="DefaultParagraphFont"/>
    <w:link w:val="Style4"/>
    <w:rsid w:val="003D781F"/>
    <w:rPr>
      <w:rFonts w:ascii="Arial" w:eastAsia="MS Mincho" w:hAnsi="Arial"/>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rsid w:val="003D781F"/>
    <w:rPr>
      <w:rFonts w:ascii="Arial" w:eastAsia="MS Mincho" w:hAnsi="Arial"/>
    </w:rPr>
  </w:style>
  <w:style w:type="numbering" w:customStyle="1" w:styleId="StyleNumbered">
    <w:name w:val="Style Numbered"/>
    <w:basedOn w:val="NoList"/>
    <w:semiHidden/>
    <w:rsid w:val="003D781F"/>
    <w:pPr>
      <w:numPr>
        <w:numId w:val="18"/>
      </w:numPr>
    </w:pPr>
  </w:style>
  <w:style w:type="character" w:styleId="CommentReference">
    <w:name w:val="annotation reference"/>
    <w:basedOn w:val="DefaultParagraphFont"/>
    <w:locked/>
    <w:rsid w:val="00547168"/>
    <w:rPr>
      <w:sz w:val="16"/>
      <w:szCs w:val="16"/>
    </w:rPr>
  </w:style>
  <w:style w:type="paragraph" w:styleId="CommentText">
    <w:name w:val="annotation text"/>
    <w:basedOn w:val="Normal"/>
    <w:link w:val="CommentTextChar"/>
    <w:locked/>
    <w:rsid w:val="00547168"/>
    <w:rPr>
      <w:sz w:val="20"/>
      <w:szCs w:val="20"/>
    </w:rPr>
  </w:style>
  <w:style w:type="character" w:customStyle="1" w:styleId="CommentTextChar">
    <w:name w:val="Comment Text Char"/>
    <w:basedOn w:val="DefaultParagraphFont"/>
    <w:link w:val="CommentText"/>
    <w:rsid w:val="00547168"/>
    <w:rPr>
      <w:rFonts w:ascii="Arial" w:eastAsia="MS Mincho" w:hAnsi="Arial"/>
    </w:rPr>
  </w:style>
  <w:style w:type="paragraph" w:styleId="CommentSubject">
    <w:name w:val="annotation subject"/>
    <w:basedOn w:val="CommentText"/>
    <w:next w:val="CommentText"/>
    <w:link w:val="CommentSubjectChar"/>
    <w:locked/>
    <w:rsid w:val="00547168"/>
    <w:rPr>
      <w:b/>
      <w:bCs/>
    </w:rPr>
  </w:style>
  <w:style w:type="character" w:customStyle="1" w:styleId="CommentSubjectChar">
    <w:name w:val="Comment Subject Char"/>
    <w:basedOn w:val="CommentTextChar"/>
    <w:link w:val="CommentSubject"/>
    <w:rsid w:val="00547168"/>
    <w:rPr>
      <w:rFonts w:ascii="Arial" w:eastAsia="MS Mincho" w:hAnsi="Arial"/>
      <w:b/>
      <w:bCs/>
    </w:rPr>
  </w:style>
  <w:style w:type="paragraph" w:customStyle="1" w:styleId="Default">
    <w:name w:val="Default"/>
    <w:rsid w:val="00D601DE"/>
    <w:pPr>
      <w:autoSpaceDE w:val="0"/>
      <w:autoSpaceDN w:val="0"/>
      <w:adjustRightInd w:val="0"/>
    </w:pPr>
    <w:rPr>
      <w:color w:val="000000"/>
      <w:sz w:val="24"/>
      <w:szCs w:val="24"/>
    </w:rPr>
  </w:style>
  <w:style w:type="paragraph" w:customStyle="1" w:styleId="JABodyText">
    <w:name w:val="JA_BodyText"/>
    <w:qFormat/>
    <w:rsid w:val="00FD18DA"/>
    <w:pPr>
      <w:spacing w:after="120" w:line="220" w:lineRule="atLeast"/>
    </w:pPr>
    <w:rPr>
      <w:rFonts w:ascii="Calibri" w:eastAsia="Cambria" w:hAnsi="Calibri" w:cs="Calibr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8205">
      <w:bodyDiv w:val="1"/>
      <w:marLeft w:val="0"/>
      <w:marRight w:val="0"/>
      <w:marTop w:val="0"/>
      <w:marBottom w:val="0"/>
      <w:divBdr>
        <w:top w:val="none" w:sz="0" w:space="0" w:color="auto"/>
        <w:left w:val="none" w:sz="0" w:space="0" w:color="auto"/>
        <w:bottom w:val="none" w:sz="0" w:space="0" w:color="auto"/>
        <w:right w:val="none" w:sz="0" w:space="0" w:color="auto"/>
      </w:divBdr>
    </w:div>
    <w:div w:id="86466488">
      <w:bodyDiv w:val="1"/>
      <w:marLeft w:val="0"/>
      <w:marRight w:val="0"/>
      <w:marTop w:val="0"/>
      <w:marBottom w:val="0"/>
      <w:divBdr>
        <w:top w:val="none" w:sz="0" w:space="0" w:color="auto"/>
        <w:left w:val="none" w:sz="0" w:space="0" w:color="auto"/>
        <w:bottom w:val="none" w:sz="0" w:space="0" w:color="auto"/>
        <w:right w:val="none" w:sz="0" w:space="0" w:color="auto"/>
      </w:divBdr>
    </w:div>
    <w:div w:id="111438653">
      <w:bodyDiv w:val="1"/>
      <w:marLeft w:val="0"/>
      <w:marRight w:val="0"/>
      <w:marTop w:val="0"/>
      <w:marBottom w:val="0"/>
      <w:divBdr>
        <w:top w:val="none" w:sz="0" w:space="0" w:color="auto"/>
        <w:left w:val="none" w:sz="0" w:space="0" w:color="auto"/>
        <w:bottom w:val="none" w:sz="0" w:space="0" w:color="auto"/>
        <w:right w:val="none" w:sz="0" w:space="0" w:color="auto"/>
      </w:divBdr>
    </w:div>
    <w:div w:id="112092529">
      <w:bodyDiv w:val="1"/>
      <w:marLeft w:val="0"/>
      <w:marRight w:val="0"/>
      <w:marTop w:val="0"/>
      <w:marBottom w:val="0"/>
      <w:divBdr>
        <w:top w:val="none" w:sz="0" w:space="0" w:color="auto"/>
        <w:left w:val="none" w:sz="0" w:space="0" w:color="auto"/>
        <w:bottom w:val="none" w:sz="0" w:space="0" w:color="auto"/>
        <w:right w:val="none" w:sz="0" w:space="0" w:color="auto"/>
      </w:divBdr>
    </w:div>
    <w:div w:id="115023806">
      <w:bodyDiv w:val="1"/>
      <w:marLeft w:val="0"/>
      <w:marRight w:val="0"/>
      <w:marTop w:val="0"/>
      <w:marBottom w:val="0"/>
      <w:divBdr>
        <w:top w:val="none" w:sz="0" w:space="0" w:color="auto"/>
        <w:left w:val="none" w:sz="0" w:space="0" w:color="auto"/>
        <w:bottom w:val="none" w:sz="0" w:space="0" w:color="auto"/>
        <w:right w:val="none" w:sz="0" w:space="0" w:color="auto"/>
      </w:divBdr>
    </w:div>
    <w:div w:id="132603103">
      <w:bodyDiv w:val="1"/>
      <w:marLeft w:val="0"/>
      <w:marRight w:val="0"/>
      <w:marTop w:val="0"/>
      <w:marBottom w:val="0"/>
      <w:divBdr>
        <w:top w:val="none" w:sz="0" w:space="0" w:color="auto"/>
        <w:left w:val="none" w:sz="0" w:space="0" w:color="auto"/>
        <w:bottom w:val="none" w:sz="0" w:space="0" w:color="auto"/>
        <w:right w:val="none" w:sz="0" w:space="0" w:color="auto"/>
      </w:divBdr>
    </w:div>
    <w:div w:id="175003417">
      <w:bodyDiv w:val="1"/>
      <w:marLeft w:val="0"/>
      <w:marRight w:val="0"/>
      <w:marTop w:val="0"/>
      <w:marBottom w:val="0"/>
      <w:divBdr>
        <w:top w:val="none" w:sz="0" w:space="0" w:color="auto"/>
        <w:left w:val="none" w:sz="0" w:space="0" w:color="auto"/>
        <w:bottom w:val="none" w:sz="0" w:space="0" w:color="auto"/>
        <w:right w:val="none" w:sz="0" w:space="0" w:color="auto"/>
      </w:divBdr>
    </w:div>
    <w:div w:id="224218685">
      <w:bodyDiv w:val="1"/>
      <w:marLeft w:val="0"/>
      <w:marRight w:val="0"/>
      <w:marTop w:val="0"/>
      <w:marBottom w:val="0"/>
      <w:divBdr>
        <w:top w:val="none" w:sz="0" w:space="0" w:color="auto"/>
        <w:left w:val="none" w:sz="0" w:space="0" w:color="auto"/>
        <w:bottom w:val="none" w:sz="0" w:space="0" w:color="auto"/>
        <w:right w:val="none" w:sz="0" w:space="0" w:color="auto"/>
      </w:divBdr>
    </w:div>
    <w:div w:id="230386461">
      <w:bodyDiv w:val="1"/>
      <w:marLeft w:val="0"/>
      <w:marRight w:val="0"/>
      <w:marTop w:val="0"/>
      <w:marBottom w:val="0"/>
      <w:divBdr>
        <w:top w:val="none" w:sz="0" w:space="0" w:color="auto"/>
        <w:left w:val="none" w:sz="0" w:space="0" w:color="auto"/>
        <w:bottom w:val="none" w:sz="0" w:space="0" w:color="auto"/>
        <w:right w:val="none" w:sz="0" w:space="0" w:color="auto"/>
      </w:divBdr>
    </w:div>
    <w:div w:id="251161968">
      <w:bodyDiv w:val="1"/>
      <w:marLeft w:val="0"/>
      <w:marRight w:val="0"/>
      <w:marTop w:val="0"/>
      <w:marBottom w:val="0"/>
      <w:divBdr>
        <w:top w:val="none" w:sz="0" w:space="0" w:color="auto"/>
        <w:left w:val="none" w:sz="0" w:space="0" w:color="auto"/>
        <w:bottom w:val="none" w:sz="0" w:space="0" w:color="auto"/>
        <w:right w:val="none" w:sz="0" w:space="0" w:color="auto"/>
      </w:divBdr>
    </w:div>
    <w:div w:id="282427011">
      <w:bodyDiv w:val="1"/>
      <w:marLeft w:val="0"/>
      <w:marRight w:val="0"/>
      <w:marTop w:val="0"/>
      <w:marBottom w:val="0"/>
      <w:divBdr>
        <w:top w:val="none" w:sz="0" w:space="0" w:color="auto"/>
        <w:left w:val="none" w:sz="0" w:space="0" w:color="auto"/>
        <w:bottom w:val="none" w:sz="0" w:space="0" w:color="auto"/>
        <w:right w:val="none" w:sz="0" w:space="0" w:color="auto"/>
      </w:divBdr>
    </w:div>
    <w:div w:id="407381598">
      <w:bodyDiv w:val="1"/>
      <w:marLeft w:val="0"/>
      <w:marRight w:val="0"/>
      <w:marTop w:val="0"/>
      <w:marBottom w:val="0"/>
      <w:divBdr>
        <w:top w:val="none" w:sz="0" w:space="0" w:color="auto"/>
        <w:left w:val="none" w:sz="0" w:space="0" w:color="auto"/>
        <w:bottom w:val="none" w:sz="0" w:space="0" w:color="auto"/>
        <w:right w:val="none" w:sz="0" w:space="0" w:color="auto"/>
      </w:divBdr>
    </w:div>
    <w:div w:id="410659799">
      <w:bodyDiv w:val="1"/>
      <w:marLeft w:val="0"/>
      <w:marRight w:val="0"/>
      <w:marTop w:val="0"/>
      <w:marBottom w:val="0"/>
      <w:divBdr>
        <w:top w:val="none" w:sz="0" w:space="0" w:color="auto"/>
        <w:left w:val="none" w:sz="0" w:space="0" w:color="auto"/>
        <w:bottom w:val="none" w:sz="0" w:space="0" w:color="auto"/>
        <w:right w:val="none" w:sz="0" w:space="0" w:color="auto"/>
      </w:divBdr>
    </w:div>
    <w:div w:id="420377297">
      <w:bodyDiv w:val="1"/>
      <w:marLeft w:val="0"/>
      <w:marRight w:val="0"/>
      <w:marTop w:val="0"/>
      <w:marBottom w:val="0"/>
      <w:divBdr>
        <w:top w:val="none" w:sz="0" w:space="0" w:color="auto"/>
        <w:left w:val="none" w:sz="0" w:space="0" w:color="auto"/>
        <w:bottom w:val="none" w:sz="0" w:space="0" w:color="auto"/>
        <w:right w:val="none" w:sz="0" w:space="0" w:color="auto"/>
      </w:divBdr>
    </w:div>
    <w:div w:id="500435536">
      <w:bodyDiv w:val="1"/>
      <w:marLeft w:val="0"/>
      <w:marRight w:val="0"/>
      <w:marTop w:val="0"/>
      <w:marBottom w:val="0"/>
      <w:divBdr>
        <w:top w:val="none" w:sz="0" w:space="0" w:color="auto"/>
        <w:left w:val="none" w:sz="0" w:space="0" w:color="auto"/>
        <w:bottom w:val="none" w:sz="0" w:space="0" w:color="auto"/>
        <w:right w:val="none" w:sz="0" w:space="0" w:color="auto"/>
      </w:divBdr>
    </w:div>
    <w:div w:id="513808628">
      <w:bodyDiv w:val="1"/>
      <w:marLeft w:val="0"/>
      <w:marRight w:val="0"/>
      <w:marTop w:val="0"/>
      <w:marBottom w:val="0"/>
      <w:divBdr>
        <w:top w:val="none" w:sz="0" w:space="0" w:color="auto"/>
        <w:left w:val="none" w:sz="0" w:space="0" w:color="auto"/>
        <w:bottom w:val="none" w:sz="0" w:space="0" w:color="auto"/>
        <w:right w:val="none" w:sz="0" w:space="0" w:color="auto"/>
      </w:divBdr>
    </w:div>
    <w:div w:id="561717150">
      <w:bodyDiv w:val="1"/>
      <w:marLeft w:val="0"/>
      <w:marRight w:val="0"/>
      <w:marTop w:val="0"/>
      <w:marBottom w:val="0"/>
      <w:divBdr>
        <w:top w:val="none" w:sz="0" w:space="0" w:color="auto"/>
        <w:left w:val="none" w:sz="0" w:space="0" w:color="auto"/>
        <w:bottom w:val="none" w:sz="0" w:space="0" w:color="auto"/>
        <w:right w:val="none" w:sz="0" w:space="0" w:color="auto"/>
      </w:divBdr>
    </w:div>
    <w:div w:id="565260409">
      <w:bodyDiv w:val="1"/>
      <w:marLeft w:val="0"/>
      <w:marRight w:val="0"/>
      <w:marTop w:val="0"/>
      <w:marBottom w:val="0"/>
      <w:divBdr>
        <w:top w:val="none" w:sz="0" w:space="0" w:color="auto"/>
        <w:left w:val="none" w:sz="0" w:space="0" w:color="auto"/>
        <w:bottom w:val="none" w:sz="0" w:space="0" w:color="auto"/>
        <w:right w:val="none" w:sz="0" w:space="0" w:color="auto"/>
      </w:divBdr>
    </w:div>
    <w:div w:id="590939235">
      <w:bodyDiv w:val="1"/>
      <w:marLeft w:val="0"/>
      <w:marRight w:val="0"/>
      <w:marTop w:val="0"/>
      <w:marBottom w:val="0"/>
      <w:divBdr>
        <w:top w:val="none" w:sz="0" w:space="0" w:color="auto"/>
        <w:left w:val="none" w:sz="0" w:space="0" w:color="auto"/>
        <w:bottom w:val="none" w:sz="0" w:space="0" w:color="auto"/>
        <w:right w:val="none" w:sz="0" w:space="0" w:color="auto"/>
      </w:divBdr>
    </w:div>
    <w:div w:id="60315211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92745162">
      <w:bodyDiv w:val="1"/>
      <w:marLeft w:val="0"/>
      <w:marRight w:val="0"/>
      <w:marTop w:val="0"/>
      <w:marBottom w:val="0"/>
      <w:divBdr>
        <w:top w:val="none" w:sz="0" w:space="0" w:color="auto"/>
        <w:left w:val="none" w:sz="0" w:space="0" w:color="auto"/>
        <w:bottom w:val="none" w:sz="0" w:space="0" w:color="auto"/>
        <w:right w:val="none" w:sz="0" w:space="0" w:color="auto"/>
      </w:divBdr>
    </w:div>
    <w:div w:id="803280184">
      <w:bodyDiv w:val="1"/>
      <w:marLeft w:val="0"/>
      <w:marRight w:val="0"/>
      <w:marTop w:val="0"/>
      <w:marBottom w:val="0"/>
      <w:divBdr>
        <w:top w:val="none" w:sz="0" w:space="0" w:color="auto"/>
        <w:left w:val="none" w:sz="0" w:space="0" w:color="auto"/>
        <w:bottom w:val="none" w:sz="0" w:space="0" w:color="auto"/>
        <w:right w:val="none" w:sz="0" w:space="0" w:color="auto"/>
      </w:divBdr>
    </w:div>
    <w:div w:id="829374254">
      <w:bodyDiv w:val="1"/>
      <w:marLeft w:val="0"/>
      <w:marRight w:val="0"/>
      <w:marTop w:val="0"/>
      <w:marBottom w:val="0"/>
      <w:divBdr>
        <w:top w:val="none" w:sz="0" w:space="0" w:color="auto"/>
        <w:left w:val="none" w:sz="0" w:space="0" w:color="auto"/>
        <w:bottom w:val="none" w:sz="0" w:space="0" w:color="auto"/>
        <w:right w:val="none" w:sz="0" w:space="0" w:color="auto"/>
      </w:divBdr>
    </w:div>
    <w:div w:id="862330678">
      <w:bodyDiv w:val="1"/>
      <w:marLeft w:val="0"/>
      <w:marRight w:val="0"/>
      <w:marTop w:val="0"/>
      <w:marBottom w:val="0"/>
      <w:divBdr>
        <w:top w:val="none" w:sz="0" w:space="0" w:color="auto"/>
        <w:left w:val="none" w:sz="0" w:space="0" w:color="auto"/>
        <w:bottom w:val="none" w:sz="0" w:space="0" w:color="auto"/>
        <w:right w:val="none" w:sz="0" w:space="0" w:color="auto"/>
      </w:divBdr>
    </w:div>
    <w:div w:id="895363115">
      <w:bodyDiv w:val="1"/>
      <w:marLeft w:val="0"/>
      <w:marRight w:val="0"/>
      <w:marTop w:val="0"/>
      <w:marBottom w:val="0"/>
      <w:divBdr>
        <w:top w:val="none" w:sz="0" w:space="0" w:color="auto"/>
        <w:left w:val="none" w:sz="0" w:space="0" w:color="auto"/>
        <w:bottom w:val="none" w:sz="0" w:space="0" w:color="auto"/>
        <w:right w:val="none" w:sz="0" w:space="0" w:color="auto"/>
      </w:divBdr>
    </w:div>
    <w:div w:id="915944309">
      <w:bodyDiv w:val="1"/>
      <w:marLeft w:val="0"/>
      <w:marRight w:val="0"/>
      <w:marTop w:val="0"/>
      <w:marBottom w:val="0"/>
      <w:divBdr>
        <w:top w:val="none" w:sz="0" w:space="0" w:color="auto"/>
        <w:left w:val="none" w:sz="0" w:space="0" w:color="auto"/>
        <w:bottom w:val="none" w:sz="0" w:space="0" w:color="auto"/>
        <w:right w:val="none" w:sz="0" w:space="0" w:color="auto"/>
      </w:divBdr>
    </w:div>
    <w:div w:id="91987628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09411070">
      <w:bodyDiv w:val="1"/>
      <w:marLeft w:val="0"/>
      <w:marRight w:val="0"/>
      <w:marTop w:val="0"/>
      <w:marBottom w:val="0"/>
      <w:divBdr>
        <w:top w:val="none" w:sz="0" w:space="0" w:color="auto"/>
        <w:left w:val="none" w:sz="0" w:space="0" w:color="auto"/>
        <w:bottom w:val="none" w:sz="0" w:space="0" w:color="auto"/>
        <w:right w:val="none" w:sz="0" w:space="0" w:color="auto"/>
      </w:divBdr>
    </w:div>
    <w:div w:id="1017657313">
      <w:bodyDiv w:val="1"/>
      <w:marLeft w:val="0"/>
      <w:marRight w:val="0"/>
      <w:marTop w:val="0"/>
      <w:marBottom w:val="0"/>
      <w:divBdr>
        <w:top w:val="none" w:sz="0" w:space="0" w:color="auto"/>
        <w:left w:val="none" w:sz="0" w:space="0" w:color="auto"/>
        <w:bottom w:val="none" w:sz="0" w:space="0" w:color="auto"/>
        <w:right w:val="none" w:sz="0" w:space="0" w:color="auto"/>
      </w:divBdr>
    </w:div>
    <w:div w:id="1112286073">
      <w:bodyDiv w:val="1"/>
      <w:marLeft w:val="0"/>
      <w:marRight w:val="0"/>
      <w:marTop w:val="0"/>
      <w:marBottom w:val="0"/>
      <w:divBdr>
        <w:top w:val="none" w:sz="0" w:space="0" w:color="auto"/>
        <w:left w:val="none" w:sz="0" w:space="0" w:color="auto"/>
        <w:bottom w:val="none" w:sz="0" w:space="0" w:color="auto"/>
        <w:right w:val="none" w:sz="0" w:space="0" w:color="auto"/>
      </w:divBdr>
    </w:div>
    <w:div w:id="1144814675">
      <w:bodyDiv w:val="1"/>
      <w:marLeft w:val="0"/>
      <w:marRight w:val="0"/>
      <w:marTop w:val="0"/>
      <w:marBottom w:val="0"/>
      <w:divBdr>
        <w:top w:val="none" w:sz="0" w:space="0" w:color="auto"/>
        <w:left w:val="none" w:sz="0" w:space="0" w:color="auto"/>
        <w:bottom w:val="none" w:sz="0" w:space="0" w:color="auto"/>
        <w:right w:val="none" w:sz="0" w:space="0" w:color="auto"/>
      </w:divBdr>
    </w:div>
    <w:div w:id="1184441348">
      <w:bodyDiv w:val="1"/>
      <w:marLeft w:val="0"/>
      <w:marRight w:val="0"/>
      <w:marTop w:val="0"/>
      <w:marBottom w:val="0"/>
      <w:divBdr>
        <w:top w:val="none" w:sz="0" w:space="0" w:color="auto"/>
        <w:left w:val="none" w:sz="0" w:space="0" w:color="auto"/>
        <w:bottom w:val="none" w:sz="0" w:space="0" w:color="auto"/>
        <w:right w:val="none" w:sz="0" w:space="0" w:color="auto"/>
      </w:divBdr>
    </w:div>
    <w:div w:id="1235159538">
      <w:bodyDiv w:val="1"/>
      <w:marLeft w:val="0"/>
      <w:marRight w:val="0"/>
      <w:marTop w:val="0"/>
      <w:marBottom w:val="0"/>
      <w:divBdr>
        <w:top w:val="none" w:sz="0" w:space="0" w:color="auto"/>
        <w:left w:val="none" w:sz="0" w:space="0" w:color="auto"/>
        <w:bottom w:val="none" w:sz="0" w:space="0" w:color="auto"/>
        <w:right w:val="none" w:sz="0" w:space="0" w:color="auto"/>
      </w:divBdr>
    </w:div>
    <w:div w:id="1269854015">
      <w:bodyDiv w:val="1"/>
      <w:marLeft w:val="0"/>
      <w:marRight w:val="0"/>
      <w:marTop w:val="0"/>
      <w:marBottom w:val="0"/>
      <w:divBdr>
        <w:top w:val="none" w:sz="0" w:space="0" w:color="auto"/>
        <w:left w:val="none" w:sz="0" w:space="0" w:color="auto"/>
        <w:bottom w:val="none" w:sz="0" w:space="0" w:color="auto"/>
        <w:right w:val="none" w:sz="0" w:space="0" w:color="auto"/>
      </w:divBdr>
    </w:div>
    <w:div w:id="1321235019">
      <w:bodyDiv w:val="1"/>
      <w:marLeft w:val="0"/>
      <w:marRight w:val="0"/>
      <w:marTop w:val="0"/>
      <w:marBottom w:val="0"/>
      <w:divBdr>
        <w:top w:val="none" w:sz="0" w:space="0" w:color="auto"/>
        <w:left w:val="none" w:sz="0" w:space="0" w:color="auto"/>
        <w:bottom w:val="none" w:sz="0" w:space="0" w:color="auto"/>
        <w:right w:val="none" w:sz="0" w:space="0" w:color="auto"/>
      </w:divBdr>
    </w:div>
    <w:div w:id="1380596249">
      <w:bodyDiv w:val="1"/>
      <w:marLeft w:val="0"/>
      <w:marRight w:val="0"/>
      <w:marTop w:val="0"/>
      <w:marBottom w:val="0"/>
      <w:divBdr>
        <w:top w:val="none" w:sz="0" w:space="0" w:color="auto"/>
        <w:left w:val="none" w:sz="0" w:space="0" w:color="auto"/>
        <w:bottom w:val="none" w:sz="0" w:space="0" w:color="auto"/>
        <w:right w:val="none" w:sz="0" w:space="0" w:color="auto"/>
      </w:divBdr>
    </w:div>
    <w:div w:id="1434936727">
      <w:bodyDiv w:val="1"/>
      <w:marLeft w:val="0"/>
      <w:marRight w:val="0"/>
      <w:marTop w:val="0"/>
      <w:marBottom w:val="0"/>
      <w:divBdr>
        <w:top w:val="none" w:sz="0" w:space="0" w:color="auto"/>
        <w:left w:val="none" w:sz="0" w:space="0" w:color="auto"/>
        <w:bottom w:val="none" w:sz="0" w:space="0" w:color="auto"/>
        <w:right w:val="none" w:sz="0" w:space="0" w:color="auto"/>
      </w:divBdr>
    </w:div>
    <w:div w:id="1464541538">
      <w:bodyDiv w:val="1"/>
      <w:marLeft w:val="0"/>
      <w:marRight w:val="0"/>
      <w:marTop w:val="0"/>
      <w:marBottom w:val="0"/>
      <w:divBdr>
        <w:top w:val="none" w:sz="0" w:space="0" w:color="auto"/>
        <w:left w:val="none" w:sz="0" w:space="0" w:color="auto"/>
        <w:bottom w:val="none" w:sz="0" w:space="0" w:color="auto"/>
        <w:right w:val="none" w:sz="0" w:space="0" w:color="auto"/>
      </w:divBdr>
    </w:div>
    <w:div w:id="1527593860">
      <w:bodyDiv w:val="1"/>
      <w:marLeft w:val="0"/>
      <w:marRight w:val="0"/>
      <w:marTop w:val="0"/>
      <w:marBottom w:val="0"/>
      <w:divBdr>
        <w:top w:val="none" w:sz="0" w:space="0" w:color="auto"/>
        <w:left w:val="none" w:sz="0" w:space="0" w:color="auto"/>
        <w:bottom w:val="none" w:sz="0" w:space="0" w:color="auto"/>
        <w:right w:val="none" w:sz="0" w:space="0" w:color="auto"/>
      </w:divBdr>
    </w:div>
    <w:div w:id="1557665295">
      <w:bodyDiv w:val="1"/>
      <w:marLeft w:val="0"/>
      <w:marRight w:val="0"/>
      <w:marTop w:val="0"/>
      <w:marBottom w:val="0"/>
      <w:divBdr>
        <w:top w:val="none" w:sz="0" w:space="0" w:color="auto"/>
        <w:left w:val="none" w:sz="0" w:space="0" w:color="auto"/>
        <w:bottom w:val="none" w:sz="0" w:space="0" w:color="auto"/>
        <w:right w:val="none" w:sz="0" w:space="0" w:color="auto"/>
      </w:divBdr>
    </w:div>
    <w:div w:id="1651523315">
      <w:bodyDiv w:val="1"/>
      <w:marLeft w:val="0"/>
      <w:marRight w:val="0"/>
      <w:marTop w:val="0"/>
      <w:marBottom w:val="0"/>
      <w:divBdr>
        <w:top w:val="none" w:sz="0" w:space="0" w:color="auto"/>
        <w:left w:val="none" w:sz="0" w:space="0" w:color="auto"/>
        <w:bottom w:val="none" w:sz="0" w:space="0" w:color="auto"/>
        <w:right w:val="none" w:sz="0" w:space="0" w:color="auto"/>
      </w:divBdr>
    </w:div>
    <w:div w:id="1654214810">
      <w:bodyDiv w:val="1"/>
      <w:marLeft w:val="0"/>
      <w:marRight w:val="0"/>
      <w:marTop w:val="0"/>
      <w:marBottom w:val="0"/>
      <w:divBdr>
        <w:top w:val="none" w:sz="0" w:space="0" w:color="auto"/>
        <w:left w:val="none" w:sz="0" w:space="0" w:color="auto"/>
        <w:bottom w:val="none" w:sz="0" w:space="0" w:color="auto"/>
        <w:right w:val="none" w:sz="0" w:space="0" w:color="auto"/>
      </w:divBdr>
    </w:div>
    <w:div w:id="1670405712">
      <w:bodyDiv w:val="1"/>
      <w:marLeft w:val="0"/>
      <w:marRight w:val="0"/>
      <w:marTop w:val="0"/>
      <w:marBottom w:val="0"/>
      <w:divBdr>
        <w:top w:val="none" w:sz="0" w:space="0" w:color="auto"/>
        <w:left w:val="none" w:sz="0" w:space="0" w:color="auto"/>
        <w:bottom w:val="none" w:sz="0" w:space="0" w:color="auto"/>
        <w:right w:val="none" w:sz="0" w:space="0" w:color="auto"/>
      </w:divBdr>
    </w:div>
    <w:div w:id="1804082380">
      <w:bodyDiv w:val="1"/>
      <w:marLeft w:val="0"/>
      <w:marRight w:val="0"/>
      <w:marTop w:val="0"/>
      <w:marBottom w:val="0"/>
      <w:divBdr>
        <w:top w:val="none" w:sz="0" w:space="0" w:color="auto"/>
        <w:left w:val="none" w:sz="0" w:space="0" w:color="auto"/>
        <w:bottom w:val="none" w:sz="0" w:space="0" w:color="auto"/>
        <w:right w:val="none" w:sz="0" w:space="0" w:color="auto"/>
      </w:divBdr>
    </w:div>
    <w:div w:id="1880777353">
      <w:bodyDiv w:val="1"/>
      <w:marLeft w:val="0"/>
      <w:marRight w:val="0"/>
      <w:marTop w:val="0"/>
      <w:marBottom w:val="0"/>
      <w:divBdr>
        <w:top w:val="none" w:sz="0" w:space="0" w:color="auto"/>
        <w:left w:val="none" w:sz="0" w:space="0" w:color="auto"/>
        <w:bottom w:val="none" w:sz="0" w:space="0" w:color="auto"/>
        <w:right w:val="none" w:sz="0" w:space="0" w:color="auto"/>
      </w:divBdr>
    </w:div>
    <w:div w:id="1921131943">
      <w:bodyDiv w:val="1"/>
      <w:marLeft w:val="0"/>
      <w:marRight w:val="0"/>
      <w:marTop w:val="0"/>
      <w:marBottom w:val="0"/>
      <w:divBdr>
        <w:top w:val="none" w:sz="0" w:space="0" w:color="auto"/>
        <w:left w:val="none" w:sz="0" w:space="0" w:color="auto"/>
        <w:bottom w:val="none" w:sz="0" w:space="0" w:color="auto"/>
        <w:right w:val="none" w:sz="0" w:space="0" w:color="auto"/>
      </w:divBdr>
    </w:div>
    <w:div w:id="1960405982">
      <w:bodyDiv w:val="1"/>
      <w:marLeft w:val="0"/>
      <w:marRight w:val="0"/>
      <w:marTop w:val="0"/>
      <w:marBottom w:val="0"/>
      <w:divBdr>
        <w:top w:val="none" w:sz="0" w:space="0" w:color="auto"/>
        <w:left w:val="none" w:sz="0" w:space="0" w:color="auto"/>
        <w:bottom w:val="none" w:sz="0" w:space="0" w:color="auto"/>
        <w:right w:val="none" w:sz="0" w:space="0" w:color="auto"/>
      </w:divBdr>
    </w:div>
    <w:div w:id="1974483979">
      <w:bodyDiv w:val="1"/>
      <w:marLeft w:val="0"/>
      <w:marRight w:val="0"/>
      <w:marTop w:val="0"/>
      <w:marBottom w:val="0"/>
      <w:divBdr>
        <w:top w:val="none" w:sz="0" w:space="0" w:color="auto"/>
        <w:left w:val="none" w:sz="0" w:space="0" w:color="auto"/>
        <w:bottom w:val="none" w:sz="0" w:space="0" w:color="auto"/>
        <w:right w:val="none" w:sz="0" w:space="0" w:color="auto"/>
      </w:divBdr>
    </w:div>
    <w:div w:id="2025597152">
      <w:bodyDiv w:val="1"/>
      <w:marLeft w:val="0"/>
      <w:marRight w:val="0"/>
      <w:marTop w:val="0"/>
      <w:marBottom w:val="0"/>
      <w:divBdr>
        <w:top w:val="none" w:sz="0" w:space="0" w:color="auto"/>
        <w:left w:val="none" w:sz="0" w:space="0" w:color="auto"/>
        <w:bottom w:val="none" w:sz="0" w:space="0" w:color="auto"/>
        <w:right w:val="none" w:sz="0" w:space="0" w:color="auto"/>
      </w:divBdr>
    </w:div>
    <w:div w:id="2061588160">
      <w:bodyDiv w:val="1"/>
      <w:marLeft w:val="0"/>
      <w:marRight w:val="0"/>
      <w:marTop w:val="0"/>
      <w:marBottom w:val="0"/>
      <w:divBdr>
        <w:top w:val="none" w:sz="0" w:space="0" w:color="auto"/>
        <w:left w:val="none" w:sz="0" w:space="0" w:color="auto"/>
        <w:bottom w:val="none" w:sz="0" w:space="0" w:color="auto"/>
        <w:right w:val="none" w:sz="0" w:space="0" w:color="auto"/>
      </w:divBdr>
    </w:div>
    <w:div w:id="2076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S:/Final%20products/Submissions/Submissions%202018/Discussion%20Paper%20-%20Remote%20Employment%20and%20Participation/Community%20Development%20Programme_discussion%20paper%20submission%20FINAL.doc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www.amsant.org.au/apont/wp-content/uploads/2017/07/RDES-Report_Online.pdf" TargetMode="External"/><Relationship Id="rId13" Type="http://schemas.openxmlformats.org/officeDocument/2006/relationships/hyperlink" Target="http://www.abc.net.au/radio/programs/am/remote-work-for-dole-participants-penalised-domestic-violence/9342378" TargetMode="External"/><Relationship Id="rId18" Type="http://schemas.openxmlformats.org/officeDocument/2006/relationships/hyperlink" Target="http://caepr.cass.anu.edu.au/sites/default/files/docs/CAEPR_Topical_Issues_2_2016_0.pdf" TargetMode="External"/><Relationship Id="rId26" Type="http://schemas.openxmlformats.org/officeDocument/2006/relationships/hyperlink" Target="http://www.amsant.org.au/apont/wp-content/uploads/2017/07/RDES-Report_Online.pdf" TargetMode="External"/><Relationship Id="rId3" Type="http://schemas.openxmlformats.org/officeDocument/2006/relationships/hyperlink" Target="https://www.humanrights.gov.au/our-work/aboriginal-and-torres-strait-islander-social-justice/publications/social-justice-and-nati-1" TargetMode="External"/><Relationship Id="rId21" Type="http://schemas.openxmlformats.org/officeDocument/2006/relationships/hyperlink" Target="http://fwtdp.org.au/rap-resources/practice-resources/trauma-informed-care" TargetMode="External"/><Relationship Id="rId7" Type="http://schemas.openxmlformats.org/officeDocument/2006/relationships/hyperlink" Target="https://ministers.pmc.gov.au/scullion/2017/cdp-hits-major-milestone-remote-jobseekers" TargetMode="External"/><Relationship Id="rId12" Type="http://schemas.openxmlformats.org/officeDocument/2006/relationships/hyperlink" Target="http://www.abc.net.au/radio/programs/am/remote-work-for-dole-participants-penalised-domestic-violence/9342378" TargetMode="External"/><Relationship Id="rId17" Type="http://schemas.openxmlformats.org/officeDocument/2006/relationships/hyperlink" Target="http://www.amsant.org.au/apont/wp-content/uploads/2017/07/RDES-Report_Online.pdf" TargetMode="External"/><Relationship Id="rId25" Type="http://schemas.openxmlformats.org/officeDocument/2006/relationships/hyperlink" Target="https://www.clc.org.au/Remote-Employment-Program/CDP-Background-briefing-April-2017.docx" TargetMode="External"/><Relationship Id="rId33" Type="http://schemas.openxmlformats.org/officeDocument/2006/relationships/hyperlink" Target="http://www.amsant.org.au/apont/wp-content/uploads/2017/07/RDES-Report_Online.pdf" TargetMode="External"/><Relationship Id="rId2" Type="http://schemas.openxmlformats.org/officeDocument/2006/relationships/hyperlink" Target="https://www.humanrights.gov.au/our-work/aboriginal-and-torres-strait-islander-social-justice/publications/social-justice-and-nati-1" TargetMode="External"/><Relationship Id="rId16" Type="http://schemas.openxmlformats.org/officeDocument/2006/relationships/hyperlink" Target="http://www.amsant.org.au/apont/wp-content/uploads/2017/07/RDES-Report_Online.pdf" TargetMode="External"/><Relationship Id="rId20" Type="http://schemas.openxmlformats.org/officeDocument/2006/relationships/hyperlink" Target="http://www.amsant.org.au/apont/wp-content/uploads/2017/07/RDES-Report_Online.pdf" TargetMode="External"/><Relationship Id="rId29" Type="http://schemas.openxmlformats.org/officeDocument/2006/relationships/hyperlink" Target="http://www.amsant.org.au/apont/wp-content/uploads/2017/07/RDES-Report_Online.pdf" TargetMode="External"/><Relationship Id="rId1" Type="http://schemas.openxmlformats.org/officeDocument/2006/relationships/hyperlink" Target="https://www.clc.org.au/Remote-Employment-Program/CDP-Background-briefing-April-2017.docx" TargetMode="External"/><Relationship Id="rId6" Type="http://schemas.openxmlformats.org/officeDocument/2006/relationships/hyperlink" Target="https://www.humanrights.gov.au/our-work/aboriginal-and-torres-strait-islander-social-justice/publications/social-justice-and-nati-1" TargetMode="External"/><Relationship Id="rId11" Type="http://schemas.openxmlformats.org/officeDocument/2006/relationships/hyperlink" Target="http://www.amsant.org.au/apont/wp-content/uploads/2017/07/RDES-Report_Online.pdf" TargetMode="External"/><Relationship Id="rId24" Type="http://schemas.openxmlformats.org/officeDocument/2006/relationships/hyperlink" Target="https://www.pmc.gov.au/resource-centre/indigenous-affairs/discussion-paper-remote-employment-and-participation" TargetMode="External"/><Relationship Id="rId32" Type="http://schemas.openxmlformats.org/officeDocument/2006/relationships/hyperlink" Target="http://caepr.cass.anu.edu.au/research/publications/cashless-debit-card-evaluation-does-it-really-prove-success" TargetMode="External"/><Relationship Id="rId5" Type="http://schemas.openxmlformats.org/officeDocument/2006/relationships/hyperlink" Target="https://www.clc.org.au/Remote-Employment-Program/CDP-Background-briefing-April-2017.docx" TargetMode="External"/><Relationship Id="rId15" Type="http://schemas.openxmlformats.org/officeDocument/2006/relationships/hyperlink" Target="http://www.amsant.org.au/apont/wp-content/uploads/2017/07/RDES-Report_Online.pdf" TargetMode="External"/><Relationship Id="rId23" Type="http://schemas.openxmlformats.org/officeDocument/2006/relationships/hyperlink" Target="https://www.pmc.gov.au/resource-centre/indigenous-affairs/discussion-paper-remote-employment-and-participation" TargetMode="External"/><Relationship Id="rId28" Type="http://schemas.openxmlformats.org/officeDocument/2006/relationships/hyperlink" Target="https://www.aph.gov.au/Parliamentary_Business/Committees/Senate/Finance_and_Public_Administration/CDP/Report" TargetMode="External"/><Relationship Id="rId10" Type="http://schemas.openxmlformats.org/officeDocument/2006/relationships/hyperlink" Target="https://www.clc.org.au/Remote-Employment-Program/CDP-Background-briefing-April-2017.docx" TargetMode="External"/><Relationship Id="rId19" Type="http://schemas.openxmlformats.org/officeDocument/2006/relationships/hyperlink" Target="http://www.amsant.org.au/apont/wp-content/uploads/2017/07/RDES-Report_Online.pdf" TargetMode="External"/><Relationship Id="rId31" Type="http://schemas.openxmlformats.org/officeDocument/2006/relationships/hyperlink" Target="https://www.theguardian.com/australia-news/2018/jan/12/family-violence-rates-rise-in-kimberley-towns-with-cashless-welfare" TargetMode="External"/><Relationship Id="rId4" Type="http://schemas.openxmlformats.org/officeDocument/2006/relationships/hyperlink" Target="https://www.humanrights.gov.au/our-work/aboriginal-and-torres-strait-islander-social-justice/publications/social-justice-and-nati-1" TargetMode="External"/><Relationship Id="rId9" Type="http://schemas.openxmlformats.org/officeDocument/2006/relationships/hyperlink" Target="https://www.aph.gov.au/Parliamentary_Business/Committees/Senate/Finance_and_Public_Administration/Social_Security/Submissions" TargetMode="External"/><Relationship Id="rId14" Type="http://schemas.openxmlformats.org/officeDocument/2006/relationships/hyperlink" Target="http://www.abc.net.au/radio/programs/am/remote-work-for-dole-participants-penalised-domestic-violence/9342378" TargetMode="External"/><Relationship Id="rId22" Type="http://schemas.openxmlformats.org/officeDocument/2006/relationships/hyperlink" Target="https://www.humanrights.gov.au/our-work/aboriginal-and-torres-strait-islander-social-justice/publications/social-justice-report-3" TargetMode="External"/><Relationship Id="rId27" Type="http://schemas.openxmlformats.org/officeDocument/2006/relationships/hyperlink" Target="https://www.theguardian.com/australia-news/2016/may/14/glowing-review-of-indigenous-protected-areas-leaves-sector-proud-but-perplexed" TargetMode="External"/><Relationship Id="rId30" Type="http://schemas.openxmlformats.org/officeDocument/2006/relationships/hyperlink" Target="https://www.pmc.gov.au/resource-centre/indigenous-affairs/discussion-paper-remote-employment-and-particip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FEB2622FC73241B62C7C624CEE521F" ma:contentTypeVersion="73" ma:contentTypeDescription="Create a new document." ma:contentTypeScope="" ma:versionID="7de1bd8da8792fcb861eb3f0f89fbe13">
  <xsd:schema xmlns:xsd="http://www.w3.org/2001/XMLSchema" xmlns:xs="http://www.w3.org/2001/XMLSchema" xmlns:p="http://schemas.microsoft.com/office/2006/metadata/properties" xmlns:ns2="57f1fb52-79b9-4278-9d54-1e5db41bfcda" xmlns:ns3="6500fe01-343b-4fb9-a1b0-68ac19d62e01" xmlns:ns4="a6ffb128-e94a-4924-af16-68c2b3b917e8" xmlns:ns5="0d9443a9-c476-4e36-beff-9197fb30fe37" targetNamespace="http://schemas.microsoft.com/office/2006/metadata/properties" ma:root="true" ma:fieldsID="e7105844e225e019013e31f1cf1bb998" ns2:_="" ns3:_="" ns4:_="" ns5:_="">
    <xsd:import namespace="57f1fb52-79b9-4278-9d54-1e5db41bfcda"/>
    <xsd:import namespace="6500fe01-343b-4fb9-a1b0-68ac19d62e01"/>
    <xsd:import namespace="a6ffb128-e94a-4924-af16-68c2b3b917e8"/>
    <xsd:import namespace="0d9443a9-c476-4e36-beff-9197fb30fe37"/>
    <xsd:element name="properties">
      <xsd:complexType>
        <xsd:sequence>
          <xsd:element name="documentManagement">
            <xsd:complexType>
              <xsd:all>
                <xsd:element ref="ns3:Divider" minOccurs="0"/>
                <xsd:element ref="ns2:Subdivider" minOccurs="0"/>
                <xsd:element ref="ns4:_Flow_SignoffStatus"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5:MediaServiceAutoTags" minOccurs="0"/>
                <xsd:element ref="ns5:MediaServiceOCR" minOccurs="0"/>
                <xsd:element ref="ns2:Year_x0020_Ending" minOccurs="0"/>
                <xsd:element ref="ns5:MediaServiceDateTaken" minOccurs="0"/>
                <xsd:element ref="ns5:MediaServiceAutoKeyPoints" minOccurs="0"/>
                <xsd:element ref="ns5: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Year_x0020_Ending" ma:index="32" nillable="true" ma:displayName="Year Ending" ma:description="End of financial year in which submission due." ma:format="DateOnly" ma:internalName="Year_x0020_Ending">
      <xsd:simpleType>
        <xsd:restriction base="dms:DateTime"/>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_Flow_SignoffStatus" ma:index="5" nillable="true" ma:displayName="Sign-off status" ma:hidden="true" ma:internalName="Sign_x002d_off_x0020_status" ma:readOnly="false">
      <xsd:simpleType>
        <xsd:restriction base="dms:Text"/>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9443a9-c476-4e36-beff-9197fb30fe37" elementFormDefault="qualified">
    <xsd:import namespace="http://schemas.microsoft.com/office/2006/documentManagement/types"/>
    <xsd:import namespace="http://schemas.microsoft.com/office/infopath/2007/PartnerControls"/>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Year_x0020_Ending xmlns="57f1fb52-79b9-4278-9d54-1e5db41bfcda" xsi:nil="true"/>
  </documentManagement>
</p:properties>
</file>

<file path=customXml/itemProps1.xml><?xml version="1.0" encoding="utf-8"?>
<ds:datastoreItem xmlns:ds="http://schemas.openxmlformats.org/officeDocument/2006/customXml" ds:itemID="{26C1E7B7-D3BC-4DDE-8E6B-26B660D7575A}">
  <ds:schemaRefs>
    <ds:schemaRef ds:uri="http://schemas.openxmlformats.org/officeDocument/2006/bibliography"/>
  </ds:schemaRefs>
</ds:datastoreItem>
</file>

<file path=customXml/itemProps2.xml><?xml version="1.0" encoding="utf-8"?>
<ds:datastoreItem xmlns:ds="http://schemas.openxmlformats.org/officeDocument/2006/customXml" ds:itemID="{A7E0DD68-1AB4-4309-8951-17F101B9AC56}"/>
</file>

<file path=customXml/itemProps3.xml><?xml version="1.0" encoding="utf-8"?>
<ds:datastoreItem xmlns:ds="http://schemas.openxmlformats.org/officeDocument/2006/customXml" ds:itemID="{A0B88578-7625-4D13-997E-48ABBA02AA2B}"/>
</file>

<file path=customXml/itemProps4.xml><?xml version="1.0" encoding="utf-8"?>
<ds:datastoreItem xmlns:ds="http://schemas.openxmlformats.org/officeDocument/2006/customXml" ds:itemID="{BD8402D7-86FA-4C19-BBB0-68F7699E844D}"/>
</file>

<file path=customXml/itemProps5.xml><?xml version="1.0" encoding="utf-8"?>
<ds:datastoreItem xmlns:ds="http://schemas.openxmlformats.org/officeDocument/2006/customXml" ds:itemID="{0300A3F5-78B0-4A53-8FAA-CD9905AAEF44}"/>
</file>

<file path=customXml/itemProps6.xml><?xml version="1.0" encoding="utf-8"?>
<ds:datastoreItem xmlns:ds="http://schemas.openxmlformats.org/officeDocument/2006/customXml" ds:itemID="{BF15D41D-D48C-4D95-BEE3-70B59CB1FCA0}"/>
</file>

<file path=customXml/itemProps7.xml><?xml version="1.0" encoding="utf-8"?>
<ds:datastoreItem xmlns:ds="http://schemas.openxmlformats.org/officeDocument/2006/customXml" ds:itemID="{AFD4464E-D69A-446A-99DB-52397BD4A4F4}"/>
</file>

<file path=docProps/app.xml><?xml version="1.0" encoding="utf-8"?>
<Properties xmlns="http://schemas.openxmlformats.org/officeDocument/2006/extended-properties" xmlns:vt="http://schemas.openxmlformats.org/officeDocument/2006/docPropsVTypes">
  <Template>Submission.dot</Template>
  <TotalTime>80</TotalTime>
  <Pages>22</Pages>
  <Words>6798</Words>
  <Characters>38503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45211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Morgan</dc:creator>
  <cp:keywords/>
  <cp:lastModifiedBy>Anna Lochhead-Sperling</cp:lastModifiedBy>
  <cp:revision>56</cp:revision>
  <cp:lastPrinted>2018-02-09T04:24:00Z</cp:lastPrinted>
  <dcterms:created xsi:type="dcterms:W3CDTF">2018-02-08T07:06:00Z</dcterms:created>
  <dcterms:modified xsi:type="dcterms:W3CDTF">2018-02-09T04:28:00Z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0x01010044FEB2622FC73241B62C7C624CEE521F</vt:lpwstr>
  </property>
  <property fmtid="{D5CDD505-2E9C-101B-9397-08002B2CF9AE}" pid="3" name="DocSet Type">
    <vt:lpwstr>Submission</vt:lpwstr>
  </property>
  <property fmtid="{D5CDD505-2E9C-101B-9397-08002B2CF9AE}" pid="4" name="Order">
    <vt:r8>100</vt:r8>
  </property>
  <property fmtid="{D5CDD505-2E9C-101B-9397-08002B2CF9AE}" pid="5" name="Business Unit">
    <vt:lpwstr>Policy</vt:lpwstr>
  </property>
  <property fmtid="{D5CDD505-2E9C-101B-9397-08002B2CF9AE}" pid="6" name="DocSet Check">
    <vt:lpwstr/>
  </property>
  <property fmtid="{D5CDD505-2E9C-101B-9397-08002B2CF9AE}" pid="7" name="Official Closing Date">
    <vt:filetime>2017-12-31T13:00:00Z</vt:filetime>
  </property>
  <property fmtid="{D5CDD505-2E9C-101B-9397-08002B2CF9AE}" pid="8" name="Library">
    <vt:lpwstr>Submissions</vt:lpwstr>
  </property>
  <property fmtid="{D5CDD505-2E9C-101B-9397-08002B2CF9AE}" pid="9" name="TaxKeyword">
    <vt:lpwstr/>
  </property>
  <property fmtid="{D5CDD505-2E9C-101B-9397-08002B2CF9AE}" pid="10" name="Document Type">
    <vt:lpwstr/>
  </property>
</Properties>
</file>