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C4F5" w14:textId="108184A3" w:rsidR="00B368D8" w:rsidRDefault="00B368D8">
      <w:r>
        <w:rPr>
          <w:noProof/>
        </w:rPr>
        <w:drawing>
          <wp:inline distT="0" distB="0" distL="0" distR="0" wp14:anchorId="53CA27F2" wp14:editId="607071C3">
            <wp:extent cx="5759450" cy="1959610"/>
            <wp:effectExtent l="0" t="0" r="6350" b="0"/>
            <wp:docPr id="4" name="Immagine 4" descr="Banner design (yellow strip on dark blue background with geometric design made up of blue, green, grey and red triangles).&#10;&#10;Title: Building a successful multigenerational workplace – A practical guide for organis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Banner design (yellow strip on dark blue background with geometric design made up of blue, green, grey and red triangles).&#10;&#10;Title: Building a successful multigenerational workplace – A practical guide for organisation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FF4D" w14:textId="77777777" w:rsidR="00B368D8" w:rsidRDefault="00B368D8" w:rsidP="004877CA"/>
    <w:p w14:paraId="518DFB47" w14:textId="24302E3F" w:rsidR="001D2A7B" w:rsidRDefault="001D2A7B" w:rsidP="001D2A7B">
      <w:r>
        <w:t xml:space="preserve">Australia’s population is </w:t>
      </w:r>
      <w:proofErr w:type="gramStart"/>
      <w:r>
        <w:t>ageing</w:t>
      </w:r>
      <w:proofErr w:type="gramEnd"/>
      <w:r>
        <w:t xml:space="preserve"> and Australians are living longer and healthier lives. Employees now span four, or even five generations. More workplaces report they have an older workforce, with over 19% of Australian businesses stating that more than half their workforce is over 50 years old.</w:t>
      </w:r>
      <w:r>
        <w:rPr>
          <w:rStyle w:val="Rimandonotaapidipagina"/>
        </w:rPr>
        <w:footnoteReference w:id="1"/>
      </w:r>
    </w:p>
    <w:p w14:paraId="4EEDA6DD" w14:textId="77777777" w:rsidR="001D2A7B" w:rsidRDefault="001D2A7B" w:rsidP="001D2A7B">
      <w:r>
        <w:t>However, recent research indicates that ageism continues to be an issue in many workplaces. The age at which workers are considered ‘older’ is becoming progressively younger, and about a quarter of Australian businesses say they are reluctant to hire older workers.</w:t>
      </w:r>
      <w:r>
        <w:rPr>
          <w:rStyle w:val="Rimandonotaapidipagina"/>
        </w:rPr>
        <w:footnoteReference w:id="2"/>
      </w:r>
    </w:p>
    <w:p w14:paraId="0E273E7C" w14:textId="77777777" w:rsidR="001D2A7B" w:rsidRDefault="001D2A7B" w:rsidP="001D2A7B">
      <w:r>
        <w:t>Employers have a legal responsibility to prevent age discrimination in the workplace, but beyond that, managing multigenerational teams and ageism is critical to ensuring a productive and high</w:t>
      </w:r>
      <w:r>
        <w:rPr>
          <w:rFonts w:ascii="Cambria Math" w:hAnsi="Cambria Math" w:cs="Cambria Math"/>
        </w:rPr>
        <w:t>‑</w:t>
      </w:r>
      <w:r>
        <w:t>performing workforce.</w:t>
      </w:r>
    </w:p>
    <w:p w14:paraId="73420B26" w14:textId="37D99942" w:rsidR="001D2A7B" w:rsidRDefault="001D2A7B" w:rsidP="001D2A7B">
      <w:r>
        <w:t xml:space="preserve">Retaining older workers and tapping into the benefits of a multigenerational workforce provides a range of advantages for businesses and </w:t>
      </w:r>
      <w:proofErr w:type="spellStart"/>
      <w:r>
        <w:t>organisations</w:t>
      </w:r>
      <w:proofErr w:type="spellEnd"/>
      <w:r>
        <w:t xml:space="preserve">, including the retention of </w:t>
      </w:r>
      <w:proofErr w:type="spellStart"/>
      <w:r>
        <w:t>organisational</w:t>
      </w:r>
      <w:proofErr w:type="spellEnd"/>
      <w:r>
        <w:t xml:space="preserve"> knowledge, greater diversity of skills and ideas, and enhanced productivity and innovation.</w:t>
      </w:r>
    </w:p>
    <w:p w14:paraId="6CF657E9" w14:textId="5A88FC4E" w:rsidR="0069314A" w:rsidRDefault="001D2A7B" w:rsidP="001D2A7B">
      <w:pPr>
        <w:spacing w:after="360"/>
      </w:pPr>
      <w:r>
        <w:t>There are many ways business leadership, managers and human resources teams can encourage an inclusive workforce and help reduce age discrimination.</w:t>
      </w:r>
    </w:p>
    <w:p w14:paraId="544428E8" w14:textId="50418868" w:rsidR="004877CA" w:rsidRDefault="000F0EE3" w:rsidP="001D2A7B">
      <w:pPr>
        <w:spacing w:after="360"/>
      </w:pPr>
      <w:r>
        <w:t>____________________________________________________________________________________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3936"/>
        <w:gridCol w:w="184"/>
        <w:gridCol w:w="2671"/>
        <w:gridCol w:w="248"/>
        <w:gridCol w:w="2031"/>
      </w:tblGrid>
      <w:tr w:rsidR="004877CA" w14:paraId="71645318" w14:textId="77777777" w:rsidTr="004877CA">
        <w:trPr>
          <w:jc w:val="center"/>
        </w:trPr>
        <w:tc>
          <w:tcPr>
            <w:tcW w:w="3936" w:type="dxa"/>
            <w:vAlign w:val="center"/>
          </w:tcPr>
          <w:p w14:paraId="1FAF83C9" w14:textId="61BBF8B2" w:rsidR="004877CA" w:rsidRDefault="004877CA" w:rsidP="0069314A">
            <w:r w:rsidRPr="0069314A">
              <w:rPr>
                <w:sz w:val="20"/>
              </w:rPr>
              <w:t xml:space="preserve">Visit our online resource hub to access free resources for employers and employees at </w:t>
            </w:r>
            <w:hyperlink r:id="rId8" w:history="1">
              <w:r w:rsidRPr="0069314A">
                <w:rPr>
                  <w:rStyle w:val="Collegamentoipertestuale"/>
                  <w:sz w:val="20"/>
                </w:rPr>
                <w:t>www.humanrights.gov.au/olderworkers</w:t>
              </w:r>
            </w:hyperlink>
            <w:r w:rsidRPr="0069314A">
              <w:t>.</w:t>
            </w:r>
          </w:p>
        </w:tc>
        <w:tc>
          <w:tcPr>
            <w:tcW w:w="184" w:type="dxa"/>
          </w:tcPr>
          <w:p w14:paraId="26997A73" w14:textId="77777777" w:rsidR="004877CA" w:rsidRDefault="004877CA" w:rsidP="0069314A">
            <w:pPr>
              <w:spacing w:after="360"/>
              <w:jc w:val="center"/>
              <w:rPr>
                <w:noProof/>
              </w:rPr>
            </w:pPr>
          </w:p>
        </w:tc>
        <w:tc>
          <w:tcPr>
            <w:tcW w:w="2671" w:type="dxa"/>
            <w:vAlign w:val="center"/>
          </w:tcPr>
          <w:p w14:paraId="2B5F757C" w14:textId="27C408FC" w:rsidR="004877CA" w:rsidRDefault="004877CA" w:rsidP="0069314A">
            <w:pPr>
              <w:spacing w:after="360"/>
              <w:jc w:val="center"/>
            </w:pPr>
            <w:r>
              <w:rPr>
                <w:noProof/>
              </w:rPr>
              <w:drawing>
                <wp:inline distT="0" distB="0" distL="0" distR="0" wp14:anchorId="6E63218F" wp14:editId="5400F989">
                  <wp:extent cx="1500027" cy="509662"/>
                  <wp:effectExtent l="0" t="0" r="0" b="0"/>
                  <wp:docPr id="5" name="Immagine 5" descr="Australian Human Rights Commiss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Australian Human Rights Commission 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96" cy="51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0070E4CF" w14:textId="77777777" w:rsidR="004877CA" w:rsidRDefault="004877CA" w:rsidP="0069314A">
            <w:pPr>
              <w:spacing w:after="360"/>
              <w:jc w:val="center"/>
              <w:rPr>
                <w:noProof/>
              </w:rPr>
            </w:pPr>
          </w:p>
        </w:tc>
        <w:tc>
          <w:tcPr>
            <w:tcW w:w="2031" w:type="dxa"/>
            <w:tcBorders>
              <w:left w:val="nil"/>
            </w:tcBorders>
            <w:vAlign w:val="center"/>
          </w:tcPr>
          <w:p w14:paraId="082AEA1F" w14:textId="00EC3319" w:rsidR="004877CA" w:rsidRDefault="004877CA" w:rsidP="0069314A">
            <w:pPr>
              <w:spacing w:after="360"/>
              <w:jc w:val="center"/>
            </w:pPr>
            <w:r>
              <w:rPr>
                <w:noProof/>
              </w:rPr>
              <w:drawing>
                <wp:inline distT="0" distB="0" distL="0" distR="0" wp14:anchorId="7405334B" wp14:editId="02FA3E78">
                  <wp:extent cx="1181100" cy="850900"/>
                  <wp:effectExtent l="0" t="0" r="0" b="0"/>
                  <wp:docPr id="7" name="Immagine 7" descr="NSW Government (Waratah) logo with the words &quot;Proudly funded by&quot; above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NSW Government (Waratah) logo with the words &quot;Proudly funded by&quot; above i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526D7" w14:textId="3A03B2B7" w:rsidR="00B368D8" w:rsidRDefault="00B368D8" w:rsidP="00B368D8"/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4"/>
      </w:tblGrid>
      <w:tr w:rsidR="001D2A7B" w:rsidRPr="001D2A7B" w14:paraId="6B879FB2" w14:textId="77777777" w:rsidTr="001D2A7B">
        <w:trPr>
          <w:trHeight w:val="2836"/>
          <w:jc w:val="center"/>
        </w:trPr>
        <w:tc>
          <w:tcPr>
            <w:tcW w:w="9014" w:type="dxa"/>
            <w:shd w:val="solid" w:color="F8B94C" w:fill="auto"/>
            <w:tcMar>
              <w:top w:w="454" w:type="dxa"/>
              <w:left w:w="454" w:type="dxa"/>
              <w:bottom w:w="482" w:type="dxa"/>
              <w:right w:w="454" w:type="dxa"/>
            </w:tcMar>
          </w:tcPr>
          <w:p w14:paraId="2B859F56" w14:textId="77777777" w:rsidR="001D2A7B" w:rsidRPr="00B368D8" w:rsidRDefault="001D2A7B" w:rsidP="00D06C2D">
            <w:pPr>
              <w:pStyle w:val="Titolo2"/>
            </w:pPr>
            <w:r w:rsidRPr="00B368D8">
              <w:t>Four key principles to developing an efficient multigenerational workplace:</w:t>
            </w:r>
          </w:p>
          <w:p w14:paraId="403E77EA" w14:textId="77777777" w:rsidR="001D2A7B" w:rsidRPr="001D2A7B" w:rsidRDefault="001D2A7B" w:rsidP="00D06C2D">
            <w:pPr>
              <w:pStyle w:val="ListParagraph1"/>
            </w:pPr>
            <w:r w:rsidRPr="001D2A7B">
              <w:t xml:space="preserve">The strengths and skills each employee </w:t>
            </w:r>
            <w:proofErr w:type="gramStart"/>
            <w:r w:rsidRPr="001D2A7B">
              <w:t>brings</w:t>
            </w:r>
            <w:proofErr w:type="gramEnd"/>
            <w:r w:rsidRPr="001D2A7B">
              <w:t xml:space="preserve"> to the team are more important than their age or generation.</w:t>
            </w:r>
          </w:p>
          <w:p w14:paraId="378B2566" w14:textId="77777777" w:rsidR="001D2A7B" w:rsidRPr="001D2A7B" w:rsidRDefault="001D2A7B" w:rsidP="00D06C2D">
            <w:pPr>
              <w:pStyle w:val="ListParagraph1"/>
            </w:pPr>
            <w:r w:rsidRPr="001D2A7B">
              <w:t>Work with all team members based on their particular strengths and skills.</w:t>
            </w:r>
          </w:p>
          <w:p w14:paraId="70268847" w14:textId="77777777" w:rsidR="001D2A7B" w:rsidRPr="001D2A7B" w:rsidRDefault="001D2A7B" w:rsidP="00D06C2D">
            <w:pPr>
              <w:pStyle w:val="ListParagraph1"/>
            </w:pPr>
            <w:r w:rsidRPr="001D2A7B">
              <w:t>Develop clear policies and implement them.</w:t>
            </w:r>
          </w:p>
          <w:p w14:paraId="1146FDE9" w14:textId="77777777" w:rsidR="001D2A7B" w:rsidRDefault="001D2A7B" w:rsidP="00D06C2D">
            <w:pPr>
              <w:pStyle w:val="ListParagraph1"/>
            </w:pPr>
            <w:r w:rsidRPr="001D2A7B">
              <w:t>Ensure your workplace supports and values workers of all ages.</w:t>
            </w:r>
          </w:p>
        </w:tc>
      </w:tr>
    </w:tbl>
    <w:p w14:paraId="4D065784" w14:textId="77777777" w:rsidR="001D2A7B" w:rsidRDefault="001D2A7B" w:rsidP="001D2A7B">
      <w:pPr>
        <w:spacing w:line="288" w:lineRule="auto"/>
        <w:rPr>
          <w:sz w:val="20"/>
        </w:rPr>
      </w:pPr>
    </w:p>
    <w:p w14:paraId="07583381" w14:textId="77777777" w:rsidR="001D2A7B" w:rsidRDefault="001D2A7B" w:rsidP="001D2A7B">
      <w:pPr>
        <w:pStyle w:val="Titolo1"/>
      </w:pPr>
      <w:r>
        <w:t>Leaders can demonstrate their commitment to building an inclusive and diverse workplace by:</w:t>
      </w:r>
    </w:p>
    <w:p w14:paraId="5DBC9974" w14:textId="77777777" w:rsidR="001D2A7B" w:rsidRDefault="001D2A7B" w:rsidP="001D2A7B">
      <w:pPr>
        <w:pStyle w:val="ListParagraph"/>
      </w:pPr>
      <w:r>
        <w:t>Developing a strategy for managing a multigenerational workforce which includes policies around recruitment, employee engagement, internal communications, collaboration and performance.</w:t>
      </w:r>
    </w:p>
    <w:p w14:paraId="2757DCD2" w14:textId="77777777" w:rsidR="001D2A7B" w:rsidRDefault="001D2A7B" w:rsidP="001D2A7B">
      <w:pPr>
        <w:pStyle w:val="ListParagraph"/>
      </w:pPr>
      <w:r>
        <w:t>Having clear policies about age discrimination, communicating these to managers and staff, and regularly checking that the practices reflect the policies.</w:t>
      </w:r>
    </w:p>
    <w:p w14:paraId="70BF2A6B" w14:textId="77777777" w:rsidR="001D2A7B" w:rsidRDefault="001D2A7B" w:rsidP="001D2A7B">
      <w:pPr>
        <w:pStyle w:val="ListParagraph"/>
      </w:pPr>
      <w:r>
        <w:t>Encouraging a positive and inclusive culture that respects individual differences with no tolerance for discrimination or harassment.</w:t>
      </w:r>
    </w:p>
    <w:p w14:paraId="70CB4BAC" w14:textId="77777777" w:rsidR="001D2A7B" w:rsidRDefault="001D2A7B" w:rsidP="001D2A7B">
      <w:pPr>
        <w:pStyle w:val="ListParagraph"/>
      </w:pPr>
      <w:r>
        <w:t>Ensuring line managers are supported by providing them with training on building and managing age-diverse teams.</w:t>
      </w:r>
    </w:p>
    <w:p w14:paraId="4222E89D" w14:textId="77777777" w:rsidR="001D2A7B" w:rsidRDefault="001D2A7B" w:rsidP="001D2A7B">
      <w:pPr>
        <w:pStyle w:val="ListParagraph"/>
      </w:pPr>
      <w:r>
        <w:t>Ensuring older workers have the same opportunities to access training, progression, mentoring and leadership as workers of other ages. Consider tracking these by age cohorts so you can monitor progress.</w:t>
      </w:r>
    </w:p>
    <w:p w14:paraId="5042B4DD" w14:textId="6F2D1BA1" w:rsidR="001D2A7B" w:rsidRDefault="001D2A7B" w:rsidP="001D2A7B">
      <w:pPr>
        <w:pStyle w:val="ListParagraph"/>
      </w:pPr>
      <w:r>
        <w:t xml:space="preserve">Communicating </w:t>
      </w:r>
      <w:proofErr w:type="spellStart"/>
      <w:r>
        <w:t>organisational</w:t>
      </w:r>
      <w:proofErr w:type="spellEnd"/>
      <w:r>
        <w:t xml:space="preserve"> values, goals and performance transparently.</w:t>
      </w:r>
    </w:p>
    <w:p w14:paraId="3089EF04" w14:textId="36A34C4A" w:rsidR="00B368D8" w:rsidRDefault="00B368D8">
      <w:pPr>
        <w:keepLines w:val="0"/>
        <w:widowControl/>
        <w:suppressAutoHyphens w:val="0"/>
        <w:autoSpaceDE/>
        <w:autoSpaceDN/>
        <w:adjustRightInd/>
        <w:spacing w:after="0" w:line="240" w:lineRule="auto"/>
        <w:textAlignment w:val="auto"/>
      </w:pPr>
      <w:r>
        <w:br w:type="page"/>
      </w:r>
    </w:p>
    <w:p w14:paraId="2A21565B" w14:textId="77777777" w:rsidR="001D2A7B" w:rsidRDefault="001D2A7B" w:rsidP="001D2A7B">
      <w:pPr>
        <w:pStyle w:val="ListParagraph"/>
      </w:pPr>
      <w:r>
        <w:lastRenderedPageBreak/>
        <w:t>Offering secure contracts to workers where possible, regardless of their age.</w:t>
      </w:r>
    </w:p>
    <w:p w14:paraId="5BFAB341" w14:textId="77777777" w:rsidR="001D2A7B" w:rsidRDefault="001D2A7B" w:rsidP="001D2A7B">
      <w:pPr>
        <w:pStyle w:val="ListParagraph"/>
      </w:pPr>
      <w:r>
        <w:t xml:space="preserve">Ensuring team members have clearly defined roles and career pathways within the </w:t>
      </w:r>
      <w:proofErr w:type="spellStart"/>
      <w:r>
        <w:t>organisation</w:t>
      </w:r>
      <w:proofErr w:type="spellEnd"/>
      <w:r>
        <w:t>.</w:t>
      </w:r>
    </w:p>
    <w:p w14:paraId="3BBBA86B" w14:textId="77777777" w:rsidR="001D2A7B" w:rsidRDefault="001D2A7B" w:rsidP="001D2A7B">
      <w:pPr>
        <w:pStyle w:val="ListParagraph"/>
      </w:pPr>
      <w:r>
        <w:t xml:space="preserve">Clearly communicating to employees how the </w:t>
      </w:r>
      <w:proofErr w:type="spellStart"/>
      <w:r>
        <w:t>organisation</w:t>
      </w:r>
      <w:proofErr w:type="spellEnd"/>
      <w:r>
        <w:t xml:space="preserve"> handles discrimination complaints. Employees should know who they can speak to if they are discriminated against, or witness discrimination, and what the process for handling that complaint might look like.</w:t>
      </w:r>
    </w:p>
    <w:p w14:paraId="2938E89D" w14:textId="77777777" w:rsidR="001D2A7B" w:rsidRDefault="001D2A7B" w:rsidP="001D2A7B">
      <w:pPr>
        <w:pStyle w:val="ListParagraph"/>
      </w:pPr>
      <w:r>
        <w:t xml:space="preserve">Ensuring that all workers have full and equal access to Work Health and Safety (WHS) and wellbeing </w:t>
      </w:r>
      <w:proofErr w:type="gramStart"/>
      <w:r>
        <w:t>support</w:t>
      </w:r>
      <w:proofErr w:type="gramEnd"/>
      <w:r>
        <w:t xml:space="preserve"> and that appropriate physical adjustments, equipment and other forms of adaptation are provided.</w:t>
      </w:r>
    </w:p>
    <w:p w14:paraId="07409D6A" w14:textId="77777777" w:rsidR="001D2A7B" w:rsidRDefault="001D2A7B" w:rsidP="001D2A7B">
      <w:pPr>
        <w:pStyle w:val="ListParagraph"/>
      </w:pPr>
      <w:r>
        <w:t>Having an age-neutral approach to flexible work, where possible, which is promoted to all staff.</w:t>
      </w:r>
    </w:p>
    <w:p w14:paraId="54E39ED5" w14:textId="77777777" w:rsidR="001D2A7B" w:rsidRDefault="001D2A7B" w:rsidP="001D2A7B">
      <w:pPr>
        <w:pStyle w:val="Titolo1"/>
      </w:pPr>
      <w:r>
        <w:t>Managers can encourage collaboration through effective communication and respectful engagement and by:</w:t>
      </w:r>
    </w:p>
    <w:p w14:paraId="3B513B7A" w14:textId="77777777" w:rsidR="001D2A7B" w:rsidRDefault="001D2A7B" w:rsidP="001D2A7B">
      <w:pPr>
        <w:pStyle w:val="ListParagraph"/>
      </w:pPr>
      <w:r>
        <w:t xml:space="preserve">Talking to all team members individually about their goals and </w:t>
      </w:r>
      <w:proofErr w:type="gramStart"/>
      <w:r>
        <w:t>aspirations, and</w:t>
      </w:r>
      <w:proofErr w:type="gramEnd"/>
      <w:r>
        <w:t xml:space="preserve"> investigating ways the </w:t>
      </w:r>
      <w:proofErr w:type="spellStart"/>
      <w:r>
        <w:t>organisation</w:t>
      </w:r>
      <w:proofErr w:type="spellEnd"/>
      <w:r>
        <w:t xml:space="preserve"> can support these.</w:t>
      </w:r>
    </w:p>
    <w:p w14:paraId="366398F4" w14:textId="77777777" w:rsidR="001D2A7B" w:rsidRDefault="001D2A7B" w:rsidP="001D2A7B">
      <w:pPr>
        <w:pStyle w:val="ListParagraph"/>
      </w:pPr>
      <w:r>
        <w:t xml:space="preserve">Consulting with older workers about their needs and preferences in the workplace. </w:t>
      </w:r>
    </w:p>
    <w:p w14:paraId="25EF961E" w14:textId="77777777" w:rsidR="001D2A7B" w:rsidRDefault="001D2A7B" w:rsidP="001D2A7B">
      <w:pPr>
        <w:pStyle w:val="ListParagraph"/>
      </w:pPr>
      <w:r>
        <w:t>Reminding team members of the benefits of diverse viewpoints.</w:t>
      </w:r>
    </w:p>
    <w:p w14:paraId="735ECFB1" w14:textId="77777777" w:rsidR="001D2A7B" w:rsidRDefault="001D2A7B" w:rsidP="001D2A7B">
      <w:pPr>
        <w:pStyle w:val="ListParagraph"/>
      </w:pPr>
      <w:r>
        <w:t>Creating opportunities for intergenerational mingling (</w:t>
      </w:r>
      <w:proofErr w:type="gramStart"/>
      <w:r>
        <w:t>e.g.</w:t>
      </w:r>
      <w:proofErr w:type="gramEnd"/>
      <w:r>
        <w:t xml:space="preserve"> through team building events, social events or projects that require cross-generational collaboration).</w:t>
      </w:r>
    </w:p>
    <w:p w14:paraId="1752AE7E" w14:textId="77777777" w:rsidR="001D2A7B" w:rsidRDefault="001D2A7B" w:rsidP="001D2A7B">
      <w:pPr>
        <w:pStyle w:val="ListParagraph"/>
      </w:pPr>
      <w:r>
        <w:t>Sharing routine and challenging tasks among your team members and ensuring all workers have the chance to learn new skills.</w:t>
      </w:r>
    </w:p>
    <w:p w14:paraId="59FCCE8B" w14:textId="77777777" w:rsidR="001D2A7B" w:rsidRDefault="001D2A7B" w:rsidP="001D2A7B">
      <w:pPr>
        <w:pStyle w:val="ListParagraph"/>
      </w:pPr>
      <w:r>
        <w:t xml:space="preserve">Designing roles for older people that </w:t>
      </w:r>
      <w:proofErr w:type="spellStart"/>
      <w:r>
        <w:t>maximise</w:t>
      </w:r>
      <w:proofErr w:type="spellEnd"/>
      <w:r>
        <w:t xml:space="preserve"> the opportunity to interact with colleagues, clients and stakeholders.</w:t>
      </w:r>
    </w:p>
    <w:p w14:paraId="528CA23B" w14:textId="77777777" w:rsidR="001D2A7B" w:rsidRDefault="001D2A7B" w:rsidP="001D2A7B">
      <w:pPr>
        <w:pStyle w:val="ListParagraph"/>
      </w:pPr>
      <w:r>
        <w:t>Ensuring all workers feel their opinions, ideas and experiences are valued.</w:t>
      </w:r>
    </w:p>
    <w:p w14:paraId="7838954F" w14:textId="77777777" w:rsidR="001D2A7B" w:rsidRDefault="001D2A7B" w:rsidP="001D2A7B">
      <w:pPr>
        <w:pStyle w:val="ListParagraph"/>
      </w:pPr>
      <w:r>
        <w:t>Being vigilant about not allowing ageist jokes in the workplace.</w:t>
      </w:r>
    </w:p>
    <w:p w14:paraId="2DC4FCC6" w14:textId="77777777" w:rsidR="001D2A7B" w:rsidRDefault="001D2A7B" w:rsidP="001D2A7B">
      <w:pPr>
        <w:pStyle w:val="ListParagraph"/>
      </w:pPr>
      <w:r>
        <w:t>Ensuring older workers have autonomy, variety in their work and opportunities for new experiences.</w:t>
      </w:r>
    </w:p>
    <w:p w14:paraId="7922022E" w14:textId="77777777" w:rsidR="001D2A7B" w:rsidRDefault="001D2A7B" w:rsidP="001D2A7B">
      <w:pPr>
        <w:pStyle w:val="ListParagraph"/>
      </w:pPr>
      <w:r>
        <w:lastRenderedPageBreak/>
        <w:t>Creating opportunities for older workers to share their knowledge and experience with other colleagues, including training and mentoring of younger or new staff.</w:t>
      </w:r>
    </w:p>
    <w:p w14:paraId="28BA9F24" w14:textId="687A4DBB" w:rsidR="001D2A7B" w:rsidRDefault="001D2A7B" w:rsidP="001D2A7B">
      <w:pPr>
        <w:pStyle w:val="ListParagraph"/>
      </w:pPr>
      <w:r>
        <w:t>Introducing reverse mentoring initiatives in which younger workers teach older ones, and cross-mentoring programs where older and younger workers mentor each other.</w:t>
      </w:r>
    </w:p>
    <w:p w14:paraId="1A77E872" w14:textId="77777777" w:rsidR="001D2A7B" w:rsidRDefault="001D2A7B" w:rsidP="001D2A7B">
      <w:pPr>
        <w:pStyle w:val="Titolo1"/>
      </w:pPr>
      <w:r>
        <w:t>Review your recruitment policy and practices</w:t>
      </w:r>
    </w:p>
    <w:p w14:paraId="051D1205" w14:textId="77777777" w:rsidR="001D2A7B" w:rsidRDefault="001D2A7B" w:rsidP="00B368D8">
      <w:r>
        <w:t xml:space="preserve">Recruitment is more than hiring the right person for the job. The way an </w:t>
      </w:r>
      <w:proofErr w:type="spellStart"/>
      <w:r>
        <w:t>organisation</w:t>
      </w:r>
      <w:proofErr w:type="spellEnd"/>
      <w:r>
        <w:t xml:space="preserve"> recruits new staff impacts the culture of that </w:t>
      </w:r>
      <w:proofErr w:type="spellStart"/>
      <w:r>
        <w:t>organisation</w:t>
      </w:r>
      <w:proofErr w:type="spellEnd"/>
      <w:r>
        <w:t xml:space="preserve">. A good recruitment process can enhance an </w:t>
      </w:r>
      <w:proofErr w:type="spellStart"/>
      <w:r>
        <w:t>organisation’s</w:t>
      </w:r>
      <w:proofErr w:type="spellEnd"/>
      <w:r>
        <w:t xml:space="preserve"> reputation from a market perspective, as well as from a potential candidate and employee perspective, which can ultimately help the </w:t>
      </w:r>
      <w:proofErr w:type="gramStart"/>
      <w:r>
        <w:t>business's</w:t>
      </w:r>
      <w:proofErr w:type="gramEnd"/>
      <w:r>
        <w:t xml:space="preserve"> bottom-line.</w:t>
      </w:r>
    </w:p>
    <w:p w14:paraId="4748EA8F" w14:textId="7E759AD4" w:rsidR="001D2A7B" w:rsidRDefault="001D2A7B" w:rsidP="00B368D8">
      <w:r>
        <w:t>Here are some tips for developing an inclusive recruitment process:</w:t>
      </w:r>
    </w:p>
    <w:p w14:paraId="535B5840" w14:textId="77777777" w:rsidR="001D2A7B" w:rsidRDefault="001D2A7B" w:rsidP="001D2A7B">
      <w:pPr>
        <w:pStyle w:val="ListParagraph"/>
      </w:pPr>
      <w:r>
        <w:t>Focus on the core duties of the job, not personal attributes, when advertising and interviewing for a new position.</w:t>
      </w:r>
    </w:p>
    <w:p w14:paraId="72556318" w14:textId="77777777" w:rsidR="001D2A7B" w:rsidRDefault="001D2A7B" w:rsidP="001D2A7B">
      <w:pPr>
        <w:pStyle w:val="ListParagraph"/>
      </w:pPr>
      <w:r>
        <w:t>Use inclusive language in job advertisements such as ‘people of all ages are encouraged to apply’ and avoid ageist terms such as ‘digital native preferred’ or ‘seeking an up-and-comer’.</w:t>
      </w:r>
    </w:p>
    <w:p w14:paraId="50C7735F" w14:textId="77777777" w:rsidR="001D2A7B" w:rsidRDefault="001D2A7B" w:rsidP="001D2A7B">
      <w:pPr>
        <w:pStyle w:val="ListParagraph"/>
      </w:pPr>
      <w:r>
        <w:t>Include people from a range of ages and backgrounds on the interview panel.</w:t>
      </w:r>
    </w:p>
    <w:p w14:paraId="0EA1F3D5" w14:textId="77777777" w:rsidR="001D2A7B" w:rsidRDefault="001D2A7B" w:rsidP="001D2A7B">
      <w:pPr>
        <w:pStyle w:val="ListParagraph"/>
      </w:pPr>
      <w:r>
        <w:t>Reflect on whether you have any ageist assumptions before reviewing resumes and interviewing candidates. For example, ‘older people can’t do digital’ or ‘this candidate is too experienced for the role’.</w:t>
      </w:r>
    </w:p>
    <w:p w14:paraId="7613F091" w14:textId="77777777" w:rsidR="001D2A7B" w:rsidRDefault="001D2A7B" w:rsidP="001D2A7B">
      <w:pPr>
        <w:pStyle w:val="ListParagraph"/>
      </w:pPr>
      <w:r>
        <w:t>When using a recruiter or a recruitment agency, be explicit that you expect to be provided with resumes from people of all ages.</w:t>
      </w:r>
    </w:p>
    <w:p w14:paraId="7600E1BC" w14:textId="4C120507" w:rsidR="001D2A7B" w:rsidRDefault="001D2A7B" w:rsidP="001D2A7B">
      <w:pPr>
        <w:pStyle w:val="ListParagraph"/>
      </w:pPr>
      <w:r>
        <w:t>Do not ask for date of birth (or documents that contain this) until after the job has been offered and accepted—and then only if necessary for a work-related reason.</w:t>
      </w:r>
    </w:p>
    <w:p w14:paraId="6A57C1DF" w14:textId="43B56A2B" w:rsidR="00B368D8" w:rsidRDefault="00B368D8">
      <w:pPr>
        <w:keepLines w:val="0"/>
        <w:widowControl/>
        <w:suppressAutoHyphens w:val="0"/>
        <w:autoSpaceDE/>
        <w:autoSpaceDN/>
        <w:adjustRightInd/>
        <w:spacing w:after="0" w:line="240" w:lineRule="auto"/>
        <w:textAlignment w:val="auto"/>
      </w:pPr>
      <w:r>
        <w:br w:type="page"/>
      </w:r>
    </w:p>
    <w:p w14:paraId="1AE0DB44" w14:textId="760C2C72" w:rsidR="001D2A7B" w:rsidRDefault="001D2A7B" w:rsidP="001D2A7B">
      <w:pPr>
        <w:pStyle w:val="Titolo1"/>
      </w:pPr>
      <w:r>
        <w:lastRenderedPageBreak/>
        <w:t>Avoid ageist assumptions</w:t>
      </w:r>
    </w:p>
    <w:p w14:paraId="3F487DD2" w14:textId="77777777" w:rsidR="001D2A7B" w:rsidRDefault="001D2A7B" w:rsidP="001D2A7B">
      <w:pPr>
        <w:pStyle w:val="ListParagraph"/>
      </w:pPr>
      <w:r>
        <w:t>Do not automatically select the oldest team members for redundancy.</w:t>
      </w:r>
    </w:p>
    <w:p w14:paraId="5B0FAB04" w14:textId="77777777" w:rsidR="001D2A7B" w:rsidRDefault="001D2A7B" w:rsidP="001D2A7B">
      <w:pPr>
        <w:pStyle w:val="ListParagraph"/>
      </w:pPr>
      <w:r>
        <w:t>Do not assume all older workers are winding down to retirement—many women, for example, see their 50s as a time to build their careers after raising children,</w:t>
      </w:r>
    </w:p>
    <w:p w14:paraId="0320AE78" w14:textId="77777777" w:rsidR="001D2A7B" w:rsidRDefault="001D2A7B" w:rsidP="001D2A7B">
      <w:pPr>
        <w:pStyle w:val="ListParagraph"/>
      </w:pPr>
      <w:r>
        <w:t>Do not apply policies to people with particular characteristics (</w:t>
      </w:r>
      <w:proofErr w:type="gramStart"/>
      <w:r>
        <w:t>e.g.</w:t>
      </w:r>
      <w:proofErr w:type="gramEnd"/>
      <w:r>
        <w:t xml:space="preserve"> over 50s or returning mothers or people with disability). In many cases a good policy, such as the right to flexibility, will appeal to a number of categories of workers.</w:t>
      </w:r>
    </w:p>
    <w:p w14:paraId="17D1E84B" w14:textId="77777777" w:rsidR="001D2A7B" w:rsidRDefault="001D2A7B" w:rsidP="001D2A7B">
      <w:pPr>
        <w:pStyle w:val="ListParagraph"/>
      </w:pPr>
      <w:r>
        <w:t xml:space="preserve">Be aware of intersectional issues such as age combined with gender. For example, older women may be more subject to inappropriate </w:t>
      </w:r>
      <w:proofErr w:type="spellStart"/>
      <w:r>
        <w:t>behaviour</w:t>
      </w:r>
      <w:proofErr w:type="spellEnd"/>
      <w:r>
        <w:t xml:space="preserve"> from colleagues and </w:t>
      </w:r>
      <w:proofErr w:type="gramStart"/>
      <w:r>
        <w:t>stakeholders, or</w:t>
      </w:r>
      <w:proofErr w:type="gramEnd"/>
      <w:r>
        <w:t xml:space="preserve"> may not receive the same respect as older men.</w:t>
      </w:r>
    </w:p>
    <w:p w14:paraId="7F0D4BC5" w14:textId="77777777" w:rsidR="001D2A7B" w:rsidRDefault="001D2A7B"/>
    <w:sectPr w:rsidR="001D2A7B" w:rsidSect="00865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A31A" w14:textId="77777777" w:rsidR="001F3876" w:rsidRDefault="001F3876" w:rsidP="005C2C57">
      <w:pPr>
        <w:spacing w:after="0" w:line="240" w:lineRule="auto"/>
      </w:pPr>
      <w:r>
        <w:separator/>
      </w:r>
    </w:p>
  </w:endnote>
  <w:endnote w:type="continuationSeparator" w:id="0">
    <w:p w14:paraId="1D2BB999" w14:textId="77777777" w:rsidR="001F3876" w:rsidRDefault="001F3876" w:rsidP="005C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________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6838914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1EB85F" w14:textId="3846513E" w:rsidR="005C2C57" w:rsidRDefault="005C2C57" w:rsidP="00954EE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F6D9B32" w14:textId="77777777" w:rsidR="005C2C57" w:rsidRDefault="005C2C57" w:rsidP="005C2C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2841528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318FB4" w14:textId="0BE44A3A" w:rsidR="005C2C57" w:rsidRDefault="005C2C57" w:rsidP="00954EE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B2E16A" w14:textId="77777777" w:rsidR="005C2C57" w:rsidRDefault="005C2C57" w:rsidP="005C2C5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5878" w14:textId="77777777" w:rsidR="003C119C" w:rsidRDefault="003C1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4624" w14:textId="77777777" w:rsidR="001F3876" w:rsidRDefault="001F3876" w:rsidP="005C2C57">
      <w:pPr>
        <w:spacing w:after="0" w:line="240" w:lineRule="auto"/>
      </w:pPr>
      <w:r>
        <w:separator/>
      </w:r>
    </w:p>
  </w:footnote>
  <w:footnote w:type="continuationSeparator" w:id="0">
    <w:p w14:paraId="3B9ECE8F" w14:textId="77777777" w:rsidR="001F3876" w:rsidRDefault="001F3876" w:rsidP="005C2C57">
      <w:pPr>
        <w:spacing w:after="0" w:line="240" w:lineRule="auto"/>
      </w:pPr>
      <w:r>
        <w:continuationSeparator/>
      </w:r>
    </w:p>
  </w:footnote>
  <w:footnote w:id="1">
    <w:p w14:paraId="6AC94FA6" w14:textId="77777777" w:rsidR="001D2A7B" w:rsidRDefault="001D2A7B" w:rsidP="001D2A7B">
      <w:pPr>
        <w:pStyle w:val="Noteapidipagina"/>
      </w:pPr>
      <w:r>
        <w:rPr>
          <w:vertAlign w:val="superscript"/>
        </w:rPr>
        <w:footnoteRef/>
      </w:r>
      <w:r>
        <w:tab/>
        <w:t>Australian Human Resources Institute (2021) ‘</w:t>
      </w:r>
      <w:hyperlink r:id="rId1" w:history="1">
        <w:r>
          <w:rPr>
            <w:rStyle w:val="Collegamentoipertestuale"/>
          </w:rPr>
          <w:t>Employing and Retaining Older Workers</w:t>
        </w:r>
      </w:hyperlink>
      <w:r>
        <w:t>’.</w:t>
      </w:r>
    </w:p>
  </w:footnote>
  <w:footnote w:id="2">
    <w:p w14:paraId="7F56B60A" w14:textId="2B91D868" w:rsidR="001D2A7B" w:rsidRDefault="001D2A7B" w:rsidP="001D2A7B">
      <w:pPr>
        <w:pStyle w:val="Noteapidipagina"/>
        <w:ind w:left="283" w:hanging="283"/>
      </w:pPr>
      <w:r>
        <w:rPr>
          <w:vertAlign w:val="superscript"/>
        </w:rPr>
        <w:footnoteRef/>
      </w:r>
      <w:r>
        <w:tab/>
        <w:t>Australian Human Resources Institute (2021) ‘</w:t>
      </w:r>
      <w:hyperlink r:id="rId2" w:history="1">
        <w:r>
          <w:rPr>
            <w:rStyle w:val="Collegamentoipertestuale"/>
          </w:rPr>
          <w:t>Employing and Retaining Older Workers</w:t>
        </w:r>
      </w:hyperlink>
      <w:r>
        <w:t>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5BBA" w14:textId="77777777" w:rsidR="003C119C" w:rsidRDefault="003C1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0453" w14:textId="2A8E00A0" w:rsidR="005C2C57" w:rsidRPr="005C2C57" w:rsidRDefault="005C2C57">
    <w:pPr>
      <w:pStyle w:val="Intestazione"/>
    </w:pPr>
    <w:r w:rsidRPr="005C2C57">
      <w:t>Australian Human Rights Commission</w:t>
    </w:r>
  </w:p>
  <w:p w14:paraId="24BAC428" w14:textId="53C2BA5C" w:rsidR="005C2C57" w:rsidRPr="003C119C" w:rsidRDefault="003C119C">
    <w:pPr>
      <w:pStyle w:val="Intestazione"/>
      <w:rPr>
        <w:rStyle w:val="Enfasigrassetto"/>
        <w:b w:val="0"/>
        <w:bCs w:val="0"/>
      </w:rPr>
    </w:pPr>
    <w:r w:rsidRPr="003C119C">
      <w:rPr>
        <w:rStyle w:val="Enfasigrassetto"/>
      </w:rPr>
      <w:t xml:space="preserve">A practical guide for </w:t>
    </w:r>
    <w:proofErr w:type="spellStart"/>
    <w:r w:rsidRPr="003C119C">
      <w:rPr>
        <w:rStyle w:val="Enfasigrassetto"/>
      </w:rPr>
      <w:t>organisations</w:t>
    </w:r>
    <w:proofErr w:type="spellEnd"/>
    <w:r w:rsidRPr="003C119C">
      <w:rPr>
        <w:rStyle w:val="Enfasigrassetto"/>
        <w:b w:val="0"/>
        <w:bCs w:val="0"/>
      </w:rPr>
      <w:t xml:space="preserve"> – </w:t>
    </w:r>
    <w:r w:rsidR="001D2A7B" w:rsidRPr="003C119C">
      <w:rPr>
        <w:rStyle w:val="Enfasigrassetto"/>
        <w:b w:val="0"/>
        <w:bCs w:val="0"/>
      </w:rPr>
      <w:t>Building a successful multigenerational workplace</w:t>
    </w:r>
  </w:p>
  <w:p w14:paraId="0DA24B67" w14:textId="26335E4D" w:rsidR="005C2C57" w:rsidRPr="00865284" w:rsidRDefault="005C2C57" w:rsidP="00865284">
    <w:pPr>
      <w:pStyle w:val="Intestazione"/>
      <w:rPr>
        <w:rStyle w:val="Enfasigrassetto"/>
        <w:b w:val="0"/>
        <w:bCs w:val="0"/>
      </w:rPr>
    </w:pPr>
  </w:p>
  <w:p w14:paraId="1BB56613" w14:textId="77777777" w:rsidR="005C2C57" w:rsidRPr="00865284" w:rsidRDefault="005C2C57" w:rsidP="00865284">
    <w:pPr>
      <w:pStyle w:val="Intestazione"/>
      <w:rPr>
        <w:rStyle w:val="Enfasigrassetto"/>
        <w:b w:val="0"/>
        <w:b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3812" w14:textId="77777777" w:rsidR="003C119C" w:rsidRDefault="003C1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669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A4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445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42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E6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0C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3E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3E0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4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2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61DDF"/>
    <w:multiLevelType w:val="hybridMultilevel"/>
    <w:tmpl w:val="5DF4D206"/>
    <w:lvl w:ilvl="0" w:tplc="B0FEAA7E">
      <w:start w:val="1"/>
      <w:numFmt w:val="decimal"/>
      <w:pStyle w:val="ListParagraph1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4FD7C55"/>
    <w:multiLevelType w:val="hybridMultilevel"/>
    <w:tmpl w:val="4A2A79E8"/>
    <w:lvl w:ilvl="0" w:tplc="C7BC199C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6"/>
    <w:rsid w:val="000F0EE3"/>
    <w:rsid w:val="0014135F"/>
    <w:rsid w:val="001D2A7B"/>
    <w:rsid w:val="001F3876"/>
    <w:rsid w:val="003045F9"/>
    <w:rsid w:val="0035559C"/>
    <w:rsid w:val="003B38D3"/>
    <w:rsid w:val="003C119C"/>
    <w:rsid w:val="004714E0"/>
    <w:rsid w:val="004877CA"/>
    <w:rsid w:val="00525B77"/>
    <w:rsid w:val="005C2C57"/>
    <w:rsid w:val="0069314A"/>
    <w:rsid w:val="00865284"/>
    <w:rsid w:val="00923184"/>
    <w:rsid w:val="00B368D8"/>
    <w:rsid w:val="00BE207A"/>
    <w:rsid w:val="00C97698"/>
    <w:rsid w:val="00D55F46"/>
    <w:rsid w:val="00F070CD"/>
    <w:rsid w:val="00F44C9E"/>
    <w:rsid w:val="00F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49BD5"/>
  <w15:chartTrackingRefBased/>
  <w15:docId w15:val="{531AEF91-F16C-1C48-B843-2F2096F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865284"/>
    <w:pPr>
      <w:keepLines/>
      <w:widowControl w:val="0"/>
      <w:suppressAutoHyphens/>
      <w:autoSpaceDE w:val="0"/>
      <w:autoSpaceDN w:val="0"/>
      <w:adjustRightInd w:val="0"/>
      <w:spacing w:after="170" w:line="264" w:lineRule="auto"/>
      <w:textAlignment w:val="center"/>
    </w:pPr>
    <w:rPr>
      <w:rFonts w:ascii="Open Sans" w:eastAsiaTheme="minorEastAsia" w:hAnsi="Open Sans" w:cs="Open Sans"/>
      <w:color w:val="00000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7240"/>
    <w:pPr>
      <w:keepNext/>
      <w:spacing w:before="360" w:after="360" w:line="240" w:lineRule="auto"/>
      <w:outlineLvl w:val="0"/>
    </w:pPr>
    <w:rPr>
      <w:rFonts w:ascii="Open Sans Light" w:eastAsiaTheme="majorEastAsia" w:hAnsi="Open Sans Light" w:cstheme="majorBidi"/>
      <w:color w:val="000044"/>
      <w:sz w:val="40"/>
      <w:szCs w:val="32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D55F46"/>
    <w:pPr>
      <w:spacing w:before="0" w:after="227" w:line="340" w:lineRule="atLeast"/>
      <w:outlineLvl w:val="1"/>
    </w:pPr>
    <w:rPr>
      <w:rFonts w:ascii="Open Sans" w:eastAsiaTheme="minorEastAsia" w:hAnsi="Open Sans" w:cs="Open Sans"/>
      <w:b/>
      <w:bCs/>
      <w:sz w:val="30"/>
      <w:szCs w:val="30"/>
    </w:rPr>
  </w:style>
  <w:style w:type="paragraph" w:styleId="Titolo3">
    <w:name w:val="heading 3"/>
    <w:basedOn w:val="Titolo1"/>
    <w:link w:val="Titolo3Carattere"/>
    <w:uiPriority w:val="99"/>
    <w:qFormat/>
    <w:rsid w:val="00D55F46"/>
    <w:pPr>
      <w:spacing w:before="283" w:after="57"/>
      <w:outlineLvl w:val="2"/>
    </w:pPr>
    <w:rPr>
      <w:rFonts w:ascii="Open Sans" w:eastAsiaTheme="minorEastAsia" w:hAnsi="Open Sans" w:cs="Open Sans"/>
      <w:caps/>
      <w:spacing w:val="3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loittetable">
    <w:name w:val="Deloitte table"/>
    <w:basedOn w:val="Tabellanormale"/>
    <w:uiPriority w:val="99"/>
    <w:rsid w:val="00525B77"/>
    <w:pPr>
      <w:spacing w:line="240" w:lineRule="atLeast"/>
    </w:pPr>
    <w:rPr>
      <w:rFonts w:ascii="Verdana" w:hAnsi="Verdana"/>
      <w:sz w:val="17"/>
      <w:szCs w:val="18"/>
      <w:lang w:val="en-AU"/>
    </w:rPr>
    <w:tblPr>
      <w:tblBorders>
        <w:top w:val="single" w:sz="4" w:space="0" w:color="A5A5A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A5A5A5" w:themeColor="accent3"/>
        </w:tcBorders>
      </w:tcPr>
    </w:tblStylePr>
  </w:style>
  <w:style w:type="table" w:customStyle="1" w:styleId="TabellaBlu">
    <w:name w:val="Tabella Blu"/>
    <w:basedOn w:val="Tabellanormale"/>
    <w:uiPriority w:val="99"/>
    <w:rsid w:val="003045F9"/>
    <w:rPr>
      <w:rFonts w:ascii="Open Sans" w:eastAsiaTheme="minorEastAsia" w:hAnsi="Open Sans"/>
      <w:sz w:val="20"/>
      <w:lang w:eastAsia="it-IT"/>
    </w:rPr>
    <w:tblPr>
      <w:jc w:val="center"/>
      <w:tblCellMar>
        <w:top w:w="567" w:type="dxa"/>
        <w:left w:w="567" w:type="dxa"/>
        <w:bottom w:w="567" w:type="dxa"/>
        <w:right w:w="567" w:type="dxa"/>
      </w:tblCellMar>
    </w:tblPr>
    <w:trPr>
      <w:jc w:val="center"/>
    </w:trPr>
    <w:tcPr>
      <w:shd w:val="clear" w:color="auto" w:fill="0063A6"/>
    </w:tcPr>
  </w:style>
  <w:style w:type="table" w:customStyle="1" w:styleId="TabelloGrigioChiaro">
    <w:name w:val="Tabello Grigio Chiaro"/>
    <w:basedOn w:val="Tabellanormale"/>
    <w:uiPriority w:val="99"/>
    <w:rsid w:val="003045F9"/>
    <w:rPr>
      <w:rFonts w:ascii="Open Sans" w:eastAsiaTheme="minorEastAsia" w:hAnsi="Open Sans"/>
      <w:sz w:val="20"/>
      <w:lang w:eastAsia="it-IT"/>
    </w:rPr>
    <w:tblPr>
      <w:jc w:val="center"/>
      <w:tblCellMar>
        <w:top w:w="567" w:type="dxa"/>
        <w:left w:w="567" w:type="dxa"/>
        <w:bottom w:w="567" w:type="dxa"/>
        <w:right w:w="567" w:type="dxa"/>
      </w:tblCellMar>
    </w:tblPr>
    <w:trPr>
      <w:jc w:val="center"/>
    </w:trPr>
    <w:tcPr>
      <w:shd w:val="clear" w:color="auto" w:fill="F2F2F2" w:themeFill="background1" w:themeFillShade="F2"/>
    </w:tcPr>
  </w:style>
  <w:style w:type="character" w:customStyle="1" w:styleId="Titolo2Carattere">
    <w:name w:val="Titolo 2 Carattere"/>
    <w:basedOn w:val="Carpredefinitoparagrafo"/>
    <w:link w:val="Titolo2"/>
    <w:uiPriority w:val="99"/>
    <w:rsid w:val="00D55F46"/>
    <w:rPr>
      <w:rFonts w:ascii="Open Sans" w:eastAsiaTheme="minorEastAsia" w:hAnsi="Open Sans" w:cs="Open Sans"/>
      <w:b/>
      <w:bCs/>
      <w:color w:val="000044"/>
      <w:sz w:val="30"/>
      <w:szCs w:val="3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55F46"/>
    <w:rPr>
      <w:rFonts w:ascii="Open Sans" w:eastAsiaTheme="minorEastAsia" w:hAnsi="Open Sans" w:cs="Open Sans"/>
      <w:caps/>
      <w:color w:val="000044"/>
      <w:spacing w:val="36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5C2C57"/>
    <w:rPr>
      <w:color w:val="0070C0"/>
      <w:u w:color="0000FF"/>
    </w:rPr>
  </w:style>
  <w:style w:type="character" w:styleId="Enfasicorsivo">
    <w:name w:val="Emphasis"/>
    <w:basedOn w:val="Carpredefinitoparagrafo"/>
    <w:uiPriority w:val="99"/>
    <w:qFormat/>
    <w:rsid w:val="00D55F46"/>
    <w:rPr>
      <w:rFonts w:ascii="Open Sans" w:hAnsi="Open Sans" w:cs="Open Sans"/>
      <w:i/>
      <w:iCs/>
      <w:w w:val="1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240"/>
    <w:rPr>
      <w:rFonts w:ascii="Open Sans Light" w:eastAsiaTheme="majorEastAsia" w:hAnsi="Open Sans Light" w:cstheme="majorBidi"/>
      <w:color w:val="000044"/>
      <w:sz w:val="40"/>
      <w:szCs w:val="32"/>
      <w:lang w:val="en-US"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65284"/>
    <w:pPr>
      <w:spacing w:after="360" w:line="240" w:lineRule="auto"/>
    </w:pPr>
    <w:rPr>
      <w:iCs/>
      <w:color w:val="auto"/>
      <w:sz w:val="20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C5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C2C57"/>
    <w:pPr>
      <w:tabs>
        <w:tab w:val="center" w:pos="4819"/>
        <w:tab w:val="right" w:pos="9638"/>
      </w:tabs>
      <w:spacing w:after="0" w:line="240" w:lineRule="auto"/>
      <w:jc w:val="right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C57"/>
    <w:rPr>
      <w:rFonts w:ascii="Open Sans" w:eastAsiaTheme="minorEastAsia" w:hAnsi="Open Sans" w:cs="Open Sans"/>
      <w:color w:val="000000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C57"/>
    <w:rPr>
      <w:rFonts w:ascii="Open Sans" w:eastAsiaTheme="minorEastAsia" w:hAnsi="Open Sans" w:cs="Open Sans"/>
      <w:color w:val="000000"/>
      <w:szCs w:val="20"/>
      <w:lang w:val="en-US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C2C57"/>
    <w:rPr>
      <w:sz w:val="20"/>
    </w:rPr>
  </w:style>
  <w:style w:type="character" w:styleId="Enfasigrassetto">
    <w:name w:val="Strong"/>
    <w:basedOn w:val="Carpredefinitoparagrafo"/>
    <w:uiPriority w:val="22"/>
    <w:qFormat/>
    <w:rsid w:val="005C2C57"/>
    <w:rPr>
      <w:b/>
      <w:bCs/>
    </w:rPr>
  </w:style>
  <w:style w:type="paragraph" w:customStyle="1" w:styleId="ListParagraph">
    <w:name w:val="List Paragraph •"/>
    <w:basedOn w:val="Normale"/>
    <w:uiPriority w:val="99"/>
    <w:rsid w:val="001D2A7B"/>
    <w:pPr>
      <w:keepLines w:val="0"/>
      <w:numPr>
        <w:numId w:val="12"/>
      </w:numPr>
      <w:spacing w:before="120" w:after="120" w:line="240" w:lineRule="atLeast"/>
      <w:ind w:left="1077" w:hanging="357"/>
    </w:pPr>
  </w:style>
  <w:style w:type="paragraph" w:customStyle="1" w:styleId="Noteapidipagina">
    <w:name w:val="Note a piè di pagina"/>
    <w:basedOn w:val="Normale"/>
    <w:uiPriority w:val="99"/>
    <w:rsid w:val="001D2A7B"/>
    <w:pPr>
      <w:spacing w:after="0" w:line="288" w:lineRule="auto"/>
      <w:ind w:left="284" w:hanging="284"/>
    </w:pPr>
    <w:rPr>
      <w:sz w:val="20"/>
      <w:szCs w:val="16"/>
    </w:rPr>
  </w:style>
  <w:style w:type="paragraph" w:customStyle="1" w:styleId="ListParagraph1">
    <w:name w:val="List Paragraph 1."/>
    <w:basedOn w:val="ListParagraph"/>
    <w:uiPriority w:val="99"/>
    <w:rsid w:val="001D2A7B"/>
    <w:pPr>
      <w:numPr>
        <w:numId w:val="11"/>
      </w:numPr>
      <w:ind w:left="1077" w:hanging="357"/>
    </w:pPr>
    <w:rPr>
      <w:color w:val="auto"/>
    </w:rPr>
  </w:style>
  <w:style w:type="character" w:styleId="Rimandonotaapidipagina">
    <w:name w:val="footnote reference"/>
    <w:basedOn w:val="Carpredefinitoparagrafo"/>
    <w:uiPriority w:val="99"/>
    <w:rsid w:val="001D2A7B"/>
    <w:rPr>
      <w:w w:val="100"/>
      <w:sz w:val="20"/>
      <w:vertAlign w:val="superscript"/>
    </w:rPr>
  </w:style>
  <w:style w:type="character" w:styleId="Rimandonotadichiusura">
    <w:name w:val="endnote reference"/>
    <w:basedOn w:val="Carpredefinitoparagrafo"/>
    <w:uiPriority w:val="99"/>
    <w:rsid w:val="00B368D8"/>
    <w:rPr>
      <w:rFonts w:ascii="Open Sans" w:hAnsi="Open Sans" w:cs="Open Sans"/>
      <w:color w:val="000000"/>
      <w:w w:val="100"/>
      <w:vertAlign w:val="superscript"/>
    </w:rPr>
  </w:style>
  <w:style w:type="character" w:customStyle="1" w:styleId="Enfasigrassettobianco">
    <w:name w:val="Enfasi (grassetto) bianco"/>
    <w:basedOn w:val="Enfasigrassetto"/>
    <w:uiPriority w:val="99"/>
    <w:rsid w:val="00B368D8"/>
    <w:rPr>
      <w:rFonts w:ascii="Open Sans" w:hAnsi="Open Sans" w:cs="Open Sans"/>
      <w:b/>
      <w:bCs/>
      <w:outline/>
      <w:color w:val="000000"/>
      <w:sz w:val="18"/>
      <w:szCs w:val="18"/>
      <w:vertAlign w:val="baseline"/>
    </w:rPr>
  </w:style>
  <w:style w:type="table" w:styleId="Grigliatabella">
    <w:name w:val="Table Grid"/>
    <w:basedOn w:val="Tabellanormale"/>
    <w:uiPriority w:val="39"/>
    <w:rsid w:val="006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rights.gov.au/olderworke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umanrights.gov.au/sites/default/files/document/publication/ahri_employingolderworkers_april_2021.pdf" TargetMode="External"/><Relationship Id="rId1" Type="http://schemas.openxmlformats.org/officeDocument/2006/relationships/hyperlink" Target="https://humanrights.gov.au/sites/default/files/document/publication/ahri_employingolderworkers_april_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2A9CD150E8D4A9B4AE8925E680263" ma:contentTypeVersion="1732" ma:contentTypeDescription="Create a new document." ma:contentTypeScope="" ma:versionID="3c2b80dbe0a396723de5b8909f33e2a6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a6ffb128-e94a-4924-af16-68c2b3b917e8" xmlns:ns5="ef2c3ea8-710f-48d2-9985-6ddbad4a2548" xmlns:ns6="c784e7f9-92c5-4a9a-aa9a-7af6b6fe16b0" targetNamespace="http://schemas.microsoft.com/office/2006/metadata/properties" ma:root="true" ma:fieldsID="d5b2fc754359835f4945ccc0b2d36673" ns2:_="" ns3:_="" ns4:_="" ns5:_="" ns6:_="">
    <xsd:import namespace="6500fe01-343b-4fb9-a1b0-68ac19d62e01"/>
    <xsd:import namespace="57f1fb52-79b9-4278-9d54-1e5db41bfcda"/>
    <xsd:import namespace="a6ffb128-e94a-4924-af16-68c2b3b917e8"/>
    <xsd:import namespace="ef2c3ea8-710f-48d2-9985-6ddbad4a2548"/>
    <xsd:import namespace="c784e7f9-92c5-4a9a-aa9a-7af6b6fe16b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Open_x0020_in_x0020_Outlook" minOccurs="0"/>
                <xsd:element ref="ns2:Approver" minOccurs="0"/>
                <xsd:element ref="ns2:Document_x0020_Status" minOccurs="0"/>
                <xsd:element ref="ns3:c0b54d0a77474fabbf35302adb9710d7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KeyPoints" minOccurs="0"/>
                <xsd:element ref="ns5:MediaServiceKeyPoint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8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19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Open_x0020_in_x0020_Outlook" ma:index="17" nillable="true" ma:displayName="Open in Outlook" ma:description="Click to download item, used for opening emails directly in Outlook (when set to automatically open in Chrome)." ma:indexed="true" ma:internalName="Open_x0020_in_x0020_Outlook">
      <xsd:simpleType>
        <xsd:restriction base="dms:Text">
          <xsd:maxLength value="255"/>
        </xsd:restriction>
      </xsd:simpleType>
    </xsd:element>
    <xsd:element name="c0b54d0a77474fabbf35302adb9710d7" ma:index="20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1" nillable="true" ma:displayName="From" ma:indexed="true" ma:internalName="From1">
      <xsd:simpleType>
        <xsd:restriction base="dms:Text">
          <xsd:maxLength value="255"/>
        </xsd:restriction>
      </xsd:simpleType>
    </xsd:element>
    <xsd:element name="Has_x0020_Attachments" ma:index="22" nillable="true" ma:displayName="Has Attachments" ma:indexed="true" ma:internalName="Has_x0020_Attachments">
      <xsd:simpleType>
        <xsd:restriction base="dms:Text">
          <xsd:maxLength value="255"/>
        </xsd:restriction>
      </xsd:simpleType>
    </xsd:element>
    <xsd:element name="Received_x002f_Sent" ma:index="23" nillable="true" ma:displayName="Received/Sent" ma:format="DateOnly" ma:indexed="true" ma:internalName="Received_x002F_Sent">
      <xsd:simpleType>
        <xsd:restriction base="dms:DateTime"/>
      </xsd:simpleType>
    </xsd:element>
    <xsd:element name="To" ma:index="24" nillable="true" ma:displayName="To" ma:indexed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3ea8-710f-48d2-9985-6ddbad4a254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e7f9-92c5-4a9a-aa9a-7af6b6fe16b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75c5ac6-a0cc-43ed-b850-4a2ae59237b6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ffb128-e94a-4924-af16-68c2b3b917e8" xsi:nil="true"/>
    <Received_x002f_Sent xmlns="57f1fb52-79b9-4278-9d54-1e5db41bfcda" xsi:nil="true"/>
    <TaxCatchAll xmlns="6500fe01-343b-4fb9-a1b0-68ac19d62e01"/>
    <TaxKeywordTaxHTField xmlns="6500fe01-343b-4fb9-a1b0-68ac19d62e01">
      <Terms xmlns="http://schemas.microsoft.com/office/infopath/2007/PartnerControls"/>
    </TaxKeywordTaxHTField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</documentManagement>
</p:properties>
</file>

<file path=customXml/itemProps1.xml><?xml version="1.0" encoding="utf-8"?>
<ds:datastoreItem xmlns:ds="http://schemas.openxmlformats.org/officeDocument/2006/customXml" ds:itemID="{6E9DD054-744B-442F-B20C-24622595C09B}"/>
</file>

<file path=customXml/itemProps2.xml><?xml version="1.0" encoding="utf-8"?>
<ds:datastoreItem xmlns:ds="http://schemas.openxmlformats.org/officeDocument/2006/customXml" ds:itemID="{A83F02CA-6300-4C8B-B29F-8B690C4299DF}"/>
</file>

<file path=customXml/itemProps3.xml><?xml version="1.0" encoding="utf-8"?>
<ds:datastoreItem xmlns:ds="http://schemas.openxmlformats.org/officeDocument/2006/customXml" ds:itemID="{696357CF-682A-4B3A-813C-B690A91A4624}"/>
</file>

<file path=customXml/itemProps4.xml><?xml version="1.0" encoding="utf-8"?>
<ds:datastoreItem xmlns:ds="http://schemas.openxmlformats.org/officeDocument/2006/customXml" ds:itemID="{9DDFA101-96BC-45FD-B817-01B1D628C426}"/>
</file>

<file path=customXml/itemProps5.xml><?xml version="1.0" encoding="utf-8"?>
<ds:datastoreItem xmlns:ds="http://schemas.openxmlformats.org/officeDocument/2006/customXml" ds:itemID="{98F9157E-7E4E-4F28-AC6D-322B912ACAA5}"/>
</file>

<file path=customXml/itemProps6.xml><?xml version="1.0" encoding="utf-8"?>
<ds:datastoreItem xmlns:ds="http://schemas.openxmlformats.org/officeDocument/2006/customXml" ds:itemID="{954CBC43-6A37-4364-8A4D-501973C3F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Stocovaz</dc:creator>
  <cp:keywords/>
  <dc:description/>
  <cp:lastModifiedBy>Jo Stocovaz</cp:lastModifiedBy>
  <cp:revision>6</cp:revision>
  <dcterms:created xsi:type="dcterms:W3CDTF">2021-06-10T13:55:00Z</dcterms:created>
  <dcterms:modified xsi:type="dcterms:W3CDTF">2021-06-10T17:07:00Z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0x010100DFC2A9CD150E8D4A9B4AE8925E680263</vt:lpwstr>
  </property>
  <property fmtid="{D5CDD505-2E9C-101B-9397-08002B2CF9AE}" pid="3" name="TaxKeyword">
    <vt:lpwstr/>
  </property>
</Properties>
</file>