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B830" w14:textId="7356077F" w:rsidR="004B14DB" w:rsidRPr="00510734" w:rsidRDefault="0049322F" w:rsidP="0052315A">
      <w:pPr>
        <w:pStyle w:val="Titolo1"/>
        <w:numPr>
          <w:ilvl w:val="0"/>
          <w:numId w:val="0"/>
        </w:numPr>
        <w:spacing w:after="600"/>
        <w:rPr>
          <w:rFonts w:ascii="Open Sans" w:hAnsi="Open Sans" w:cs="Open Sans"/>
          <w:b w:val="0"/>
          <w:bCs w:val="0"/>
          <w:color w:val="3B8AA1"/>
          <w:sz w:val="56"/>
          <w:szCs w:val="56"/>
        </w:rPr>
      </w:pPr>
      <w:bookmarkStart w:id="0" w:name="_Toc8740027"/>
      <w:bookmarkStart w:id="1" w:name="_GoBack"/>
      <w:bookmarkEnd w:id="1"/>
      <w:r w:rsidRPr="00510734">
        <w:rPr>
          <w:rFonts w:ascii="Open Sans" w:hAnsi="Open Sans" w:cs="Open Sans"/>
          <w:b w:val="0"/>
          <w:bCs w:val="0"/>
          <w:color w:val="3B8AA1"/>
          <w:sz w:val="56"/>
          <w:szCs w:val="56"/>
        </w:rPr>
        <w:t>O</w:t>
      </w:r>
      <w:r w:rsidR="004B14DB" w:rsidRPr="00510734">
        <w:rPr>
          <w:rFonts w:ascii="Open Sans" w:hAnsi="Open Sans" w:cs="Open Sans"/>
          <w:b w:val="0"/>
          <w:bCs w:val="0"/>
          <w:color w:val="3B8AA1"/>
          <w:sz w:val="56"/>
          <w:szCs w:val="56"/>
        </w:rPr>
        <w:t>perating environment</w:t>
      </w:r>
      <w:r w:rsidR="00522895" w:rsidRPr="00510734">
        <w:rPr>
          <w:rFonts w:ascii="Open Sans" w:hAnsi="Open Sans" w:cs="Open Sans"/>
          <w:b w:val="0"/>
          <w:bCs w:val="0"/>
          <w:color w:val="3B8AA1"/>
          <w:sz w:val="56"/>
          <w:szCs w:val="56"/>
        </w:rPr>
        <w:t>:</w:t>
      </w:r>
      <w:r w:rsidRPr="00510734">
        <w:rPr>
          <w:rFonts w:ascii="Open Sans" w:hAnsi="Open Sans" w:cs="Open Sans"/>
          <w:b w:val="0"/>
          <w:bCs w:val="0"/>
          <w:color w:val="3B8AA1"/>
          <w:sz w:val="56"/>
          <w:szCs w:val="56"/>
        </w:rPr>
        <w:t xml:space="preserve"> analysis</w:t>
      </w:r>
      <w:r w:rsidR="00522895" w:rsidRPr="00510734">
        <w:rPr>
          <w:rFonts w:ascii="Open Sans" w:hAnsi="Open Sans" w:cs="Open Sans"/>
          <w:b w:val="0"/>
          <w:bCs w:val="0"/>
          <w:color w:val="3B8AA1"/>
          <w:sz w:val="56"/>
          <w:szCs w:val="56"/>
        </w:rPr>
        <w:t xml:space="preserve"> of </w:t>
      </w:r>
      <w:r w:rsidR="00C136F8" w:rsidRPr="00510734">
        <w:rPr>
          <w:rFonts w:ascii="Open Sans" w:hAnsi="Open Sans" w:cs="Open Sans"/>
          <w:b w:val="0"/>
          <w:bCs w:val="0"/>
          <w:color w:val="3B8AA1"/>
          <w:sz w:val="56"/>
          <w:szCs w:val="56"/>
        </w:rPr>
        <w:t>opportunities</w:t>
      </w:r>
      <w:r w:rsidR="00522895" w:rsidRPr="00510734">
        <w:rPr>
          <w:rFonts w:ascii="Open Sans" w:hAnsi="Open Sans" w:cs="Open Sans"/>
          <w:b w:val="0"/>
          <w:bCs w:val="0"/>
          <w:color w:val="3B8AA1"/>
          <w:sz w:val="56"/>
          <w:szCs w:val="56"/>
        </w:rPr>
        <w:t>,</w:t>
      </w:r>
      <w:r w:rsidR="00C136F8" w:rsidRPr="00510734">
        <w:rPr>
          <w:rFonts w:ascii="Open Sans" w:hAnsi="Open Sans" w:cs="Open Sans"/>
          <w:b w:val="0"/>
          <w:bCs w:val="0"/>
          <w:color w:val="3B8AA1"/>
          <w:sz w:val="56"/>
          <w:szCs w:val="56"/>
        </w:rPr>
        <w:t xml:space="preserve"> challenges,</w:t>
      </w:r>
      <w:r w:rsidR="00E9231C" w:rsidRPr="00510734">
        <w:rPr>
          <w:rFonts w:ascii="Open Sans" w:hAnsi="Open Sans" w:cs="Open Sans"/>
          <w:b w:val="0"/>
          <w:bCs w:val="0"/>
          <w:color w:val="3B8AA1"/>
          <w:sz w:val="56"/>
          <w:szCs w:val="56"/>
        </w:rPr>
        <w:t xml:space="preserve"> </w:t>
      </w:r>
      <w:r w:rsidR="00522895" w:rsidRPr="00510734">
        <w:rPr>
          <w:rFonts w:ascii="Open Sans" w:hAnsi="Open Sans" w:cs="Open Sans"/>
          <w:b w:val="0"/>
          <w:bCs w:val="0"/>
          <w:color w:val="3B8AA1"/>
          <w:sz w:val="56"/>
          <w:szCs w:val="56"/>
        </w:rPr>
        <w:t xml:space="preserve">and </w:t>
      </w:r>
      <w:r w:rsidR="00C136F8" w:rsidRPr="00510734">
        <w:rPr>
          <w:rFonts w:ascii="Open Sans" w:hAnsi="Open Sans" w:cs="Open Sans"/>
          <w:b w:val="0"/>
          <w:bCs w:val="0"/>
          <w:color w:val="3B8AA1"/>
          <w:sz w:val="56"/>
          <w:szCs w:val="56"/>
        </w:rPr>
        <w:t>risks</w:t>
      </w:r>
      <w:r w:rsidR="00522895" w:rsidRPr="00510734">
        <w:rPr>
          <w:rFonts w:ascii="Open Sans" w:hAnsi="Open Sans" w:cs="Open Sans"/>
          <w:b w:val="0"/>
          <w:bCs w:val="0"/>
          <w:color w:val="3B8AA1"/>
          <w:sz w:val="56"/>
          <w:szCs w:val="56"/>
        </w:rPr>
        <w:t>, covering the period to 2023</w:t>
      </w:r>
    </w:p>
    <w:p w14:paraId="737B4FB7" w14:textId="7E366F79" w:rsidR="004B14DB" w:rsidRPr="007100A6" w:rsidRDefault="004B14DB" w:rsidP="004B14DB">
      <w:pPr>
        <w:rPr>
          <w:rFonts w:ascii="Open Sans" w:hAnsi="Open Sans" w:cs="Open Sans"/>
        </w:rPr>
      </w:pPr>
      <w:r w:rsidRPr="007100A6">
        <w:rPr>
          <w:rFonts w:ascii="Open Sans" w:hAnsi="Open Sans" w:cs="Open Sans"/>
        </w:rPr>
        <w:t>The Commission operates in a complex social and political environment with multiple factors that can affect how and how well we achieve our</w:t>
      </w:r>
      <w:r w:rsidR="00C136F8">
        <w:rPr>
          <w:rFonts w:ascii="Open Sans" w:hAnsi="Open Sans" w:cs="Open Sans"/>
        </w:rPr>
        <w:t xml:space="preserve"> goals and</w:t>
      </w:r>
      <w:r w:rsidRPr="007100A6">
        <w:rPr>
          <w:rFonts w:ascii="Open Sans" w:hAnsi="Open Sans" w:cs="Open Sans"/>
        </w:rPr>
        <w:t xml:space="preserve"> purpose. Each year we examine our </w:t>
      </w:r>
      <w:r w:rsidR="00F768DE" w:rsidRPr="007100A6">
        <w:rPr>
          <w:rFonts w:ascii="Open Sans" w:hAnsi="Open Sans" w:cs="Open Sans"/>
        </w:rPr>
        <w:t xml:space="preserve">external and internal </w:t>
      </w:r>
      <w:r w:rsidRPr="007100A6">
        <w:rPr>
          <w:rFonts w:ascii="Open Sans" w:hAnsi="Open Sans" w:cs="Open Sans"/>
        </w:rPr>
        <w:t>environment to assess</w:t>
      </w:r>
      <w:r w:rsidR="00F768DE" w:rsidRPr="007100A6">
        <w:rPr>
          <w:rFonts w:ascii="Open Sans" w:hAnsi="Open Sans" w:cs="Open Sans"/>
        </w:rPr>
        <w:t xml:space="preserve"> and manage</w:t>
      </w:r>
      <w:r w:rsidRPr="007100A6">
        <w:rPr>
          <w:rFonts w:ascii="Open Sans" w:hAnsi="Open Sans" w:cs="Open Sans"/>
        </w:rPr>
        <w:t xml:space="preserve"> the risks/challenges and opportunities that may have an impact on our work.</w:t>
      </w:r>
    </w:p>
    <w:p w14:paraId="35F8FC7D" w14:textId="3F54F62D" w:rsidR="004B14DB" w:rsidRDefault="004B14DB" w:rsidP="004B14DB">
      <w:pPr>
        <w:rPr>
          <w:rFonts w:ascii="Open Sans" w:hAnsi="Open Sans" w:cs="Open Sans"/>
        </w:rPr>
      </w:pPr>
      <w:r w:rsidRPr="007100A6">
        <w:rPr>
          <w:rFonts w:ascii="Open Sans" w:hAnsi="Open Sans" w:cs="Open Sans"/>
        </w:rPr>
        <w:t xml:space="preserve">This document provides </w:t>
      </w:r>
      <w:r w:rsidR="00C136F8">
        <w:rPr>
          <w:rFonts w:ascii="Open Sans" w:hAnsi="Open Sans" w:cs="Open Sans"/>
        </w:rPr>
        <w:t xml:space="preserve">further </w:t>
      </w:r>
      <w:r w:rsidRPr="007100A6">
        <w:rPr>
          <w:rFonts w:ascii="Open Sans" w:hAnsi="Open Sans" w:cs="Open Sans"/>
        </w:rPr>
        <w:t>detail</w:t>
      </w:r>
      <w:r w:rsidR="00C136F8">
        <w:rPr>
          <w:rFonts w:ascii="Open Sans" w:hAnsi="Open Sans" w:cs="Open Sans"/>
        </w:rPr>
        <w:t xml:space="preserve"> of </w:t>
      </w:r>
      <w:r w:rsidR="003A0A44">
        <w:rPr>
          <w:rFonts w:ascii="Open Sans" w:hAnsi="Open Sans" w:cs="Open Sans"/>
        </w:rPr>
        <w:t>the</w:t>
      </w:r>
      <w:r w:rsidR="00C136F8">
        <w:rPr>
          <w:rFonts w:ascii="Open Sans" w:hAnsi="Open Sans" w:cs="Open Sans"/>
        </w:rPr>
        <w:t xml:space="preserve"> environmental</w:t>
      </w:r>
      <w:r w:rsidRPr="007100A6">
        <w:rPr>
          <w:rFonts w:ascii="Open Sans" w:hAnsi="Open Sans" w:cs="Open Sans"/>
        </w:rPr>
        <w:t xml:space="preserve"> analysis summarised in the main body of the Corporate Plan</w:t>
      </w:r>
      <w:r w:rsidR="00F768DE" w:rsidRPr="007100A6">
        <w:rPr>
          <w:rFonts w:ascii="Open Sans" w:hAnsi="Open Sans" w:cs="Open Sans"/>
        </w:rPr>
        <w:t>.</w:t>
      </w:r>
    </w:p>
    <w:p w14:paraId="4CD21FA8" w14:textId="77777777" w:rsidR="00E9231C" w:rsidRPr="007100A6" w:rsidRDefault="00E9231C" w:rsidP="004B14DB">
      <w:pPr>
        <w:rPr>
          <w:rFonts w:ascii="Open Sans" w:hAnsi="Open Sans" w:cs="Open Sans"/>
        </w:rPr>
      </w:pPr>
    </w:p>
    <w:bookmarkEnd w:id="0"/>
    <w:p w14:paraId="708E21BD" w14:textId="77777777" w:rsidR="006A57BE" w:rsidRPr="007100A6" w:rsidRDefault="006A57BE" w:rsidP="006A57BE">
      <w:pPr>
        <w:rPr>
          <w:rFonts w:ascii="Open Sans" w:hAnsi="Open Sans" w:cs="Open Sans"/>
        </w:rPr>
        <w:sectPr w:rsidR="006A57BE" w:rsidRPr="007100A6" w:rsidSect="006A57BE">
          <w:headerReference w:type="even" r:id="rId8"/>
          <w:footerReference w:type="default" r:id="rId9"/>
          <w:headerReference w:type="first" r:id="rId10"/>
          <w:endnotePr>
            <w:numFmt w:val="decimal"/>
          </w:endnotePr>
          <w:pgSz w:w="11906" w:h="16838" w:code="9"/>
          <w:pgMar w:top="1134" w:right="1418" w:bottom="1134" w:left="1418" w:header="709" w:footer="709" w:gutter="0"/>
          <w:cols w:space="708"/>
          <w:docGrid w:linePitch="360"/>
        </w:sectPr>
      </w:pPr>
    </w:p>
    <w:p w14:paraId="041313EC" w14:textId="5F6469C7" w:rsidR="0016243D" w:rsidRPr="00CC23E0" w:rsidRDefault="004F4C02" w:rsidP="0056516D">
      <w:pPr>
        <w:pStyle w:val="Titolo1"/>
        <w:numPr>
          <w:ilvl w:val="0"/>
          <w:numId w:val="0"/>
        </w:numPr>
        <w:ind w:left="851" w:hanging="851"/>
        <w:rPr>
          <w:rFonts w:ascii="Open Sans" w:hAnsi="Open Sans" w:cs="Open Sans"/>
          <w:color w:val="3B8AA1"/>
        </w:rPr>
      </w:pPr>
      <w:bookmarkStart w:id="2" w:name="_Toc8740030"/>
      <w:r w:rsidRPr="00CC23E0">
        <w:rPr>
          <w:rFonts w:ascii="Open Sans" w:hAnsi="Open Sans" w:cs="Open Sans"/>
          <w:color w:val="3B8AA1"/>
        </w:rPr>
        <w:lastRenderedPageBreak/>
        <w:t xml:space="preserve">External </w:t>
      </w:r>
      <w:r w:rsidR="00C136F8" w:rsidRPr="00CC23E0">
        <w:rPr>
          <w:rFonts w:ascii="Open Sans" w:hAnsi="Open Sans" w:cs="Open Sans"/>
          <w:color w:val="3B8AA1"/>
        </w:rPr>
        <w:t>factors</w:t>
      </w:r>
      <w:r w:rsidR="0049322F" w:rsidRPr="00CC23E0">
        <w:rPr>
          <w:rFonts w:ascii="Open Sans" w:hAnsi="Open Sans" w:cs="Open Sans"/>
          <w:color w:val="3B8AA1"/>
        </w:rPr>
        <w:t xml:space="preserve"> and </w:t>
      </w:r>
      <w:r w:rsidR="00575725" w:rsidRPr="00CC23E0">
        <w:rPr>
          <w:rFonts w:ascii="Open Sans" w:hAnsi="Open Sans" w:cs="Open Sans"/>
          <w:color w:val="3B8AA1"/>
        </w:rPr>
        <w:t>management</w:t>
      </w:r>
      <w:bookmarkEnd w:id="2"/>
    </w:p>
    <w:tbl>
      <w:tblPr>
        <w:tblStyle w:val="Grigliatabella"/>
        <w:tblW w:w="0" w:type="auto"/>
        <w:tblCellMar>
          <w:top w:w="113" w:type="dxa"/>
          <w:bottom w:w="113" w:type="dxa"/>
        </w:tblCellMar>
        <w:tblLook w:val="04A0" w:firstRow="1" w:lastRow="0" w:firstColumn="1" w:lastColumn="0" w:noHBand="0" w:noVBand="1"/>
      </w:tblPr>
      <w:tblGrid>
        <w:gridCol w:w="2825"/>
        <w:gridCol w:w="937"/>
        <w:gridCol w:w="1132"/>
        <w:gridCol w:w="992"/>
        <w:gridCol w:w="8674"/>
      </w:tblGrid>
      <w:tr w:rsidR="00193C6F" w:rsidRPr="007100A6" w14:paraId="7E93C8A8" w14:textId="77777777" w:rsidTr="0052315A">
        <w:trPr>
          <w:tblHeader/>
        </w:trPr>
        <w:tc>
          <w:tcPr>
            <w:tcW w:w="2825" w:type="dxa"/>
            <w:shd w:val="clear" w:color="auto" w:fill="073145"/>
            <w:vAlign w:val="bottom"/>
          </w:tcPr>
          <w:p w14:paraId="11C7702A" w14:textId="77777777" w:rsidR="004D641A" w:rsidRPr="0052315A" w:rsidRDefault="004D641A" w:rsidP="00E9231C">
            <w:pPr>
              <w:spacing w:before="0" w:after="0"/>
              <w:rPr>
                <w:rFonts w:ascii="Open Sans" w:hAnsi="Open Sans" w:cs="Open Sans"/>
                <w:color w:val="FFFFFF" w:themeColor="background1"/>
                <w:sz w:val="20"/>
                <w:szCs w:val="20"/>
              </w:rPr>
            </w:pPr>
            <w:r w:rsidRPr="0052315A">
              <w:rPr>
                <w:rFonts w:ascii="Open Sans" w:hAnsi="Open Sans" w:cs="Open Sans"/>
                <w:b/>
                <w:color w:val="FFFFFF" w:themeColor="background1"/>
                <w:sz w:val="20"/>
                <w:szCs w:val="20"/>
              </w:rPr>
              <w:t>Factor</w:t>
            </w:r>
          </w:p>
        </w:tc>
        <w:tc>
          <w:tcPr>
            <w:tcW w:w="937" w:type="dxa"/>
            <w:shd w:val="clear" w:color="auto" w:fill="073145"/>
            <w:vAlign w:val="bottom"/>
          </w:tcPr>
          <w:p w14:paraId="2B26BBEC" w14:textId="77777777" w:rsidR="004D641A" w:rsidRPr="007100A6" w:rsidRDefault="004D641A" w:rsidP="00E9231C">
            <w:pPr>
              <w:spacing w:before="0" w:after="0"/>
              <w:rPr>
                <w:rFonts w:ascii="Open Sans" w:hAnsi="Open Sans" w:cs="Open Sans"/>
                <w:color w:val="000000" w:themeColor="text1"/>
                <w:sz w:val="20"/>
                <w:szCs w:val="20"/>
              </w:rPr>
            </w:pPr>
            <w:r w:rsidRPr="0052315A">
              <w:rPr>
                <w:rFonts w:ascii="Open Sans" w:hAnsi="Open Sans" w:cs="Open Sans"/>
                <w:b/>
                <w:color w:val="FFFFFF" w:themeColor="background1"/>
                <w:sz w:val="20"/>
                <w:szCs w:val="20"/>
              </w:rPr>
              <w:t>In full control</w:t>
            </w:r>
          </w:p>
        </w:tc>
        <w:tc>
          <w:tcPr>
            <w:tcW w:w="1132" w:type="dxa"/>
            <w:shd w:val="clear" w:color="auto" w:fill="073145"/>
            <w:vAlign w:val="bottom"/>
          </w:tcPr>
          <w:p w14:paraId="08041D36" w14:textId="77777777" w:rsidR="004D641A" w:rsidRPr="007100A6" w:rsidRDefault="004D641A" w:rsidP="00E9231C">
            <w:pPr>
              <w:spacing w:before="0" w:after="0"/>
              <w:rPr>
                <w:rFonts w:ascii="Open Sans" w:hAnsi="Open Sans" w:cs="Open Sans"/>
                <w:color w:val="000000" w:themeColor="text1"/>
                <w:sz w:val="20"/>
                <w:szCs w:val="20"/>
              </w:rPr>
            </w:pPr>
            <w:r w:rsidRPr="0052315A">
              <w:rPr>
                <w:rFonts w:ascii="Open Sans" w:hAnsi="Open Sans" w:cs="Open Sans"/>
                <w:b/>
                <w:color w:val="FFFFFF" w:themeColor="background1"/>
                <w:sz w:val="20"/>
                <w:szCs w:val="20"/>
              </w:rPr>
              <w:t>In partial control</w:t>
            </w:r>
          </w:p>
        </w:tc>
        <w:tc>
          <w:tcPr>
            <w:tcW w:w="992" w:type="dxa"/>
            <w:shd w:val="clear" w:color="auto" w:fill="073145"/>
            <w:vAlign w:val="bottom"/>
          </w:tcPr>
          <w:p w14:paraId="20E1573E" w14:textId="77777777" w:rsidR="004D641A" w:rsidRPr="007100A6" w:rsidRDefault="004D641A" w:rsidP="00E9231C">
            <w:pPr>
              <w:spacing w:before="0" w:after="0"/>
              <w:rPr>
                <w:rFonts w:ascii="Open Sans" w:hAnsi="Open Sans" w:cs="Open Sans"/>
                <w:color w:val="000000" w:themeColor="text1"/>
                <w:sz w:val="20"/>
                <w:szCs w:val="20"/>
              </w:rPr>
            </w:pPr>
            <w:r w:rsidRPr="0052315A">
              <w:rPr>
                <w:rFonts w:ascii="Open Sans" w:hAnsi="Open Sans" w:cs="Open Sans"/>
                <w:b/>
                <w:color w:val="FFFFFF" w:themeColor="background1"/>
                <w:sz w:val="20"/>
                <w:szCs w:val="20"/>
              </w:rPr>
              <w:t>Beyond control</w:t>
            </w:r>
          </w:p>
        </w:tc>
        <w:tc>
          <w:tcPr>
            <w:tcW w:w="8674" w:type="dxa"/>
            <w:shd w:val="clear" w:color="auto" w:fill="073145"/>
            <w:vAlign w:val="bottom"/>
          </w:tcPr>
          <w:p w14:paraId="4F4AAB20" w14:textId="01A1DC94" w:rsidR="004D641A" w:rsidRPr="007100A6" w:rsidRDefault="009A3B99" w:rsidP="00E9231C">
            <w:pPr>
              <w:spacing w:before="0" w:after="0"/>
              <w:rPr>
                <w:rFonts w:ascii="Open Sans" w:hAnsi="Open Sans" w:cs="Open Sans"/>
                <w:color w:val="000000" w:themeColor="text1"/>
                <w:sz w:val="20"/>
                <w:szCs w:val="20"/>
              </w:rPr>
            </w:pPr>
            <w:r w:rsidRPr="0052315A">
              <w:rPr>
                <w:rFonts w:ascii="Open Sans" w:hAnsi="Open Sans" w:cs="Open Sans"/>
                <w:b/>
                <w:color w:val="FFFFFF" w:themeColor="background1"/>
                <w:sz w:val="20"/>
                <w:szCs w:val="20"/>
              </w:rPr>
              <w:t>A</w:t>
            </w:r>
            <w:r w:rsidR="004D641A" w:rsidRPr="0052315A">
              <w:rPr>
                <w:rFonts w:ascii="Open Sans" w:hAnsi="Open Sans" w:cs="Open Sans"/>
                <w:b/>
                <w:color w:val="FFFFFF" w:themeColor="background1"/>
                <w:sz w:val="20"/>
                <w:szCs w:val="20"/>
              </w:rPr>
              <w:t>nalysis and risk management</w:t>
            </w:r>
          </w:p>
        </w:tc>
      </w:tr>
      <w:tr w:rsidR="00193C6F" w:rsidRPr="007100A6" w14:paraId="5715D355" w14:textId="77777777" w:rsidTr="0052315A">
        <w:tc>
          <w:tcPr>
            <w:tcW w:w="14560" w:type="dxa"/>
            <w:gridSpan w:val="5"/>
            <w:shd w:val="clear" w:color="auto" w:fill="3B8AA1"/>
          </w:tcPr>
          <w:p w14:paraId="0685D3AA" w14:textId="77777777" w:rsidR="00D3576F" w:rsidRPr="0052315A" w:rsidRDefault="004408CF" w:rsidP="004408CF">
            <w:pPr>
              <w:spacing w:before="120" w:after="120"/>
              <w:rPr>
                <w:rFonts w:ascii="Open Sans" w:hAnsi="Open Sans" w:cs="Open Sans"/>
                <w:b/>
                <w:color w:val="FFFFFF" w:themeColor="background1"/>
                <w:sz w:val="20"/>
                <w:szCs w:val="20"/>
              </w:rPr>
            </w:pPr>
            <w:r w:rsidRPr="0052315A">
              <w:rPr>
                <w:rFonts w:ascii="Open Sans" w:hAnsi="Open Sans" w:cs="Open Sans"/>
                <w:b/>
                <w:color w:val="FFFFFF" w:themeColor="background1"/>
                <w:sz w:val="20"/>
                <w:szCs w:val="20"/>
              </w:rPr>
              <w:t>External opportunities</w:t>
            </w:r>
          </w:p>
        </w:tc>
      </w:tr>
      <w:tr w:rsidR="00193C6F" w:rsidRPr="007100A6" w14:paraId="217210B4" w14:textId="77777777" w:rsidTr="0052315A">
        <w:tc>
          <w:tcPr>
            <w:tcW w:w="2825" w:type="dxa"/>
          </w:tcPr>
          <w:p w14:paraId="7B595504" w14:textId="7AB06AF6" w:rsidR="004D641A" w:rsidRPr="007100A6" w:rsidRDefault="000C3EC7" w:rsidP="00D97CF3">
            <w:pPr>
              <w:spacing w:before="0" w:after="0"/>
              <w:rPr>
                <w:rFonts w:ascii="Open Sans" w:hAnsi="Open Sans" w:cs="Open Sans"/>
                <w:b/>
                <w:color w:val="000000" w:themeColor="text1"/>
                <w:sz w:val="22"/>
                <w:szCs w:val="22"/>
              </w:rPr>
            </w:pPr>
            <w:r w:rsidRPr="007100A6">
              <w:rPr>
                <w:rFonts w:ascii="Open Sans" w:hAnsi="Open Sans" w:cs="Open Sans"/>
                <w:b/>
                <w:color w:val="000000" w:themeColor="text1"/>
                <w:sz w:val="22"/>
                <w:szCs w:val="22"/>
              </w:rPr>
              <w:t>Leading a n</w:t>
            </w:r>
            <w:r w:rsidR="00D97CF3" w:rsidRPr="007100A6">
              <w:rPr>
                <w:rFonts w:ascii="Open Sans" w:hAnsi="Open Sans" w:cs="Open Sans"/>
                <w:b/>
                <w:color w:val="000000" w:themeColor="text1"/>
                <w:sz w:val="22"/>
                <w:szCs w:val="22"/>
              </w:rPr>
              <w:t xml:space="preserve">ational </w:t>
            </w:r>
            <w:r w:rsidR="00703E74">
              <w:rPr>
                <w:rFonts w:ascii="Open Sans" w:hAnsi="Open Sans" w:cs="Open Sans"/>
                <w:b/>
                <w:color w:val="000000" w:themeColor="text1"/>
                <w:sz w:val="22"/>
                <w:szCs w:val="22"/>
              </w:rPr>
              <w:t>c</w:t>
            </w:r>
            <w:r w:rsidR="00D97CF3" w:rsidRPr="007100A6">
              <w:rPr>
                <w:rFonts w:ascii="Open Sans" w:hAnsi="Open Sans" w:cs="Open Sans"/>
                <w:b/>
                <w:color w:val="000000" w:themeColor="text1"/>
                <w:sz w:val="22"/>
                <w:szCs w:val="22"/>
              </w:rPr>
              <w:t xml:space="preserve">onversation on human rights </w:t>
            </w:r>
          </w:p>
        </w:tc>
        <w:tc>
          <w:tcPr>
            <w:tcW w:w="937" w:type="dxa"/>
          </w:tcPr>
          <w:p w14:paraId="2D1F854C" w14:textId="77777777" w:rsidR="004D641A" w:rsidRPr="007100A6" w:rsidRDefault="00D97CF3" w:rsidP="00A62599">
            <w:pPr>
              <w:spacing w:before="0" w:after="0"/>
              <w:jc w:val="center"/>
              <w:rPr>
                <w:rFonts w:ascii="Open Sans" w:hAnsi="Open Sans" w:cs="Open Sans"/>
                <w:color w:val="000000" w:themeColor="text1"/>
                <w:sz w:val="32"/>
                <w:szCs w:val="32"/>
              </w:rPr>
            </w:pPr>
            <w:r w:rsidRPr="007100A6">
              <w:rPr>
                <w:rFonts w:ascii="Open Sans" w:hAnsi="Open Sans" w:cs="Open Sans"/>
                <w:color w:val="000000" w:themeColor="text1"/>
                <w:sz w:val="32"/>
                <w:szCs w:val="32"/>
              </w:rPr>
              <w:sym w:font="Wingdings" w:char="F0FC"/>
            </w:r>
          </w:p>
        </w:tc>
        <w:tc>
          <w:tcPr>
            <w:tcW w:w="1132" w:type="dxa"/>
          </w:tcPr>
          <w:p w14:paraId="2D497E6A" w14:textId="77777777" w:rsidR="004D641A" w:rsidRPr="007100A6" w:rsidRDefault="004D641A" w:rsidP="00A62599">
            <w:pPr>
              <w:spacing w:before="0" w:after="0"/>
              <w:jc w:val="center"/>
              <w:rPr>
                <w:rFonts w:ascii="Open Sans" w:hAnsi="Open Sans" w:cs="Open Sans"/>
                <w:color w:val="000000" w:themeColor="text1"/>
                <w:sz w:val="32"/>
                <w:szCs w:val="32"/>
              </w:rPr>
            </w:pPr>
          </w:p>
        </w:tc>
        <w:tc>
          <w:tcPr>
            <w:tcW w:w="992" w:type="dxa"/>
          </w:tcPr>
          <w:p w14:paraId="77837F1F" w14:textId="77777777" w:rsidR="004D641A" w:rsidRPr="007100A6" w:rsidRDefault="004D641A" w:rsidP="00A62599">
            <w:pPr>
              <w:spacing w:before="0" w:after="0"/>
              <w:jc w:val="center"/>
              <w:rPr>
                <w:rFonts w:ascii="Open Sans" w:hAnsi="Open Sans" w:cs="Open Sans"/>
                <w:color w:val="000000" w:themeColor="text1"/>
                <w:sz w:val="32"/>
                <w:szCs w:val="32"/>
              </w:rPr>
            </w:pPr>
          </w:p>
        </w:tc>
        <w:tc>
          <w:tcPr>
            <w:tcW w:w="8674" w:type="dxa"/>
          </w:tcPr>
          <w:p w14:paraId="0AB0C792" w14:textId="12A4EE2E" w:rsidR="00D97CF3" w:rsidRPr="007100A6" w:rsidRDefault="00841E7F" w:rsidP="008D0AD4">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 xml:space="preserve">The </w:t>
            </w:r>
            <w:r w:rsidR="000C3EC7" w:rsidRPr="007100A6">
              <w:rPr>
                <w:rFonts w:ascii="Open Sans" w:hAnsi="Open Sans" w:cs="Open Sans"/>
                <w:i/>
                <w:color w:val="000000" w:themeColor="text1"/>
                <w:sz w:val="20"/>
                <w:szCs w:val="20"/>
              </w:rPr>
              <w:t xml:space="preserve">Free and equal </w:t>
            </w:r>
            <w:r w:rsidRPr="007100A6">
              <w:rPr>
                <w:rFonts w:ascii="Open Sans" w:hAnsi="Open Sans" w:cs="Open Sans"/>
                <w:i/>
                <w:color w:val="000000" w:themeColor="text1"/>
                <w:sz w:val="20"/>
                <w:szCs w:val="20"/>
              </w:rPr>
              <w:t xml:space="preserve">in dignity and rights: </w:t>
            </w:r>
            <w:r w:rsidR="00D950CF">
              <w:rPr>
                <w:rFonts w:ascii="Open Sans" w:hAnsi="Open Sans" w:cs="Open Sans"/>
                <w:i/>
                <w:color w:val="000000" w:themeColor="text1"/>
                <w:sz w:val="20"/>
                <w:szCs w:val="20"/>
              </w:rPr>
              <w:t>An Australian</w:t>
            </w:r>
            <w:r w:rsidRPr="007100A6">
              <w:rPr>
                <w:rFonts w:ascii="Open Sans" w:hAnsi="Open Sans" w:cs="Open Sans"/>
                <w:i/>
                <w:color w:val="000000" w:themeColor="text1"/>
                <w:sz w:val="20"/>
                <w:szCs w:val="20"/>
              </w:rPr>
              <w:t xml:space="preserve"> conversation on human rights</w:t>
            </w:r>
            <w:r w:rsidRPr="007100A6">
              <w:rPr>
                <w:rFonts w:ascii="Open Sans" w:hAnsi="Open Sans" w:cs="Open Sans"/>
                <w:color w:val="000000" w:themeColor="text1"/>
                <w:sz w:val="20"/>
                <w:szCs w:val="20"/>
              </w:rPr>
              <w:t xml:space="preserve"> is </w:t>
            </w:r>
            <w:r w:rsidR="002603F5">
              <w:rPr>
                <w:rFonts w:ascii="Open Sans" w:hAnsi="Open Sans" w:cs="Open Sans"/>
                <w:color w:val="000000" w:themeColor="text1"/>
                <w:sz w:val="20"/>
                <w:szCs w:val="20"/>
              </w:rPr>
              <w:t xml:space="preserve">a </w:t>
            </w:r>
            <w:r w:rsidR="00D97CF3" w:rsidRPr="007100A6">
              <w:rPr>
                <w:rFonts w:ascii="Open Sans" w:hAnsi="Open Sans" w:cs="Open Sans"/>
                <w:color w:val="000000" w:themeColor="text1"/>
                <w:sz w:val="20"/>
                <w:szCs w:val="20"/>
              </w:rPr>
              <w:t>flagship</w:t>
            </w:r>
            <w:r w:rsidR="005670CD" w:rsidRPr="007100A6">
              <w:rPr>
                <w:rFonts w:ascii="Open Sans" w:hAnsi="Open Sans" w:cs="Open Sans"/>
                <w:color w:val="000000" w:themeColor="text1"/>
                <w:sz w:val="20"/>
                <w:szCs w:val="20"/>
              </w:rPr>
              <w:t xml:space="preserve"> multi-year</w:t>
            </w:r>
            <w:r w:rsidR="00D97CF3" w:rsidRPr="007100A6">
              <w:rPr>
                <w:rFonts w:ascii="Open Sans" w:hAnsi="Open Sans" w:cs="Open Sans"/>
                <w:color w:val="000000" w:themeColor="text1"/>
                <w:sz w:val="20"/>
                <w:szCs w:val="20"/>
              </w:rPr>
              <w:t xml:space="preserve"> </w:t>
            </w:r>
            <w:r w:rsidR="00A17361" w:rsidRPr="007100A6">
              <w:rPr>
                <w:rFonts w:ascii="Open Sans" w:hAnsi="Open Sans" w:cs="Open Sans"/>
                <w:color w:val="000000" w:themeColor="text1"/>
                <w:sz w:val="20"/>
                <w:szCs w:val="20"/>
              </w:rPr>
              <w:t>initiative</w:t>
            </w:r>
            <w:r w:rsidR="00D97CF3" w:rsidRPr="007100A6">
              <w:rPr>
                <w:rFonts w:ascii="Open Sans" w:hAnsi="Open Sans" w:cs="Open Sans"/>
                <w:color w:val="000000" w:themeColor="text1"/>
                <w:sz w:val="20"/>
                <w:szCs w:val="20"/>
              </w:rPr>
              <w:t xml:space="preserve"> that </w:t>
            </w:r>
            <w:r w:rsidR="004A0ED4" w:rsidRPr="007100A6">
              <w:rPr>
                <w:rFonts w:ascii="Open Sans" w:hAnsi="Open Sans" w:cs="Open Sans"/>
                <w:color w:val="000000" w:themeColor="text1"/>
                <w:sz w:val="20"/>
                <w:szCs w:val="20"/>
              </w:rPr>
              <w:t>embodies our NHRI leadership role and will demonstrate</w:t>
            </w:r>
            <w:r w:rsidR="00D97CF3" w:rsidRPr="007100A6">
              <w:rPr>
                <w:rFonts w:ascii="Open Sans" w:hAnsi="Open Sans" w:cs="Open Sans"/>
                <w:color w:val="000000" w:themeColor="text1"/>
                <w:sz w:val="20"/>
                <w:szCs w:val="20"/>
              </w:rPr>
              <w:t xml:space="preserve"> </w:t>
            </w:r>
            <w:r w:rsidR="005670CD" w:rsidRPr="007100A6">
              <w:rPr>
                <w:rFonts w:ascii="Open Sans" w:hAnsi="Open Sans" w:cs="Open Sans"/>
                <w:color w:val="000000" w:themeColor="text1"/>
                <w:sz w:val="20"/>
                <w:szCs w:val="20"/>
              </w:rPr>
              <w:t>the Commission’s</w:t>
            </w:r>
            <w:r w:rsidR="00A17361" w:rsidRPr="007100A6">
              <w:rPr>
                <w:rFonts w:ascii="Open Sans" w:hAnsi="Open Sans" w:cs="Open Sans"/>
                <w:color w:val="000000" w:themeColor="text1"/>
                <w:sz w:val="20"/>
                <w:szCs w:val="20"/>
              </w:rPr>
              <w:t xml:space="preserve"> </w:t>
            </w:r>
            <w:r w:rsidR="0098781F" w:rsidRPr="007100A6">
              <w:rPr>
                <w:rFonts w:ascii="Open Sans" w:hAnsi="Open Sans" w:cs="Open Sans"/>
                <w:color w:val="000000" w:themeColor="text1"/>
                <w:sz w:val="20"/>
                <w:szCs w:val="20"/>
              </w:rPr>
              <w:t>independence</w:t>
            </w:r>
            <w:r w:rsidR="004A0ED4" w:rsidRPr="007100A6">
              <w:rPr>
                <w:rFonts w:ascii="Open Sans" w:hAnsi="Open Sans" w:cs="Open Sans"/>
                <w:color w:val="000000" w:themeColor="text1"/>
                <w:sz w:val="20"/>
                <w:szCs w:val="20"/>
              </w:rPr>
              <w:t xml:space="preserve"> and human rights </w:t>
            </w:r>
            <w:r w:rsidRPr="007100A6">
              <w:rPr>
                <w:rFonts w:ascii="Open Sans" w:hAnsi="Open Sans" w:cs="Open Sans"/>
                <w:color w:val="000000" w:themeColor="text1"/>
                <w:sz w:val="20"/>
                <w:szCs w:val="20"/>
              </w:rPr>
              <w:t>expertise</w:t>
            </w:r>
            <w:r w:rsidR="0098781F" w:rsidRPr="007100A6">
              <w:rPr>
                <w:rFonts w:ascii="Open Sans" w:hAnsi="Open Sans" w:cs="Open Sans"/>
                <w:color w:val="000000" w:themeColor="text1"/>
                <w:sz w:val="20"/>
                <w:szCs w:val="20"/>
              </w:rPr>
              <w:t>.</w:t>
            </w:r>
          </w:p>
          <w:p w14:paraId="3AE4D088" w14:textId="6C336989" w:rsidR="004D641A" w:rsidRPr="007100A6" w:rsidRDefault="00C00053" w:rsidP="008D0AD4">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D</w:t>
            </w:r>
            <w:r w:rsidR="0098781F" w:rsidRPr="007100A6">
              <w:rPr>
                <w:rFonts w:ascii="Open Sans" w:hAnsi="Open Sans" w:cs="Open Sans"/>
                <w:color w:val="000000" w:themeColor="text1"/>
                <w:sz w:val="20"/>
                <w:szCs w:val="20"/>
              </w:rPr>
              <w:t>eliver</w:t>
            </w:r>
            <w:r w:rsidRPr="007100A6">
              <w:rPr>
                <w:rFonts w:ascii="Open Sans" w:hAnsi="Open Sans" w:cs="Open Sans"/>
                <w:color w:val="000000" w:themeColor="text1"/>
                <w:sz w:val="20"/>
                <w:szCs w:val="20"/>
              </w:rPr>
              <w:t>ing</w:t>
            </w:r>
            <w:r w:rsidR="005670CD" w:rsidRPr="007100A6">
              <w:rPr>
                <w:rFonts w:ascii="Open Sans" w:hAnsi="Open Sans" w:cs="Open Sans"/>
                <w:color w:val="000000" w:themeColor="text1"/>
                <w:sz w:val="20"/>
                <w:szCs w:val="20"/>
              </w:rPr>
              <w:t xml:space="preserve"> a consensus-</w:t>
            </w:r>
            <w:r w:rsidRPr="007100A6">
              <w:rPr>
                <w:rFonts w:ascii="Open Sans" w:hAnsi="Open Sans" w:cs="Open Sans"/>
                <w:color w:val="000000" w:themeColor="text1"/>
                <w:sz w:val="20"/>
                <w:szCs w:val="20"/>
              </w:rPr>
              <w:t xml:space="preserve">led national </w:t>
            </w:r>
            <w:r w:rsidR="00875E75" w:rsidRPr="007100A6">
              <w:rPr>
                <w:rFonts w:ascii="Open Sans" w:hAnsi="Open Sans" w:cs="Open Sans"/>
                <w:color w:val="000000" w:themeColor="text1"/>
                <w:sz w:val="20"/>
                <w:szCs w:val="20"/>
              </w:rPr>
              <w:t xml:space="preserve">reform agenda for human </w:t>
            </w:r>
            <w:r w:rsidR="004A0ED4" w:rsidRPr="007100A6">
              <w:rPr>
                <w:rFonts w:ascii="Open Sans" w:hAnsi="Open Sans" w:cs="Open Sans"/>
                <w:color w:val="000000" w:themeColor="text1"/>
                <w:sz w:val="20"/>
                <w:szCs w:val="20"/>
              </w:rPr>
              <w:t>rights,</w:t>
            </w:r>
            <w:r w:rsidRPr="007100A6">
              <w:rPr>
                <w:rFonts w:ascii="Open Sans" w:hAnsi="Open Sans" w:cs="Open Sans"/>
                <w:color w:val="000000" w:themeColor="text1"/>
                <w:sz w:val="20"/>
                <w:szCs w:val="20"/>
              </w:rPr>
              <w:t xml:space="preserve"> the project has the ability to </w:t>
            </w:r>
            <w:r w:rsidR="0098781F" w:rsidRPr="007100A6">
              <w:rPr>
                <w:rFonts w:ascii="Open Sans" w:hAnsi="Open Sans" w:cs="Open Sans"/>
                <w:color w:val="000000" w:themeColor="text1"/>
                <w:sz w:val="20"/>
                <w:szCs w:val="20"/>
              </w:rPr>
              <w:t xml:space="preserve">shape human rights priorities </w:t>
            </w:r>
            <w:r w:rsidR="00875E75" w:rsidRPr="007100A6">
              <w:rPr>
                <w:rFonts w:ascii="Open Sans" w:hAnsi="Open Sans" w:cs="Open Sans"/>
                <w:color w:val="000000" w:themeColor="text1"/>
                <w:sz w:val="20"/>
                <w:szCs w:val="20"/>
              </w:rPr>
              <w:t>over the next 5</w:t>
            </w:r>
            <w:r w:rsidR="002603F5">
              <w:rPr>
                <w:rFonts w:ascii="Open Sans" w:hAnsi="Open Sans" w:cs="Open Sans"/>
                <w:color w:val="000000" w:themeColor="text1"/>
                <w:sz w:val="20"/>
                <w:szCs w:val="20"/>
              </w:rPr>
              <w:t>–1</w:t>
            </w:r>
            <w:r w:rsidR="00875E75" w:rsidRPr="007100A6">
              <w:rPr>
                <w:rFonts w:ascii="Open Sans" w:hAnsi="Open Sans" w:cs="Open Sans"/>
                <w:color w:val="000000" w:themeColor="text1"/>
                <w:sz w:val="20"/>
                <w:szCs w:val="20"/>
              </w:rPr>
              <w:t>0 years at the federal level.</w:t>
            </w:r>
          </w:p>
          <w:p w14:paraId="7720B67D" w14:textId="38D2394A" w:rsidR="00F2722E" w:rsidRPr="007100A6" w:rsidRDefault="00F2722E" w:rsidP="008D0AD4">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 xml:space="preserve">This year the </w:t>
            </w:r>
            <w:r w:rsidR="005670CD" w:rsidRPr="007100A6">
              <w:rPr>
                <w:rFonts w:ascii="Open Sans" w:hAnsi="Open Sans" w:cs="Open Sans"/>
                <w:color w:val="000000" w:themeColor="text1"/>
                <w:sz w:val="20"/>
                <w:szCs w:val="20"/>
              </w:rPr>
              <w:t xml:space="preserve">project provides a high </w:t>
            </w:r>
            <w:r w:rsidRPr="007100A6">
              <w:rPr>
                <w:rFonts w:ascii="Open Sans" w:hAnsi="Open Sans" w:cs="Open Sans"/>
                <w:color w:val="000000" w:themeColor="text1"/>
                <w:sz w:val="20"/>
                <w:szCs w:val="20"/>
              </w:rPr>
              <w:t>profile</w:t>
            </w:r>
            <w:r w:rsidR="005670CD" w:rsidRPr="007100A6">
              <w:rPr>
                <w:rFonts w:ascii="Open Sans" w:hAnsi="Open Sans" w:cs="Open Sans"/>
                <w:color w:val="000000" w:themeColor="text1"/>
                <w:sz w:val="20"/>
                <w:szCs w:val="20"/>
              </w:rPr>
              <w:t xml:space="preserve">-high reach </w:t>
            </w:r>
            <w:r w:rsidRPr="007100A6">
              <w:rPr>
                <w:rFonts w:ascii="Open Sans" w:hAnsi="Open Sans" w:cs="Open Sans"/>
                <w:color w:val="000000" w:themeColor="text1"/>
                <w:sz w:val="20"/>
                <w:szCs w:val="20"/>
              </w:rPr>
              <w:t>vehicle for</w:t>
            </w:r>
            <w:r w:rsidR="001004E0" w:rsidRPr="007100A6">
              <w:rPr>
                <w:rFonts w:ascii="Open Sans" w:hAnsi="Open Sans" w:cs="Open Sans"/>
                <w:color w:val="000000" w:themeColor="text1"/>
                <w:sz w:val="20"/>
                <w:szCs w:val="20"/>
              </w:rPr>
              <w:t xml:space="preserve"> building ‘rights-mindedness’</w:t>
            </w:r>
            <w:r w:rsidRPr="007100A6">
              <w:rPr>
                <w:rFonts w:ascii="Open Sans" w:hAnsi="Open Sans" w:cs="Open Sans"/>
                <w:color w:val="000000" w:themeColor="text1"/>
                <w:sz w:val="20"/>
                <w:szCs w:val="20"/>
              </w:rPr>
              <w:t>, and to promote our mandated human rights education role.</w:t>
            </w:r>
          </w:p>
          <w:p w14:paraId="3D05C562" w14:textId="77777777" w:rsidR="00F2722E" w:rsidRPr="007100A6" w:rsidRDefault="00F2722E" w:rsidP="008D0AD4">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If accepted, the realisation of the reform agenda will provide a long-term stage for this work</w:t>
            </w:r>
            <w:r w:rsidR="005670CD" w:rsidRPr="007100A6">
              <w:rPr>
                <w:rFonts w:ascii="Open Sans" w:hAnsi="Open Sans" w:cs="Open Sans"/>
                <w:color w:val="000000" w:themeColor="text1"/>
                <w:sz w:val="20"/>
                <w:szCs w:val="20"/>
              </w:rPr>
              <w:t>,</w:t>
            </w:r>
            <w:r w:rsidRPr="007100A6">
              <w:rPr>
                <w:rFonts w:ascii="Open Sans" w:hAnsi="Open Sans" w:cs="Open Sans"/>
                <w:color w:val="000000" w:themeColor="text1"/>
                <w:sz w:val="20"/>
                <w:szCs w:val="20"/>
              </w:rPr>
              <w:t xml:space="preserve"> increasing the reach and relevance of our education and awareness programs to the broader community.</w:t>
            </w:r>
          </w:p>
        </w:tc>
      </w:tr>
      <w:tr w:rsidR="00193C6F" w:rsidRPr="007100A6" w14:paraId="2D8B3FCB" w14:textId="77777777" w:rsidTr="0052315A">
        <w:tc>
          <w:tcPr>
            <w:tcW w:w="2825" w:type="dxa"/>
          </w:tcPr>
          <w:p w14:paraId="2FF78389" w14:textId="1D7D1BAE" w:rsidR="008F4751" w:rsidRPr="007100A6" w:rsidRDefault="007E2872" w:rsidP="004D641A">
            <w:pPr>
              <w:spacing w:before="0" w:after="0"/>
              <w:rPr>
                <w:rFonts w:ascii="Open Sans" w:hAnsi="Open Sans" w:cs="Open Sans"/>
                <w:b/>
                <w:color w:val="000000" w:themeColor="text1"/>
                <w:sz w:val="22"/>
                <w:szCs w:val="22"/>
              </w:rPr>
            </w:pPr>
            <w:r w:rsidRPr="007100A6">
              <w:rPr>
                <w:rFonts w:ascii="Open Sans" w:hAnsi="Open Sans" w:cs="Open Sans"/>
                <w:b/>
                <w:color w:val="000000" w:themeColor="text1"/>
                <w:sz w:val="22"/>
                <w:szCs w:val="22"/>
              </w:rPr>
              <w:t>National and international focus on viole</w:t>
            </w:r>
            <w:r w:rsidR="008F4751" w:rsidRPr="007100A6">
              <w:rPr>
                <w:rFonts w:ascii="Open Sans" w:hAnsi="Open Sans" w:cs="Open Sans"/>
                <w:b/>
                <w:color w:val="000000" w:themeColor="text1"/>
                <w:sz w:val="22"/>
                <w:szCs w:val="22"/>
              </w:rPr>
              <w:t>nce/harassment issues continues</w:t>
            </w:r>
          </w:p>
        </w:tc>
        <w:tc>
          <w:tcPr>
            <w:tcW w:w="937" w:type="dxa"/>
          </w:tcPr>
          <w:p w14:paraId="457DF6CF" w14:textId="77777777" w:rsidR="004D641A" w:rsidRPr="007100A6" w:rsidRDefault="004D641A" w:rsidP="00A62599">
            <w:pPr>
              <w:spacing w:before="0" w:after="0"/>
              <w:jc w:val="center"/>
              <w:rPr>
                <w:rFonts w:ascii="Open Sans" w:hAnsi="Open Sans" w:cs="Open Sans"/>
                <w:color w:val="000000" w:themeColor="text1"/>
                <w:sz w:val="32"/>
                <w:szCs w:val="32"/>
              </w:rPr>
            </w:pPr>
          </w:p>
        </w:tc>
        <w:tc>
          <w:tcPr>
            <w:tcW w:w="1132" w:type="dxa"/>
          </w:tcPr>
          <w:p w14:paraId="0C724D73" w14:textId="77777777" w:rsidR="004D641A" w:rsidRPr="007100A6" w:rsidRDefault="00A62599" w:rsidP="00A62599">
            <w:pPr>
              <w:spacing w:before="0" w:after="0"/>
              <w:jc w:val="center"/>
              <w:rPr>
                <w:rFonts w:ascii="Open Sans" w:hAnsi="Open Sans" w:cs="Open Sans"/>
                <w:color w:val="000000" w:themeColor="text1"/>
                <w:sz w:val="32"/>
                <w:szCs w:val="32"/>
              </w:rPr>
            </w:pPr>
            <w:r w:rsidRPr="007100A6">
              <w:rPr>
                <w:rFonts w:ascii="Open Sans" w:hAnsi="Open Sans" w:cs="Open Sans"/>
                <w:color w:val="000000" w:themeColor="text1"/>
                <w:sz w:val="32"/>
                <w:szCs w:val="32"/>
              </w:rPr>
              <w:sym w:font="Wingdings" w:char="F0FC"/>
            </w:r>
          </w:p>
        </w:tc>
        <w:tc>
          <w:tcPr>
            <w:tcW w:w="992" w:type="dxa"/>
          </w:tcPr>
          <w:p w14:paraId="1811FDFC" w14:textId="77777777" w:rsidR="004D641A" w:rsidRPr="007100A6" w:rsidRDefault="004D641A" w:rsidP="00A62599">
            <w:pPr>
              <w:spacing w:before="0" w:after="0"/>
              <w:jc w:val="center"/>
              <w:rPr>
                <w:rFonts w:ascii="Open Sans" w:hAnsi="Open Sans" w:cs="Open Sans"/>
                <w:color w:val="000000" w:themeColor="text1"/>
                <w:sz w:val="32"/>
                <w:szCs w:val="32"/>
              </w:rPr>
            </w:pPr>
          </w:p>
        </w:tc>
        <w:tc>
          <w:tcPr>
            <w:tcW w:w="8674" w:type="dxa"/>
          </w:tcPr>
          <w:p w14:paraId="054971C9" w14:textId="77777777" w:rsidR="007E2872" w:rsidRPr="007100A6" w:rsidRDefault="007E2872" w:rsidP="008D0AD4">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 xml:space="preserve">We can </w:t>
            </w:r>
            <w:r w:rsidR="00D3576F" w:rsidRPr="007100A6">
              <w:rPr>
                <w:rFonts w:ascii="Open Sans" w:hAnsi="Open Sans" w:cs="Open Sans"/>
                <w:color w:val="000000" w:themeColor="text1"/>
                <w:sz w:val="20"/>
                <w:szCs w:val="20"/>
              </w:rPr>
              <w:t xml:space="preserve">expect </w:t>
            </w:r>
            <w:r w:rsidR="00CB6ECC" w:rsidRPr="007100A6">
              <w:rPr>
                <w:rFonts w:ascii="Open Sans" w:hAnsi="Open Sans" w:cs="Open Sans"/>
                <w:color w:val="000000" w:themeColor="text1"/>
                <w:sz w:val="20"/>
                <w:szCs w:val="20"/>
              </w:rPr>
              <w:t>that</w:t>
            </w:r>
            <w:r w:rsidR="00F6666C" w:rsidRPr="007100A6">
              <w:rPr>
                <w:rFonts w:ascii="Open Sans" w:hAnsi="Open Sans" w:cs="Open Sans"/>
                <w:color w:val="000000" w:themeColor="text1"/>
                <w:sz w:val="20"/>
                <w:szCs w:val="20"/>
              </w:rPr>
              <w:t xml:space="preserve"> the national and international </w:t>
            </w:r>
            <w:r w:rsidRPr="007100A6">
              <w:rPr>
                <w:rFonts w:ascii="Open Sans" w:hAnsi="Open Sans" w:cs="Open Sans"/>
                <w:color w:val="000000" w:themeColor="text1"/>
                <w:sz w:val="20"/>
                <w:szCs w:val="20"/>
              </w:rPr>
              <w:t xml:space="preserve">momentum </w:t>
            </w:r>
            <w:r w:rsidR="00CB6ECC" w:rsidRPr="007100A6">
              <w:rPr>
                <w:rFonts w:ascii="Open Sans" w:hAnsi="Open Sans" w:cs="Open Sans"/>
                <w:color w:val="000000" w:themeColor="text1"/>
                <w:sz w:val="20"/>
                <w:szCs w:val="20"/>
              </w:rPr>
              <w:t>on</w:t>
            </w:r>
            <w:r w:rsidRPr="007100A6">
              <w:rPr>
                <w:rFonts w:ascii="Open Sans" w:hAnsi="Open Sans" w:cs="Open Sans"/>
                <w:color w:val="000000" w:themeColor="text1"/>
                <w:sz w:val="20"/>
                <w:szCs w:val="20"/>
              </w:rPr>
              <w:t xml:space="preserve"> these issue</w:t>
            </w:r>
            <w:r w:rsidR="00F6666C" w:rsidRPr="007100A6">
              <w:rPr>
                <w:rFonts w:ascii="Open Sans" w:hAnsi="Open Sans" w:cs="Open Sans"/>
                <w:color w:val="000000" w:themeColor="text1"/>
                <w:sz w:val="20"/>
                <w:szCs w:val="20"/>
              </w:rPr>
              <w:t>s</w:t>
            </w:r>
            <w:r w:rsidRPr="007100A6">
              <w:rPr>
                <w:rFonts w:ascii="Open Sans" w:hAnsi="Open Sans" w:cs="Open Sans"/>
                <w:color w:val="000000" w:themeColor="text1"/>
                <w:sz w:val="20"/>
                <w:szCs w:val="20"/>
              </w:rPr>
              <w:t xml:space="preserve"> </w:t>
            </w:r>
            <w:r w:rsidR="00CB6ECC" w:rsidRPr="007100A6">
              <w:rPr>
                <w:rFonts w:ascii="Open Sans" w:hAnsi="Open Sans" w:cs="Open Sans"/>
                <w:color w:val="000000" w:themeColor="text1"/>
                <w:sz w:val="20"/>
                <w:szCs w:val="20"/>
              </w:rPr>
              <w:t xml:space="preserve">will enable the Commission to continue to </w:t>
            </w:r>
            <w:r w:rsidR="00F6666C" w:rsidRPr="007100A6">
              <w:rPr>
                <w:rFonts w:ascii="Open Sans" w:hAnsi="Open Sans" w:cs="Open Sans"/>
                <w:color w:val="000000" w:themeColor="text1"/>
                <w:sz w:val="20"/>
                <w:szCs w:val="20"/>
              </w:rPr>
              <w:t>utilis</w:t>
            </w:r>
            <w:r w:rsidR="00CB6ECC" w:rsidRPr="007100A6">
              <w:rPr>
                <w:rFonts w:ascii="Open Sans" w:hAnsi="Open Sans" w:cs="Open Sans"/>
                <w:color w:val="000000" w:themeColor="text1"/>
                <w:sz w:val="20"/>
                <w:szCs w:val="20"/>
              </w:rPr>
              <w:t>e its</w:t>
            </w:r>
            <w:r w:rsidRPr="007100A6">
              <w:rPr>
                <w:rFonts w:ascii="Open Sans" w:hAnsi="Open Sans" w:cs="Open Sans"/>
                <w:color w:val="000000" w:themeColor="text1"/>
                <w:sz w:val="20"/>
                <w:szCs w:val="20"/>
              </w:rPr>
              <w:t xml:space="preserve"> functions to drive positive change.</w:t>
            </w:r>
          </w:p>
          <w:p w14:paraId="6D9ED933" w14:textId="77777777" w:rsidR="00793261" w:rsidRPr="007100A6" w:rsidRDefault="005670CD" w:rsidP="008D0AD4">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International focus through the #MeToo and #</w:t>
            </w:r>
            <w:proofErr w:type="spellStart"/>
            <w:r w:rsidRPr="007100A6">
              <w:rPr>
                <w:rFonts w:ascii="Open Sans" w:hAnsi="Open Sans" w:cs="Open Sans"/>
                <w:color w:val="000000" w:themeColor="text1"/>
                <w:sz w:val="20"/>
                <w:szCs w:val="20"/>
              </w:rPr>
              <w:t>TimesUp</w:t>
            </w:r>
            <w:proofErr w:type="spellEnd"/>
            <w:r w:rsidRPr="007100A6">
              <w:rPr>
                <w:rFonts w:ascii="Open Sans" w:hAnsi="Open Sans" w:cs="Open Sans"/>
                <w:color w:val="000000" w:themeColor="text1"/>
                <w:sz w:val="20"/>
                <w:szCs w:val="20"/>
              </w:rPr>
              <w:t xml:space="preserve"> movement</w:t>
            </w:r>
            <w:r w:rsidR="00793261" w:rsidRPr="007100A6">
              <w:rPr>
                <w:rFonts w:ascii="Open Sans" w:hAnsi="Open Sans" w:cs="Open Sans"/>
                <w:color w:val="000000" w:themeColor="text1"/>
                <w:sz w:val="20"/>
                <w:szCs w:val="20"/>
              </w:rPr>
              <w:t xml:space="preserve"> contributing to significant national focus</w:t>
            </w:r>
            <w:r w:rsidRPr="007100A6">
              <w:rPr>
                <w:rFonts w:ascii="Open Sans" w:hAnsi="Open Sans" w:cs="Open Sans"/>
                <w:color w:val="000000" w:themeColor="text1"/>
                <w:sz w:val="20"/>
                <w:szCs w:val="20"/>
              </w:rPr>
              <w:t xml:space="preserve"> on sexual harassment</w:t>
            </w:r>
            <w:r w:rsidR="00793261" w:rsidRPr="007100A6">
              <w:rPr>
                <w:rFonts w:ascii="Open Sans" w:hAnsi="Open Sans" w:cs="Open Sans"/>
                <w:color w:val="000000" w:themeColor="text1"/>
                <w:sz w:val="20"/>
                <w:szCs w:val="20"/>
              </w:rPr>
              <w:t xml:space="preserve"> </w:t>
            </w:r>
            <w:r w:rsidR="00E92F38" w:rsidRPr="007100A6">
              <w:rPr>
                <w:rFonts w:ascii="Open Sans" w:hAnsi="Open Sans" w:cs="Open Sans"/>
                <w:color w:val="000000" w:themeColor="text1"/>
                <w:sz w:val="20"/>
                <w:szCs w:val="20"/>
              </w:rPr>
              <w:t>in</w:t>
            </w:r>
            <w:r w:rsidR="00793261" w:rsidRPr="007100A6">
              <w:rPr>
                <w:rFonts w:ascii="Open Sans" w:hAnsi="Open Sans" w:cs="Open Sans"/>
                <w:color w:val="000000" w:themeColor="text1"/>
                <w:sz w:val="20"/>
                <w:szCs w:val="20"/>
              </w:rPr>
              <w:t xml:space="preserve"> </w:t>
            </w:r>
            <w:r w:rsidR="00853B82" w:rsidRPr="007100A6">
              <w:rPr>
                <w:rFonts w:ascii="Open Sans" w:hAnsi="Open Sans" w:cs="Open Sans"/>
                <w:color w:val="000000" w:themeColor="text1"/>
                <w:sz w:val="20"/>
                <w:szCs w:val="20"/>
              </w:rPr>
              <w:t>the year</w:t>
            </w:r>
            <w:r w:rsidR="00502446" w:rsidRPr="007100A6">
              <w:rPr>
                <w:rFonts w:ascii="Open Sans" w:hAnsi="Open Sans" w:cs="Open Sans"/>
                <w:color w:val="000000" w:themeColor="text1"/>
                <w:sz w:val="20"/>
                <w:szCs w:val="20"/>
              </w:rPr>
              <w:t xml:space="preserve"> </w:t>
            </w:r>
            <w:r w:rsidR="00853B82" w:rsidRPr="007100A6">
              <w:rPr>
                <w:rFonts w:ascii="Open Sans" w:hAnsi="Open Sans" w:cs="Open Sans"/>
                <w:color w:val="000000" w:themeColor="text1"/>
                <w:sz w:val="20"/>
                <w:szCs w:val="20"/>
              </w:rPr>
              <w:t>that</w:t>
            </w:r>
            <w:r w:rsidR="00502446" w:rsidRPr="007100A6">
              <w:rPr>
                <w:rFonts w:ascii="Open Sans" w:hAnsi="Open Sans" w:cs="Open Sans"/>
                <w:color w:val="000000" w:themeColor="text1"/>
                <w:sz w:val="20"/>
                <w:szCs w:val="20"/>
              </w:rPr>
              <w:t xml:space="preserve"> the Sex </w:t>
            </w:r>
            <w:r w:rsidR="00853B82" w:rsidRPr="007100A6">
              <w:rPr>
                <w:rFonts w:ascii="Open Sans" w:hAnsi="Open Sans" w:cs="Open Sans"/>
                <w:color w:val="000000" w:themeColor="text1"/>
                <w:sz w:val="20"/>
                <w:szCs w:val="20"/>
              </w:rPr>
              <w:t>Discrimination</w:t>
            </w:r>
            <w:r w:rsidR="00502446" w:rsidRPr="007100A6">
              <w:rPr>
                <w:rFonts w:ascii="Open Sans" w:hAnsi="Open Sans" w:cs="Open Sans"/>
                <w:color w:val="000000" w:themeColor="text1"/>
                <w:sz w:val="20"/>
                <w:szCs w:val="20"/>
              </w:rPr>
              <w:t xml:space="preserve"> </w:t>
            </w:r>
            <w:r w:rsidR="00853B82" w:rsidRPr="007100A6">
              <w:rPr>
                <w:rFonts w:ascii="Open Sans" w:hAnsi="Open Sans" w:cs="Open Sans"/>
                <w:color w:val="000000" w:themeColor="text1"/>
                <w:sz w:val="20"/>
                <w:szCs w:val="20"/>
              </w:rPr>
              <w:t>Commissioner</w:t>
            </w:r>
            <w:r w:rsidR="00502446" w:rsidRPr="007100A6">
              <w:rPr>
                <w:rFonts w:ascii="Open Sans" w:hAnsi="Open Sans" w:cs="Open Sans"/>
                <w:color w:val="000000" w:themeColor="text1"/>
                <w:sz w:val="20"/>
                <w:szCs w:val="20"/>
              </w:rPr>
              <w:t xml:space="preserve"> will release the</w:t>
            </w:r>
            <w:r w:rsidR="00853B82" w:rsidRPr="007100A6">
              <w:rPr>
                <w:rFonts w:ascii="Open Sans" w:hAnsi="Open Sans" w:cs="Open Sans"/>
                <w:color w:val="000000" w:themeColor="text1"/>
                <w:sz w:val="20"/>
                <w:szCs w:val="20"/>
              </w:rPr>
              <w:t xml:space="preserve"> </w:t>
            </w:r>
            <w:r w:rsidR="00E92F38" w:rsidRPr="007100A6">
              <w:rPr>
                <w:rFonts w:ascii="Open Sans" w:hAnsi="Open Sans" w:cs="Open Sans"/>
                <w:color w:val="000000" w:themeColor="text1"/>
                <w:sz w:val="20"/>
                <w:szCs w:val="20"/>
              </w:rPr>
              <w:t xml:space="preserve">report of the national inquiry into workplace sexual </w:t>
            </w:r>
            <w:r w:rsidRPr="007100A6">
              <w:rPr>
                <w:rFonts w:ascii="Open Sans" w:hAnsi="Open Sans" w:cs="Open Sans"/>
                <w:color w:val="000000" w:themeColor="text1"/>
                <w:sz w:val="20"/>
                <w:szCs w:val="20"/>
              </w:rPr>
              <w:t>harassment.</w:t>
            </w:r>
          </w:p>
          <w:p w14:paraId="01FF67AD" w14:textId="682043B4" w:rsidR="00502446" w:rsidRPr="007100A6" w:rsidRDefault="004E3513" w:rsidP="008D0AD4">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lastRenderedPageBreak/>
              <w:t>The</w:t>
            </w:r>
            <w:r w:rsidR="00502446" w:rsidRPr="007100A6">
              <w:rPr>
                <w:rFonts w:ascii="Open Sans" w:hAnsi="Open Sans" w:cs="Open Sans"/>
                <w:color w:val="000000" w:themeColor="text1"/>
                <w:sz w:val="20"/>
                <w:szCs w:val="20"/>
              </w:rPr>
              <w:t xml:space="preserve"> United Nations’ </w:t>
            </w:r>
            <w:r w:rsidRPr="007100A6">
              <w:rPr>
                <w:rFonts w:ascii="Open Sans" w:hAnsi="Open Sans" w:cs="Open Sans"/>
                <w:color w:val="000000" w:themeColor="text1"/>
                <w:sz w:val="20"/>
                <w:szCs w:val="20"/>
              </w:rPr>
              <w:t xml:space="preserve">global </w:t>
            </w:r>
            <w:r w:rsidR="00502446" w:rsidRPr="007100A6">
              <w:rPr>
                <w:rFonts w:ascii="Open Sans" w:hAnsi="Open Sans" w:cs="Open Sans"/>
                <w:color w:val="000000" w:themeColor="text1"/>
                <w:sz w:val="20"/>
                <w:szCs w:val="20"/>
              </w:rPr>
              <w:t xml:space="preserve">campaign on </w:t>
            </w:r>
            <w:r w:rsidRPr="007100A6">
              <w:rPr>
                <w:rFonts w:ascii="Open Sans" w:hAnsi="Open Sans" w:cs="Open Sans"/>
                <w:color w:val="000000" w:themeColor="text1"/>
                <w:sz w:val="20"/>
                <w:szCs w:val="20"/>
              </w:rPr>
              <w:t>violence against children</w:t>
            </w:r>
            <w:r w:rsidR="00502446" w:rsidRPr="007100A6">
              <w:rPr>
                <w:rFonts w:ascii="Open Sans" w:hAnsi="Open Sans" w:cs="Open Sans"/>
                <w:color w:val="000000" w:themeColor="text1"/>
                <w:sz w:val="20"/>
                <w:szCs w:val="20"/>
              </w:rPr>
              <w:t xml:space="preserve"> </w:t>
            </w:r>
            <w:r w:rsidRPr="007100A6">
              <w:rPr>
                <w:rFonts w:ascii="Open Sans" w:hAnsi="Open Sans" w:cs="Open Sans"/>
                <w:color w:val="000000" w:themeColor="text1"/>
                <w:sz w:val="20"/>
                <w:szCs w:val="20"/>
              </w:rPr>
              <w:t>provides international context</w:t>
            </w:r>
            <w:r w:rsidR="00502446" w:rsidRPr="007100A6">
              <w:rPr>
                <w:rFonts w:ascii="Open Sans" w:hAnsi="Open Sans" w:cs="Open Sans"/>
                <w:color w:val="000000" w:themeColor="text1"/>
                <w:sz w:val="20"/>
                <w:szCs w:val="20"/>
              </w:rPr>
              <w:t xml:space="preserve"> </w:t>
            </w:r>
            <w:r w:rsidR="005670CD" w:rsidRPr="007100A6">
              <w:rPr>
                <w:rFonts w:ascii="Open Sans" w:hAnsi="Open Sans" w:cs="Open Sans"/>
                <w:color w:val="000000" w:themeColor="text1"/>
                <w:sz w:val="20"/>
                <w:szCs w:val="20"/>
              </w:rPr>
              <w:t>to</w:t>
            </w:r>
            <w:r w:rsidRPr="007100A6">
              <w:rPr>
                <w:rFonts w:ascii="Open Sans" w:hAnsi="Open Sans" w:cs="Open Sans"/>
                <w:color w:val="000000" w:themeColor="text1"/>
                <w:sz w:val="20"/>
                <w:szCs w:val="20"/>
              </w:rPr>
              <w:t xml:space="preserve"> work in Australia</w:t>
            </w:r>
            <w:r w:rsidR="005670CD" w:rsidRPr="007100A6">
              <w:rPr>
                <w:rFonts w:ascii="Open Sans" w:hAnsi="Open Sans" w:cs="Open Sans"/>
                <w:color w:val="000000" w:themeColor="text1"/>
                <w:sz w:val="20"/>
                <w:szCs w:val="20"/>
              </w:rPr>
              <w:t xml:space="preserve"> that is</w:t>
            </w:r>
            <w:r w:rsidRPr="007100A6">
              <w:rPr>
                <w:rFonts w:ascii="Open Sans" w:hAnsi="Open Sans" w:cs="Open Sans"/>
                <w:color w:val="000000" w:themeColor="text1"/>
                <w:sz w:val="20"/>
                <w:szCs w:val="20"/>
              </w:rPr>
              <w:t xml:space="preserve"> responding to the Royal Commission into institutional abuse of children, and to other forms of violence against children</w:t>
            </w:r>
            <w:r w:rsidR="005670CD" w:rsidRPr="007100A6">
              <w:rPr>
                <w:rFonts w:ascii="Open Sans" w:hAnsi="Open Sans" w:cs="Open Sans"/>
                <w:color w:val="000000" w:themeColor="text1"/>
                <w:sz w:val="20"/>
                <w:szCs w:val="20"/>
              </w:rPr>
              <w:t>.</w:t>
            </w:r>
          </w:p>
          <w:p w14:paraId="3E390BEC" w14:textId="4CFEDAE4" w:rsidR="00793261" w:rsidRPr="007100A6" w:rsidRDefault="00CB6ECC" w:rsidP="008D0AD4">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 xml:space="preserve">Establishment of Royal Commissions into institutional abuse of persons with disabilities and aged care provides </w:t>
            </w:r>
            <w:r w:rsidR="005670CD" w:rsidRPr="007100A6">
              <w:rPr>
                <w:rFonts w:ascii="Open Sans" w:hAnsi="Open Sans" w:cs="Open Sans"/>
                <w:color w:val="000000" w:themeColor="text1"/>
                <w:sz w:val="20"/>
                <w:szCs w:val="20"/>
              </w:rPr>
              <w:t xml:space="preserve">an </w:t>
            </w:r>
            <w:r w:rsidRPr="007100A6">
              <w:rPr>
                <w:rFonts w:ascii="Open Sans" w:hAnsi="Open Sans" w:cs="Open Sans"/>
                <w:color w:val="000000" w:themeColor="text1"/>
                <w:sz w:val="20"/>
                <w:szCs w:val="20"/>
              </w:rPr>
              <w:t xml:space="preserve">opportunity to advance human rights protections and </w:t>
            </w:r>
            <w:r w:rsidR="004A0ED4" w:rsidRPr="007100A6">
              <w:rPr>
                <w:rFonts w:ascii="Open Sans" w:hAnsi="Open Sans" w:cs="Open Sans"/>
                <w:color w:val="000000" w:themeColor="text1"/>
                <w:sz w:val="20"/>
                <w:szCs w:val="20"/>
              </w:rPr>
              <w:t xml:space="preserve">a </w:t>
            </w:r>
            <w:r w:rsidRPr="007100A6">
              <w:rPr>
                <w:rFonts w:ascii="Open Sans" w:hAnsi="Open Sans" w:cs="Open Sans"/>
                <w:color w:val="000000" w:themeColor="text1"/>
                <w:sz w:val="20"/>
                <w:szCs w:val="20"/>
              </w:rPr>
              <w:t>safeguarding focus for vulnerable groups and people</w:t>
            </w:r>
            <w:r w:rsidR="004A0ED4" w:rsidRPr="007100A6">
              <w:rPr>
                <w:rFonts w:ascii="Open Sans" w:hAnsi="Open Sans" w:cs="Open Sans"/>
                <w:color w:val="000000" w:themeColor="text1"/>
                <w:sz w:val="20"/>
                <w:szCs w:val="20"/>
              </w:rPr>
              <w:t>.</w:t>
            </w:r>
          </w:p>
        </w:tc>
      </w:tr>
      <w:tr w:rsidR="00193C6F" w:rsidRPr="007100A6" w14:paraId="11B629D5" w14:textId="77777777" w:rsidTr="0052315A">
        <w:tc>
          <w:tcPr>
            <w:tcW w:w="2825" w:type="dxa"/>
          </w:tcPr>
          <w:p w14:paraId="521B1E2B" w14:textId="77777777" w:rsidR="008F4751" w:rsidRPr="007100A6" w:rsidRDefault="00F200C4" w:rsidP="004D641A">
            <w:pPr>
              <w:spacing w:before="0" w:after="0"/>
              <w:rPr>
                <w:rFonts w:ascii="Open Sans" w:hAnsi="Open Sans" w:cs="Open Sans"/>
                <w:b/>
                <w:color w:val="000000" w:themeColor="text1"/>
                <w:sz w:val="22"/>
                <w:szCs w:val="22"/>
              </w:rPr>
            </w:pPr>
            <w:r w:rsidRPr="007100A6">
              <w:rPr>
                <w:rFonts w:ascii="Open Sans" w:hAnsi="Open Sans" w:cs="Open Sans"/>
                <w:b/>
                <w:color w:val="000000" w:themeColor="text1"/>
                <w:sz w:val="22"/>
                <w:szCs w:val="22"/>
              </w:rPr>
              <w:lastRenderedPageBreak/>
              <w:t>Reputational consolidation and growth</w:t>
            </w:r>
          </w:p>
        </w:tc>
        <w:tc>
          <w:tcPr>
            <w:tcW w:w="937" w:type="dxa"/>
          </w:tcPr>
          <w:p w14:paraId="75614623" w14:textId="77777777" w:rsidR="008F4751" w:rsidRPr="007100A6" w:rsidRDefault="008F4751" w:rsidP="00A62599">
            <w:pPr>
              <w:spacing w:before="0" w:after="0"/>
              <w:jc w:val="center"/>
              <w:rPr>
                <w:rFonts w:ascii="Open Sans" w:hAnsi="Open Sans" w:cs="Open Sans"/>
                <w:color w:val="000000" w:themeColor="text1"/>
                <w:sz w:val="32"/>
                <w:szCs w:val="32"/>
              </w:rPr>
            </w:pPr>
          </w:p>
        </w:tc>
        <w:tc>
          <w:tcPr>
            <w:tcW w:w="1132" w:type="dxa"/>
          </w:tcPr>
          <w:p w14:paraId="2FCCA9D9" w14:textId="77777777" w:rsidR="008F4751" w:rsidRPr="007100A6" w:rsidRDefault="00F200C4" w:rsidP="00A62599">
            <w:pPr>
              <w:spacing w:before="0" w:after="0"/>
              <w:jc w:val="center"/>
              <w:rPr>
                <w:rFonts w:ascii="Open Sans" w:hAnsi="Open Sans" w:cs="Open Sans"/>
                <w:color w:val="000000" w:themeColor="text1"/>
                <w:sz w:val="32"/>
                <w:szCs w:val="32"/>
              </w:rPr>
            </w:pPr>
            <w:r w:rsidRPr="007100A6">
              <w:rPr>
                <w:rFonts w:ascii="Open Sans" w:hAnsi="Open Sans" w:cs="Open Sans"/>
                <w:color w:val="000000" w:themeColor="text1"/>
                <w:sz w:val="32"/>
                <w:szCs w:val="32"/>
              </w:rPr>
              <w:sym w:font="Wingdings" w:char="F0FC"/>
            </w:r>
          </w:p>
        </w:tc>
        <w:tc>
          <w:tcPr>
            <w:tcW w:w="992" w:type="dxa"/>
          </w:tcPr>
          <w:p w14:paraId="599CAA7E" w14:textId="77777777" w:rsidR="008F4751" w:rsidRPr="007100A6" w:rsidRDefault="008F4751" w:rsidP="00A62599">
            <w:pPr>
              <w:spacing w:before="0" w:after="0"/>
              <w:jc w:val="center"/>
              <w:rPr>
                <w:rFonts w:ascii="Open Sans" w:hAnsi="Open Sans" w:cs="Open Sans"/>
                <w:color w:val="000000" w:themeColor="text1"/>
                <w:sz w:val="32"/>
                <w:szCs w:val="32"/>
              </w:rPr>
            </w:pPr>
          </w:p>
        </w:tc>
        <w:tc>
          <w:tcPr>
            <w:tcW w:w="8674" w:type="dxa"/>
          </w:tcPr>
          <w:p w14:paraId="6A459A9C" w14:textId="3D0CA38A" w:rsidR="00F200C4" w:rsidRPr="007100A6" w:rsidRDefault="00F200C4" w:rsidP="008D0AD4">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In the context of the national conversation project, agenda</w:t>
            </w:r>
            <w:r w:rsidR="002603F5">
              <w:rPr>
                <w:rFonts w:ascii="Open Sans" w:hAnsi="Open Sans" w:cs="Open Sans"/>
                <w:color w:val="000000" w:themeColor="text1"/>
                <w:sz w:val="20"/>
                <w:szCs w:val="20"/>
              </w:rPr>
              <w:t>-</w:t>
            </w:r>
            <w:r w:rsidRPr="007100A6">
              <w:rPr>
                <w:rFonts w:ascii="Open Sans" w:hAnsi="Open Sans" w:cs="Open Sans"/>
                <w:color w:val="000000" w:themeColor="text1"/>
                <w:sz w:val="20"/>
                <w:szCs w:val="20"/>
              </w:rPr>
              <w:t xml:space="preserve">leading Commissioner programs, and the opportunities </w:t>
            </w:r>
            <w:r w:rsidR="008D0AD4" w:rsidRPr="007100A6">
              <w:rPr>
                <w:rFonts w:ascii="Open Sans" w:hAnsi="Open Sans" w:cs="Open Sans"/>
                <w:color w:val="000000" w:themeColor="text1"/>
                <w:sz w:val="20"/>
                <w:szCs w:val="20"/>
              </w:rPr>
              <w:t>outlined</w:t>
            </w:r>
            <w:r w:rsidR="00E1467E" w:rsidRPr="007100A6">
              <w:rPr>
                <w:rFonts w:ascii="Open Sans" w:hAnsi="Open Sans" w:cs="Open Sans"/>
                <w:color w:val="000000" w:themeColor="text1"/>
                <w:sz w:val="20"/>
                <w:szCs w:val="20"/>
              </w:rPr>
              <w:t>,</w:t>
            </w:r>
            <w:r w:rsidRPr="007100A6">
              <w:rPr>
                <w:rFonts w:ascii="Open Sans" w:hAnsi="Open Sans" w:cs="Open Sans"/>
                <w:color w:val="000000" w:themeColor="text1"/>
                <w:sz w:val="20"/>
                <w:szCs w:val="20"/>
              </w:rPr>
              <w:t xml:space="preserve"> we can continue to promote our distinct value and role as Australia's National Human Rights Institution.</w:t>
            </w:r>
          </w:p>
          <w:p w14:paraId="0B492FA9" w14:textId="58DA66F2" w:rsidR="008F4751" w:rsidRPr="007100A6" w:rsidRDefault="00F200C4" w:rsidP="00FC79EA">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 xml:space="preserve">Commission </w:t>
            </w:r>
            <w:r w:rsidR="00D15086" w:rsidRPr="007100A6">
              <w:rPr>
                <w:rFonts w:ascii="Open Sans" w:hAnsi="Open Sans" w:cs="Open Sans"/>
                <w:color w:val="000000" w:themeColor="text1"/>
                <w:sz w:val="20"/>
                <w:szCs w:val="20"/>
              </w:rPr>
              <w:t xml:space="preserve">maintains </w:t>
            </w:r>
            <w:r w:rsidR="004A0ED4" w:rsidRPr="007100A6">
              <w:rPr>
                <w:rFonts w:ascii="Open Sans" w:hAnsi="Open Sans" w:cs="Open Sans"/>
                <w:color w:val="000000" w:themeColor="text1"/>
                <w:sz w:val="20"/>
                <w:szCs w:val="20"/>
              </w:rPr>
              <w:t xml:space="preserve">track </w:t>
            </w:r>
            <w:r w:rsidRPr="007100A6">
              <w:rPr>
                <w:rFonts w:ascii="Open Sans" w:hAnsi="Open Sans" w:cs="Open Sans"/>
                <w:color w:val="000000" w:themeColor="text1"/>
                <w:sz w:val="20"/>
                <w:szCs w:val="20"/>
              </w:rPr>
              <w:t xml:space="preserve">record of being sought out for expertise and advice across </w:t>
            </w:r>
            <w:r w:rsidR="004A0ED4" w:rsidRPr="007100A6">
              <w:rPr>
                <w:rFonts w:ascii="Open Sans" w:hAnsi="Open Sans" w:cs="Open Sans"/>
                <w:color w:val="000000" w:themeColor="text1"/>
                <w:sz w:val="20"/>
                <w:szCs w:val="20"/>
              </w:rPr>
              <w:t>government portfolios and departments</w:t>
            </w:r>
            <w:r w:rsidRPr="007100A6">
              <w:rPr>
                <w:rFonts w:ascii="Open Sans" w:hAnsi="Open Sans" w:cs="Open Sans"/>
                <w:color w:val="000000" w:themeColor="text1"/>
                <w:sz w:val="20"/>
                <w:szCs w:val="20"/>
              </w:rPr>
              <w:t>.</w:t>
            </w:r>
          </w:p>
        </w:tc>
      </w:tr>
      <w:tr w:rsidR="00193C6F" w:rsidRPr="007100A6" w14:paraId="0E09E568" w14:textId="77777777" w:rsidTr="0052315A">
        <w:tc>
          <w:tcPr>
            <w:tcW w:w="2825" w:type="dxa"/>
          </w:tcPr>
          <w:p w14:paraId="146F9624" w14:textId="77777777" w:rsidR="008F4751" w:rsidRPr="007100A6" w:rsidRDefault="008F4751" w:rsidP="008F4751">
            <w:pPr>
              <w:spacing w:before="0" w:after="0"/>
              <w:rPr>
                <w:rFonts w:ascii="Open Sans" w:hAnsi="Open Sans" w:cs="Open Sans"/>
                <w:b/>
                <w:color w:val="000000" w:themeColor="text1"/>
                <w:sz w:val="22"/>
                <w:szCs w:val="22"/>
              </w:rPr>
            </w:pPr>
            <w:r w:rsidRPr="007100A6">
              <w:rPr>
                <w:rFonts w:ascii="Open Sans" w:hAnsi="Open Sans" w:cs="Open Sans"/>
                <w:b/>
                <w:color w:val="000000" w:themeColor="text1"/>
                <w:sz w:val="22"/>
                <w:szCs w:val="22"/>
              </w:rPr>
              <w:t>International and Universal Periodic Review engagement</w:t>
            </w:r>
          </w:p>
        </w:tc>
        <w:tc>
          <w:tcPr>
            <w:tcW w:w="937" w:type="dxa"/>
          </w:tcPr>
          <w:p w14:paraId="17DF9AAD" w14:textId="77777777" w:rsidR="008F4751" w:rsidRPr="007100A6" w:rsidRDefault="008F4751" w:rsidP="008F4751">
            <w:pPr>
              <w:spacing w:before="0" w:after="0"/>
              <w:jc w:val="center"/>
              <w:rPr>
                <w:rFonts w:ascii="Open Sans" w:hAnsi="Open Sans" w:cs="Open Sans"/>
                <w:color w:val="000000" w:themeColor="text1"/>
                <w:sz w:val="32"/>
                <w:szCs w:val="32"/>
              </w:rPr>
            </w:pPr>
          </w:p>
        </w:tc>
        <w:tc>
          <w:tcPr>
            <w:tcW w:w="1132" w:type="dxa"/>
          </w:tcPr>
          <w:p w14:paraId="783DB024" w14:textId="77777777" w:rsidR="008F4751" w:rsidRPr="007100A6" w:rsidRDefault="00C955E4" w:rsidP="008F4751">
            <w:pPr>
              <w:spacing w:before="0" w:after="0"/>
              <w:jc w:val="center"/>
              <w:rPr>
                <w:rFonts w:ascii="Open Sans" w:hAnsi="Open Sans" w:cs="Open Sans"/>
                <w:color w:val="000000" w:themeColor="text1"/>
                <w:sz w:val="32"/>
                <w:szCs w:val="32"/>
              </w:rPr>
            </w:pPr>
            <w:r w:rsidRPr="007100A6">
              <w:rPr>
                <w:rFonts w:ascii="Open Sans" w:hAnsi="Open Sans" w:cs="Open Sans"/>
                <w:color w:val="000000" w:themeColor="text1"/>
                <w:sz w:val="32"/>
                <w:szCs w:val="32"/>
              </w:rPr>
              <w:sym w:font="Wingdings" w:char="F0FC"/>
            </w:r>
          </w:p>
        </w:tc>
        <w:tc>
          <w:tcPr>
            <w:tcW w:w="992" w:type="dxa"/>
          </w:tcPr>
          <w:p w14:paraId="719B585A" w14:textId="77777777" w:rsidR="008F4751" w:rsidRPr="007100A6" w:rsidRDefault="008F4751" w:rsidP="008F4751">
            <w:pPr>
              <w:spacing w:before="0" w:after="0"/>
              <w:jc w:val="center"/>
              <w:rPr>
                <w:rFonts w:ascii="Open Sans" w:hAnsi="Open Sans" w:cs="Open Sans"/>
                <w:color w:val="000000" w:themeColor="text1"/>
                <w:sz w:val="32"/>
                <w:szCs w:val="32"/>
              </w:rPr>
            </w:pPr>
          </w:p>
        </w:tc>
        <w:tc>
          <w:tcPr>
            <w:tcW w:w="8674" w:type="dxa"/>
          </w:tcPr>
          <w:p w14:paraId="6F995786" w14:textId="6617CD5D" w:rsidR="00163C30" w:rsidRPr="007100A6" w:rsidRDefault="008F4751" w:rsidP="008F4751">
            <w:pPr>
              <w:pStyle w:val="Paragrafoelenco"/>
              <w:numPr>
                <w:ilvl w:val="0"/>
                <w:numId w:val="33"/>
              </w:numPr>
              <w:spacing w:before="0" w:after="0"/>
              <w:rPr>
                <w:rFonts w:ascii="Open Sans" w:hAnsi="Open Sans" w:cs="Open Sans"/>
                <w:color w:val="000000" w:themeColor="text1"/>
                <w:sz w:val="20"/>
                <w:szCs w:val="20"/>
              </w:rPr>
            </w:pPr>
            <w:r w:rsidRPr="007100A6">
              <w:rPr>
                <w:rFonts w:ascii="Open Sans" w:hAnsi="Open Sans" w:cs="Open Sans"/>
                <w:color w:val="000000" w:themeColor="text1"/>
                <w:sz w:val="20"/>
                <w:szCs w:val="20"/>
              </w:rPr>
              <w:t xml:space="preserve">Australia’s place on </w:t>
            </w:r>
            <w:r w:rsidR="00CC23E0">
              <w:rPr>
                <w:rFonts w:ascii="Open Sans" w:hAnsi="Open Sans" w:cs="Open Sans"/>
                <w:color w:val="000000" w:themeColor="text1"/>
                <w:sz w:val="20"/>
                <w:szCs w:val="20"/>
              </w:rPr>
              <w:t xml:space="preserve">the </w:t>
            </w:r>
            <w:r w:rsidRPr="007100A6">
              <w:rPr>
                <w:rFonts w:ascii="Open Sans" w:hAnsi="Open Sans" w:cs="Open Sans"/>
                <w:color w:val="000000" w:themeColor="text1"/>
                <w:sz w:val="20"/>
                <w:szCs w:val="20"/>
              </w:rPr>
              <w:t>U</w:t>
            </w:r>
            <w:r w:rsidR="00CC23E0">
              <w:rPr>
                <w:rFonts w:ascii="Open Sans" w:hAnsi="Open Sans" w:cs="Open Sans"/>
                <w:color w:val="000000" w:themeColor="text1"/>
                <w:sz w:val="20"/>
                <w:szCs w:val="20"/>
              </w:rPr>
              <w:t xml:space="preserve">nited </w:t>
            </w:r>
            <w:r w:rsidRPr="007100A6">
              <w:rPr>
                <w:rFonts w:ascii="Open Sans" w:hAnsi="Open Sans" w:cs="Open Sans"/>
                <w:color w:val="000000" w:themeColor="text1"/>
                <w:sz w:val="20"/>
                <w:szCs w:val="20"/>
              </w:rPr>
              <w:t>N</w:t>
            </w:r>
            <w:r w:rsidR="00CC23E0">
              <w:rPr>
                <w:rFonts w:ascii="Open Sans" w:hAnsi="Open Sans" w:cs="Open Sans"/>
                <w:color w:val="000000" w:themeColor="text1"/>
                <w:sz w:val="20"/>
                <w:szCs w:val="20"/>
              </w:rPr>
              <w:t>ations</w:t>
            </w:r>
            <w:r w:rsidRPr="007100A6">
              <w:rPr>
                <w:rFonts w:ascii="Open Sans" w:hAnsi="Open Sans" w:cs="Open Sans"/>
                <w:color w:val="000000" w:themeColor="text1"/>
                <w:sz w:val="20"/>
                <w:szCs w:val="20"/>
              </w:rPr>
              <w:t xml:space="preserve"> Human Rights Council and multiple treaty body appearances in the next two years and the global focus on Sustainable Development Goals are timely agents for change in this period.</w:t>
            </w:r>
          </w:p>
          <w:p w14:paraId="68BF9FFF" w14:textId="50020EE2" w:rsidR="00163C30" w:rsidRPr="007100A6" w:rsidRDefault="00163C30" w:rsidP="00F10FCF">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Australia’s election to the United Nations Human Rights Council for 2018</w:t>
            </w:r>
            <w:r w:rsidR="002603F5">
              <w:rPr>
                <w:rFonts w:ascii="Open Sans" w:hAnsi="Open Sans" w:cs="Open Sans"/>
                <w:color w:val="000000" w:themeColor="text1"/>
                <w:sz w:val="20"/>
                <w:szCs w:val="20"/>
              </w:rPr>
              <w:t>–</w:t>
            </w:r>
            <w:r w:rsidRPr="007100A6">
              <w:rPr>
                <w:rFonts w:ascii="Open Sans" w:hAnsi="Open Sans" w:cs="Open Sans"/>
                <w:color w:val="000000" w:themeColor="text1"/>
                <w:sz w:val="20"/>
                <w:szCs w:val="20"/>
              </w:rPr>
              <w:t>2020 places greater prominence on engagement through Human Rights Council processes and human rights more generally.</w:t>
            </w:r>
          </w:p>
          <w:p w14:paraId="1A69DE45" w14:textId="7A01D488" w:rsidR="00163C30" w:rsidRPr="007100A6" w:rsidRDefault="00163C30" w:rsidP="00F10FCF">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 xml:space="preserve">Australia’s Universal Periodic Review </w:t>
            </w:r>
            <w:r w:rsidR="00F2722E" w:rsidRPr="007100A6">
              <w:rPr>
                <w:rFonts w:ascii="Open Sans" w:hAnsi="Open Sans" w:cs="Open Sans"/>
                <w:color w:val="000000" w:themeColor="text1"/>
                <w:sz w:val="20"/>
                <w:szCs w:val="20"/>
              </w:rPr>
              <w:t>appearance in 2020</w:t>
            </w:r>
            <w:r w:rsidRPr="007100A6">
              <w:rPr>
                <w:rFonts w:ascii="Open Sans" w:hAnsi="Open Sans" w:cs="Open Sans"/>
                <w:color w:val="000000" w:themeColor="text1"/>
                <w:sz w:val="20"/>
                <w:szCs w:val="20"/>
              </w:rPr>
              <w:t xml:space="preserve"> provides opportunity for focused discussion on implementation of human rights</w:t>
            </w:r>
            <w:r w:rsidR="00E9231C">
              <w:rPr>
                <w:rFonts w:ascii="Open Sans" w:hAnsi="Open Sans" w:cs="Open Sans"/>
                <w:color w:val="000000" w:themeColor="text1"/>
                <w:sz w:val="20"/>
                <w:szCs w:val="20"/>
              </w:rPr>
              <w:t>.</w:t>
            </w:r>
          </w:p>
          <w:p w14:paraId="6A80AE5E" w14:textId="3A4D92A0" w:rsidR="0069428B" w:rsidRPr="007100A6" w:rsidRDefault="00F2722E" w:rsidP="00F10FCF">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Appearance before Convention on the Rights of the Child (</w:t>
            </w:r>
            <w:r w:rsidR="002603F5" w:rsidRPr="007100A6">
              <w:rPr>
                <w:rFonts w:ascii="Open Sans" w:hAnsi="Open Sans" w:cs="Open Sans"/>
                <w:color w:val="000000" w:themeColor="text1"/>
                <w:sz w:val="20"/>
                <w:szCs w:val="20"/>
              </w:rPr>
              <w:t>Sept</w:t>
            </w:r>
            <w:r w:rsidR="002603F5">
              <w:rPr>
                <w:rFonts w:ascii="Open Sans" w:hAnsi="Open Sans" w:cs="Open Sans"/>
                <w:color w:val="000000" w:themeColor="text1"/>
                <w:sz w:val="20"/>
                <w:szCs w:val="20"/>
              </w:rPr>
              <w:t>ember</w:t>
            </w:r>
            <w:r w:rsidRPr="007100A6">
              <w:rPr>
                <w:rFonts w:ascii="Open Sans" w:hAnsi="Open Sans" w:cs="Open Sans"/>
                <w:color w:val="000000" w:themeColor="text1"/>
                <w:sz w:val="20"/>
                <w:szCs w:val="20"/>
              </w:rPr>
              <w:t xml:space="preserve"> 2019), Convention on the Rights of Persons with Disability (Sept</w:t>
            </w:r>
            <w:r w:rsidR="002603F5">
              <w:rPr>
                <w:rFonts w:ascii="Open Sans" w:hAnsi="Open Sans" w:cs="Open Sans"/>
                <w:color w:val="000000" w:themeColor="text1"/>
                <w:sz w:val="20"/>
                <w:szCs w:val="20"/>
              </w:rPr>
              <w:t>ember</w:t>
            </w:r>
            <w:r w:rsidRPr="007100A6">
              <w:rPr>
                <w:rFonts w:ascii="Open Sans" w:hAnsi="Open Sans" w:cs="Open Sans"/>
                <w:color w:val="000000" w:themeColor="text1"/>
                <w:sz w:val="20"/>
                <w:szCs w:val="20"/>
              </w:rPr>
              <w:t xml:space="preserve"> 2019) and Convention Against Torture (</w:t>
            </w:r>
            <w:r w:rsidR="000E7E54" w:rsidRPr="007100A6">
              <w:rPr>
                <w:rFonts w:ascii="Open Sans" w:hAnsi="Open Sans" w:cs="Open Sans"/>
                <w:color w:val="000000" w:themeColor="text1"/>
                <w:sz w:val="20"/>
                <w:szCs w:val="20"/>
              </w:rPr>
              <w:t xml:space="preserve">due </w:t>
            </w:r>
            <w:r w:rsidRPr="007100A6">
              <w:rPr>
                <w:rFonts w:ascii="Open Sans" w:hAnsi="Open Sans" w:cs="Open Sans"/>
                <w:color w:val="000000" w:themeColor="text1"/>
                <w:sz w:val="20"/>
                <w:szCs w:val="20"/>
              </w:rPr>
              <w:t>2020)</w:t>
            </w:r>
            <w:r w:rsidR="00E9231C">
              <w:rPr>
                <w:rFonts w:ascii="Open Sans" w:hAnsi="Open Sans" w:cs="Open Sans"/>
                <w:color w:val="000000" w:themeColor="text1"/>
                <w:sz w:val="20"/>
                <w:szCs w:val="20"/>
              </w:rPr>
              <w:t>.</w:t>
            </w:r>
          </w:p>
          <w:p w14:paraId="65AE39EB" w14:textId="77777777" w:rsidR="00163C30" w:rsidRPr="007100A6" w:rsidRDefault="00F2722E" w:rsidP="00F10FCF">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lastRenderedPageBreak/>
              <w:t>Each of the above provides o</w:t>
            </w:r>
            <w:r w:rsidR="004A0ED4" w:rsidRPr="007100A6">
              <w:rPr>
                <w:rFonts w:ascii="Open Sans" w:hAnsi="Open Sans" w:cs="Open Sans"/>
                <w:color w:val="000000" w:themeColor="text1"/>
                <w:sz w:val="20"/>
                <w:szCs w:val="20"/>
              </w:rPr>
              <w:t xml:space="preserve">pportunities </w:t>
            </w:r>
            <w:r w:rsidR="00163C30" w:rsidRPr="007100A6">
              <w:rPr>
                <w:rFonts w:ascii="Open Sans" w:hAnsi="Open Sans" w:cs="Open Sans"/>
                <w:color w:val="000000" w:themeColor="text1"/>
                <w:sz w:val="20"/>
                <w:szCs w:val="20"/>
              </w:rPr>
              <w:t>to build awareness of international-domestic human rights compliance and to seek voluntary commitments to implementation by the Australian government.</w:t>
            </w:r>
          </w:p>
          <w:p w14:paraId="67F0CA2E" w14:textId="1A91BBCC" w:rsidR="00E1467E" w:rsidRPr="007100A6" w:rsidRDefault="002603F5" w:rsidP="00F10FCF">
            <w:pPr>
              <w:pStyle w:val="Paragrafoelenco"/>
              <w:numPr>
                <w:ilvl w:val="0"/>
                <w:numId w:val="21"/>
              </w:numPr>
              <w:spacing w:before="120" w:after="120"/>
              <w:rPr>
                <w:rFonts w:ascii="Open Sans" w:hAnsi="Open Sans" w:cs="Open Sans"/>
                <w:color w:val="000000" w:themeColor="text1"/>
                <w:sz w:val="20"/>
                <w:szCs w:val="20"/>
              </w:rPr>
            </w:pPr>
            <w:r>
              <w:rPr>
                <w:rFonts w:ascii="Open Sans" w:hAnsi="Open Sans" w:cs="Open Sans"/>
                <w:color w:val="000000" w:themeColor="text1"/>
                <w:sz w:val="20"/>
                <w:szCs w:val="20"/>
              </w:rPr>
              <w:t>A n</w:t>
            </w:r>
            <w:r w:rsidR="00E1467E" w:rsidRPr="007100A6">
              <w:rPr>
                <w:rFonts w:ascii="Open Sans" w:hAnsi="Open Sans" w:cs="Open Sans"/>
                <w:color w:val="000000" w:themeColor="text1"/>
                <w:sz w:val="20"/>
                <w:szCs w:val="20"/>
              </w:rPr>
              <w:t>ew paradigm shift in international processes is centred on the 2030 Agenda an</w:t>
            </w:r>
            <w:r w:rsidR="004954F2" w:rsidRPr="007100A6">
              <w:rPr>
                <w:rFonts w:ascii="Open Sans" w:hAnsi="Open Sans" w:cs="Open Sans"/>
                <w:color w:val="000000" w:themeColor="text1"/>
                <w:sz w:val="20"/>
                <w:szCs w:val="20"/>
              </w:rPr>
              <w:t>d Sustainable Development Goals:</w:t>
            </w:r>
          </w:p>
          <w:p w14:paraId="1B893070" w14:textId="77777777" w:rsidR="00E1467E" w:rsidRPr="007100A6" w:rsidRDefault="00E1467E" w:rsidP="002603F5">
            <w:pPr>
              <w:pStyle w:val="Paragrafoelenco"/>
              <w:numPr>
                <w:ilvl w:val="1"/>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International and technical cooperation opportunities may become increasingly dependent on specialist knowledge of Sustainable Development Goals and how to apply them.</w:t>
            </w:r>
          </w:p>
          <w:p w14:paraId="7913F779" w14:textId="149D2AA5" w:rsidR="00E1467E" w:rsidRPr="007100A6" w:rsidRDefault="00E1467E" w:rsidP="002603F5">
            <w:pPr>
              <w:pStyle w:val="Paragrafoelenco"/>
              <w:numPr>
                <w:ilvl w:val="1"/>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Sustainable Development Goals are relevant to almost every aspect of the Commission’s work program. As a minimum, we must continue to build internal knowledge and specialisation on Sustainable Development Goals and other key human rights issues will be an ongoing priority and to map our own work to the SDGs.</w:t>
            </w:r>
          </w:p>
        </w:tc>
      </w:tr>
      <w:tr w:rsidR="00193C6F" w:rsidRPr="007100A6" w14:paraId="54B5D6E8" w14:textId="77777777" w:rsidTr="0052315A">
        <w:tc>
          <w:tcPr>
            <w:tcW w:w="14560" w:type="dxa"/>
            <w:gridSpan w:val="5"/>
            <w:shd w:val="clear" w:color="auto" w:fill="3B8AA1"/>
          </w:tcPr>
          <w:p w14:paraId="2CB2716B" w14:textId="77777777" w:rsidR="00AD724D" w:rsidRPr="007100A6" w:rsidRDefault="00C02E42" w:rsidP="00C02E42">
            <w:pPr>
              <w:spacing w:before="120" w:after="120"/>
              <w:rPr>
                <w:rFonts w:ascii="Open Sans" w:hAnsi="Open Sans" w:cs="Open Sans"/>
                <w:b/>
                <w:color w:val="000000" w:themeColor="text1"/>
                <w:sz w:val="20"/>
                <w:szCs w:val="20"/>
              </w:rPr>
            </w:pPr>
            <w:r w:rsidRPr="0052315A">
              <w:rPr>
                <w:rFonts w:ascii="Open Sans" w:hAnsi="Open Sans" w:cs="Open Sans"/>
                <w:b/>
                <w:color w:val="FFFFFF" w:themeColor="background1"/>
                <w:sz w:val="20"/>
                <w:szCs w:val="20"/>
              </w:rPr>
              <w:lastRenderedPageBreak/>
              <w:t xml:space="preserve">External challenges </w:t>
            </w:r>
          </w:p>
        </w:tc>
      </w:tr>
      <w:tr w:rsidR="00193C6F" w:rsidRPr="007100A6" w14:paraId="20CE1E61" w14:textId="77777777" w:rsidTr="0052315A">
        <w:tc>
          <w:tcPr>
            <w:tcW w:w="2825" w:type="dxa"/>
          </w:tcPr>
          <w:p w14:paraId="5F027598" w14:textId="7E339286" w:rsidR="00AD724D" w:rsidRPr="007100A6" w:rsidRDefault="00D15086" w:rsidP="008F4751">
            <w:pPr>
              <w:spacing w:before="0" w:after="0"/>
              <w:rPr>
                <w:rFonts w:ascii="Open Sans" w:hAnsi="Open Sans" w:cs="Open Sans"/>
                <w:b/>
                <w:color w:val="000000" w:themeColor="text1"/>
                <w:sz w:val="22"/>
                <w:szCs w:val="22"/>
              </w:rPr>
            </w:pPr>
            <w:r w:rsidRPr="007100A6">
              <w:rPr>
                <w:rFonts w:ascii="Open Sans" w:hAnsi="Open Sans" w:cs="Open Sans"/>
                <w:b/>
                <w:color w:val="000000" w:themeColor="text1"/>
                <w:sz w:val="22"/>
                <w:szCs w:val="22"/>
              </w:rPr>
              <w:t>2019 F</w:t>
            </w:r>
            <w:r w:rsidR="00C368CF" w:rsidRPr="007100A6">
              <w:rPr>
                <w:rFonts w:ascii="Open Sans" w:hAnsi="Open Sans" w:cs="Open Sans"/>
                <w:b/>
                <w:color w:val="000000" w:themeColor="text1"/>
                <w:sz w:val="22"/>
                <w:szCs w:val="22"/>
              </w:rPr>
              <w:t xml:space="preserve">ederal election </w:t>
            </w:r>
          </w:p>
        </w:tc>
        <w:tc>
          <w:tcPr>
            <w:tcW w:w="937" w:type="dxa"/>
          </w:tcPr>
          <w:p w14:paraId="7C6636F6" w14:textId="77777777" w:rsidR="00AD724D" w:rsidRPr="007100A6" w:rsidRDefault="00AD724D" w:rsidP="008F4751">
            <w:pPr>
              <w:spacing w:before="0" w:after="0"/>
              <w:jc w:val="center"/>
              <w:rPr>
                <w:rFonts w:ascii="Open Sans" w:hAnsi="Open Sans" w:cs="Open Sans"/>
                <w:color w:val="000000" w:themeColor="text1"/>
                <w:sz w:val="32"/>
                <w:szCs w:val="32"/>
              </w:rPr>
            </w:pPr>
          </w:p>
        </w:tc>
        <w:tc>
          <w:tcPr>
            <w:tcW w:w="1132" w:type="dxa"/>
          </w:tcPr>
          <w:p w14:paraId="78576709" w14:textId="77777777" w:rsidR="00AD724D" w:rsidRPr="007100A6" w:rsidRDefault="00AD724D" w:rsidP="008F4751">
            <w:pPr>
              <w:spacing w:before="0" w:after="0"/>
              <w:jc w:val="center"/>
              <w:rPr>
                <w:rFonts w:ascii="Open Sans" w:hAnsi="Open Sans" w:cs="Open Sans"/>
                <w:color w:val="000000" w:themeColor="text1"/>
                <w:sz w:val="32"/>
                <w:szCs w:val="32"/>
              </w:rPr>
            </w:pPr>
          </w:p>
        </w:tc>
        <w:tc>
          <w:tcPr>
            <w:tcW w:w="992" w:type="dxa"/>
          </w:tcPr>
          <w:p w14:paraId="4C18C539" w14:textId="77777777" w:rsidR="00AD724D" w:rsidRPr="007100A6" w:rsidRDefault="00853B82" w:rsidP="008F4751">
            <w:pPr>
              <w:spacing w:before="0" w:after="0"/>
              <w:jc w:val="center"/>
              <w:rPr>
                <w:rFonts w:ascii="Open Sans" w:hAnsi="Open Sans" w:cs="Open Sans"/>
                <w:color w:val="000000" w:themeColor="text1"/>
                <w:sz w:val="32"/>
                <w:szCs w:val="32"/>
              </w:rPr>
            </w:pPr>
            <w:r w:rsidRPr="007100A6">
              <w:rPr>
                <w:rFonts w:ascii="Open Sans" w:hAnsi="Open Sans" w:cs="Open Sans"/>
                <w:color w:val="000000" w:themeColor="text1"/>
                <w:sz w:val="32"/>
                <w:szCs w:val="32"/>
              </w:rPr>
              <w:sym w:font="Wingdings" w:char="F0FC"/>
            </w:r>
          </w:p>
        </w:tc>
        <w:tc>
          <w:tcPr>
            <w:tcW w:w="8674" w:type="dxa"/>
          </w:tcPr>
          <w:p w14:paraId="6D52E668" w14:textId="77777777" w:rsidR="00C368CF" w:rsidRPr="007100A6" w:rsidRDefault="00C368CF" w:rsidP="009823C8">
            <w:pPr>
              <w:pStyle w:val="Paragrafoelenco"/>
              <w:numPr>
                <w:ilvl w:val="0"/>
                <w:numId w:val="20"/>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Election commitments (esp</w:t>
            </w:r>
            <w:r w:rsidR="008D0AD4" w:rsidRPr="007100A6">
              <w:rPr>
                <w:rFonts w:ascii="Open Sans" w:hAnsi="Open Sans" w:cs="Open Sans"/>
                <w:color w:val="000000" w:themeColor="text1"/>
                <w:sz w:val="20"/>
                <w:szCs w:val="20"/>
              </w:rPr>
              <w:t xml:space="preserve">ecially </w:t>
            </w:r>
            <w:r w:rsidR="004A0ED4" w:rsidRPr="007100A6">
              <w:rPr>
                <w:rFonts w:ascii="Open Sans" w:hAnsi="Open Sans" w:cs="Open Sans"/>
                <w:color w:val="000000" w:themeColor="text1"/>
                <w:sz w:val="20"/>
                <w:szCs w:val="20"/>
              </w:rPr>
              <w:t>about</w:t>
            </w:r>
            <w:r w:rsidRPr="007100A6">
              <w:rPr>
                <w:rFonts w:ascii="Open Sans" w:hAnsi="Open Sans" w:cs="Open Sans"/>
                <w:color w:val="000000" w:themeColor="text1"/>
                <w:sz w:val="20"/>
                <w:szCs w:val="20"/>
              </w:rPr>
              <w:t xml:space="preserve"> funding) could </w:t>
            </w:r>
            <w:r w:rsidR="004A0ED4" w:rsidRPr="007100A6">
              <w:rPr>
                <w:rFonts w:ascii="Open Sans" w:hAnsi="Open Sans" w:cs="Open Sans"/>
                <w:color w:val="000000" w:themeColor="text1"/>
                <w:sz w:val="20"/>
                <w:szCs w:val="20"/>
              </w:rPr>
              <w:t>affect the</w:t>
            </w:r>
            <w:r w:rsidRPr="007100A6">
              <w:rPr>
                <w:rFonts w:ascii="Open Sans" w:hAnsi="Open Sans" w:cs="Open Sans"/>
                <w:color w:val="000000" w:themeColor="text1"/>
                <w:sz w:val="20"/>
                <w:szCs w:val="20"/>
              </w:rPr>
              <w:t xml:space="preserve"> Commission and priority areas </w:t>
            </w:r>
            <w:r w:rsidR="00FC79EA" w:rsidRPr="007100A6">
              <w:rPr>
                <w:rFonts w:ascii="Open Sans" w:hAnsi="Open Sans" w:cs="Open Sans"/>
                <w:color w:val="000000" w:themeColor="text1"/>
                <w:sz w:val="20"/>
                <w:szCs w:val="20"/>
              </w:rPr>
              <w:t>in which we</w:t>
            </w:r>
            <w:r w:rsidRPr="007100A6">
              <w:rPr>
                <w:rFonts w:ascii="Open Sans" w:hAnsi="Open Sans" w:cs="Open Sans"/>
                <w:color w:val="000000" w:themeColor="text1"/>
                <w:sz w:val="20"/>
                <w:szCs w:val="20"/>
              </w:rPr>
              <w:t xml:space="preserve"> focus</w:t>
            </w:r>
            <w:r w:rsidR="00FC79EA" w:rsidRPr="007100A6">
              <w:rPr>
                <w:rFonts w:ascii="Open Sans" w:hAnsi="Open Sans" w:cs="Open Sans"/>
                <w:color w:val="000000" w:themeColor="text1"/>
                <w:sz w:val="20"/>
                <w:szCs w:val="20"/>
              </w:rPr>
              <w:t xml:space="preserve"> our</w:t>
            </w:r>
            <w:r w:rsidR="004A0ED4" w:rsidRPr="007100A6">
              <w:rPr>
                <w:rFonts w:ascii="Open Sans" w:hAnsi="Open Sans" w:cs="Open Sans"/>
                <w:color w:val="000000" w:themeColor="text1"/>
                <w:sz w:val="20"/>
                <w:szCs w:val="20"/>
              </w:rPr>
              <w:t xml:space="preserve"> work</w:t>
            </w:r>
            <w:r w:rsidRPr="007100A6">
              <w:rPr>
                <w:rFonts w:ascii="Open Sans" w:hAnsi="Open Sans" w:cs="Open Sans"/>
                <w:color w:val="000000" w:themeColor="text1"/>
                <w:sz w:val="20"/>
                <w:szCs w:val="20"/>
              </w:rPr>
              <w:t>.</w:t>
            </w:r>
          </w:p>
          <w:p w14:paraId="205E27A8" w14:textId="03AC04B8" w:rsidR="00C368CF" w:rsidRPr="007100A6" w:rsidRDefault="00C368CF" w:rsidP="009823C8">
            <w:pPr>
              <w:pStyle w:val="Paragrafoelenco"/>
              <w:numPr>
                <w:ilvl w:val="0"/>
                <w:numId w:val="20"/>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 xml:space="preserve">In </w:t>
            </w:r>
            <w:r w:rsidR="00C15438" w:rsidRPr="007100A6">
              <w:rPr>
                <w:rFonts w:ascii="Open Sans" w:hAnsi="Open Sans" w:cs="Open Sans"/>
                <w:color w:val="000000" w:themeColor="text1"/>
                <w:sz w:val="20"/>
                <w:szCs w:val="20"/>
              </w:rPr>
              <w:t xml:space="preserve">developing </w:t>
            </w:r>
            <w:r w:rsidRPr="007100A6">
              <w:rPr>
                <w:rFonts w:ascii="Open Sans" w:hAnsi="Open Sans" w:cs="Open Sans"/>
                <w:color w:val="000000" w:themeColor="text1"/>
                <w:sz w:val="20"/>
                <w:szCs w:val="20"/>
              </w:rPr>
              <w:t>the National Conversation project</w:t>
            </w:r>
            <w:r w:rsidR="00C15438" w:rsidRPr="007100A6">
              <w:rPr>
                <w:rFonts w:ascii="Open Sans" w:hAnsi="Open Sans" w:cs="Open Sans"/>
                <w:color w:val="000000" w:themeColor="text1"/>
                <w:sz w:val="20"/>
                <w:szCs w:val="20"/>
              </w:rPr>
              <w:t>,</w:t>
            </w:r>
            <w:r w:rsidRPr="007100A6">
              <w:rPr>
                <w:rFonts w:ascii="Open Sans" w:hAnsi="Open Sans" w:cs="Open Sans"/>
                <w:color w:val="000000" w:themeColor="text1"/>
                <w:sz w:val="20"/>
                <w:szCs w:val="20"/>
              </w:rPr>
              <w:t xml:space="preserve"> we have developed relationship</w:t>
            </w:r>
            <w:r w:rsidR="00C15438" w:rsidRPr="007100A6">
              <w:rPr>
                <w:rFonts w:ascii="Open Sans" w:hAnsi="Open Sans" w:cs="Open Sans"/>
                <w:color w:val="000000" w:themeColor="text1"/>
                <w:sz w:val="20"/>
                <w:szCs w:val="20"/>
              </w:rPr>
              <w:t xml:space="preserve">s across the </w:t>
            </w:r>
            <w:r w:rsidR="004954F2" w:rsidRPr="007100A6">
              <w:rPr>
                <w:rFonts w:ascii="Open Sans" w:hAnsi="Open Sans" w:cs="Open Sans"/>
                <w:color w:val="000000" w:themeColor="text1"/>
                <w:sz w:val="20"/>
                <w:szCs w:val="20"/>
              </w:rPr>
              <w:t>political spectrum</w:t>
            </w:r>
            <w:r w:rsidRPr="007100A6">
              <w:rPr>
                <w:rFonts w:ascii="Open Sans" w:hAnsi="Open Sans" w:cs="Open Sans"/>
                <w:color w:val="000000" w:themeColor="text1"/>
                <w:sz w:val="20"/>
                <w:szCs w:val="20"/>
              </w:rPr>
              <w:t xml:space="preserve"> and </w:t>
            </w:r>
            <w:r w:rsidR="004954F2" w:rsidRPr="007100A6">
              <w:rPr>
                <w:rFonts w:ascii="Open Sans" w:hAnsi="Open Sans" w:cs="Open Sans"/>
                <w:color w:val="000000" w:themeColor="text1"/>
                <w:sz w:val="20"/>
                <w:szCs w:val="20"/>
              </w:rPr>
              <w:t xml:space="preserve">have framed the project in a </w:t>
            </w:r>
            <w:r w:rsidRPr="007100A6">
              <w:rPr>
                <w:rFonts w:ascii="Open Sans" w:hAnsi="Open Sans" w:cs="Open Sans"/>
                <w:color w:val="000000" w:themeColor="text1"/>
                <w:sz w:val="20"/>
                <w:szCs w:val="20"/>
              </w:rPr>
              <w:t>bipartisan</w:t>
            </w:r>
            <w:r w:rsidR="004954F2" w:rsidRPr="007100A6">
              <w:rPr>
                <w:rFonts w:ascii="Open Sans" w:hAnsi="Open Sans" w:cs="Open Sans"/>
                <w:color w:val="000000" w:themeColor="text1"/>
                <w:sz w:val="20"/>
                <w:szCs w:val="20"/>
              </w:rPr>
              <w:t xml:space="preserve"> </w:t>
            </w:r>
            <w:r w:rsidR="00AB6EA0" w:rsidRPr="007100A6">
              <w:rPr>
                <w:rFonts w:ascii="Open Sans" w:hAnsi="Open Sans" w:cs="Open Sans"/>
                <w:color w:val="000000" w:themeColor="text1"/>
                <w:sz w:val="20"/>
                <w:szCs w:val="20"/>
              </w:rPr>
              <w:t>manner</w:t>
            </w:r>
            <w:r w:rsidR="00C15438" w:rsidRPr="007100A6">
              <w:rPr>
                <w:rFonts w:ascii="Open Sans" w:hAnsi="Open Sans" w:cs="Open Sans"/>
                <w:color w:val="000000" w:themeColor="text1"/>
                <w:sz w:val="20"/>
                <w:szCs w:val="20"/>
              </w:rPr>
              <w:t xml:space="preserve"> that is ‘above politics’</w:t>
            </w:r>
            <w:r w:rsidR="00FC79EA" w:rsidRPr="007100A6">
              <w:rPr>
                <w:rFonts w:ascii="Open Sans" w:hAnsi="Open Sans" w:cs="Open Sans"/>
                <w:color w:val="000000" w:themeColor="text1"/>
                <w:sz w:val="20"/>
                <w:szCs w:val="20"/>
              </w:rPr>
              <w:t xml:space="preserve"> and anchored in the terms of reference.</w:t>
            </w:r>
          </w:p>
          <w:p w14:paraId="572425E1" w14:textId="793DB97E" w:rsidR="00AD724D" w:rsidRPr="007100A6" w:rsidRDefault="00C368CF" w:rsidP="009823C8">
            <w:pPr>
              <w:pStyle w:val="Paragrafoelenco"/>
              <w:numPr>
                <w:ilvl w:val="0"/>
                <w:numId w:val="20"/>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We need to ensure our program of work is flexible to respond to changing government priorities that have key human rights impact</w:t>
            </w:r>
            <w:r w:rsidR="00FC79EA" w:rsidRPr="007100A6">
              <w:rPr>
                <w:rFonts w:ascii="Open Sans" w:hAnsi="Open Sans" w:cs="Open Sans"/>
                <w:color w:val="000000" w:themeColor="text1"/>
                <w:sz w:val="20"/>
                <w:szCs w:val="20"/>
              </w:rPr>
              <w:t>s</w:t>
            </w:r>
            <w:r w:rsidRPr="007100A6">
              <w:rPr>
                <w:rFonts w:ascii="Open Sans" w:hAnsi="Open Sans" w:cs="Open Sans"/>
                <w:color w:val="000000" w:themeColor="text1"/>
                <w:sz w:val="20"/>
                <w:szCs w:val="20"/>
              </w:rPr>
              <w:t>.</w:t>
            </w:r>
          </w:p>
        </w:tc>
      </w:tr>
      <w:tr w:rsidR="00193C6F" w:rsidRPr="007100A6" w14:paraId="7B22CB51" w14:textId="77777777" w:rsidTr="0052315A">
        <w:tc>
          <w:tcPr>
            <w:tcW w:w="2825" w:type="dxa"/>
          </w:tcPr>
          <w:p w14:paraId="43CB23B8" w14:textId="4D45A3DC" w:rsidR="00C955E4" w:rsidRPr="00E9231C" w:rsidRDefault="00C955E4" w:rsidP="008F4751">
            <w:pPr>
              <w:spacing w:before="0" w:after="0"/>
              <w:rPr>
                <w:rFonts w:ascii="Open Sans" w:hAnsi="Open Sans" w:cs="Open Sans"/>
                <w:b/>
                <w:color w:val="000000" w:themeColor="text1"/>
                <w:sz w:val="22"/>
                <w:szCs w:val="22"/>
              </w:rPr>
            </w:pPr>
            <w:r w:rsidRPr="007100A6">
              <w:rPr>
                <w:rFonts w:ascii="Open Sans" w:hAnsi="Open Sans" w:cs="Open Sans"/>
                <w:b/>
                <w:color w:val="000000" w:themeColor="text1"/>
                <w:sz w:val="22"/>
                <w:szCs w:val="22"/>
              </w:rPr>
              <w:lastRenderedPageBreak/>
              <w:t>High profile debates relating to Commission functions and legislation</w:t>
            </w:r>
          </w:p>
        </w:tc>
        <w:tc>
          <w:tcPr>
            <w:tcW w:w="937" w:type="dxa"/>
          </w:tcPr>
          <w:p w14:paraId="6326136C" w14:textId="77777777" w:rsidR="00AD724D" w:rsidRPr="007100A6" w:rsidRDefault="00AD724D" w:rsidP="008F4751">
            <w:pPr>
              <w:spacing w:before="0" w:after="0"/>
              <w:jc w:val="center"/>
              <w:rPr>
                <w:rFonts w:ascii="Open Sans" w:hAnsi="Open Sans" w:cs="Open Sans"/>
                <w:color w:val="000000" w:themeColor="text1"/>
                <w:sz w:val="32"/>
                <w:szCs w:val="32"/>
              </w:rPr>
            </w:pPr>
          </w:p>
        </w:tc>
        <w:tc>
          <w:tcPr>
            <w:tcW w:w="1132" w:type="dxa"/>
          </w:tcPr>
          <w:p w14:paraId="46C3FE4F" w14:textId="77777777" w:rsidR="00AD724D" w:rsidRPr="007100A6" w:rsidRDefault="00C02E42" w:rsidP="008F4751">
            <w:pPr>
              <w:spacing w:before="0" w:after="0"/>
              <w:jc w:val="center"/>
              <w:rPr>
                <w:rFonts w:ascii="Open Sans" w:hAnsi="Open Sans" w:cs="Open Sans"/>
                <w:color w:val="000000" w:themeColor="text1"/>
                <w:sz w:val="32"/>
                <w:szCs w:val="32"/>
              </w:rPr>
            </w:pPr>
            <w:r w:rsidRPr="007100A6">
              <w:rPr>
                <w:rFonts w:ascii="Open Sans" w:hAnsi="Open Sans" w:cs="Open Sans"/>
                <w:color w:val="000000" w:themeColor="text1"/>
                <w:sz w:val="32"/>
                <w:szCs w:val="32"/>
              </w:rPr>
              <w:sym w:font="Wingdings" w:char="F0FC"/>
            </w:r>
          </w:p>
        </w:tc>
        <w:tc>
          <w:tcPr>
            <w:tcW w:w="992" w:type="dxa"/>
          </w:tcPr>
          <w:p w14:paraId="68000200" w14:textId="77777777" w:rsidR="00AD724D" w:rsidRPr="007100A6" w:rsidRDefault="00AD724D" w:rsidP="008F4751">
            <w:pPr>
              <w:spacing w:before="0" w:after="0"/>
              <w:jc w:val="center"/>
              <w:rPr>
                <w:rFonts w:ascii="Open Sans" w:hAnsi="Open Sans" w:cs="Open Sans"/>
                <w:color w:val="000000" w:themeColor="text1"/>
                <w:sz w:val="32"/>
                <w:szCs w:val="32"/>
              </w:rPr>
            </w:pPr>
          </w:p>
        </w:tc>
        <w:tc>
          <w:tcPr>
            <w:tcW w:w="8674" w:type="dxa"/>
          </w:tcPr>
          <w:p w14:paraId="6359AA04" w14:textId="148D3913" w:rsidR="004954F2" w:rsidRPr="007100A6" w:rsidRDefault="00C955E4" w:rsidP="009823C8">
            <w:pPr>
              <w:pStyle w:val="Paragrafoelenco"/>
              <w:numPr>
                <w:ilvl w:val="0"/>
                <w:numId w:val="20"/>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We can expect public scrutiny of our functions and legislation to continue</w:t>
            </w:r>
            <w:r w:rsidR="00FC79EA" w:rsidRPr="007100A6">
              <w:rPr>
                <w:rFonts w:ascii="Open Sans" w:hAnsi="Open Sans" w:cs="Open Sans"/>
                <w:color w:val="000000" w:themeColor="text1"/>
                <w:sz w:val="20"/>
                <w:szCs w:val="20"/>
              </w:rPr>
              <w:t xml:space="preserve">, </w:t>
            </w:r>
            <w:r w:rsidR="00670765" w:rsidRPr="007100A6">
              <w:rPr>
                <w:rFonts w:ascii="Open Sans" w:hAnsi="Open Sans" w:cs="Open Sans"/>
                <w:color w:val="000000" w:themeColor="text1"/>
                <w:sz w:val="20"/>
                <w:szCs w:val="20"/>
              </w:rPr>
              <w:t xml:space="preserve">particularly </w:t>
            </w:r>
            <w:r w:rsidR="003C73D9">
              <w:rPr>
                <w:rFonts w:ascii="Open Sans" w:hAnsi="Open Sans" w:cs="Open Sans"/>
                <w:color w:val="000000" w:themeColor="text1"/>
                <w:sz w:val="20"/>
                <w:szCs w:val="20"/>
              </w:rPr>
              <w:t>in relation to</w:t>
            </w:r>
            <w:r w:rsidR="00670765" w:rsidRPr="007100A6">
              <w:rPr>
                <w:rFonts w:ascii="Open Sans" w:hAnsi="Open Sans" w:cs="Open Sans"/>
                <w:color w:val="000000" w:themeColor="text1"/>
                <w:sz w:val="20"/>
                <w:szCs w:val="20"/>
              </w:rPr>
              <w:t xml:space="preserve"> harassment and vilification</w:t>
            </w:r>
            <w:r w:rsidR="00FC79EA" w:rsidRPr="007100A6">
              <w:rPr>
                <w:rFonts w:ascii="Open Sans" w:hAnsi="Open Sans" w:cs="Open Sans"/>
                <w:color w:val="000000" w:themeColor="text1"/>
                <w:sz w:val="20"/>
                <w:szCs w:val="20"/>
              </w:rPr>
              <w:t>.</w:t>
            </w:r>
          </w:p>
          <w:p w14:paraId="01DC4A80" w14:textId="4970D38B" w:rsidR="00AD724D" w:rsidRPr="007100A6" w:rsidRDefault="00670765" w:rsidP="009823C8">
            <w:pPr>
              <w:pStyle w:val="Paragrafoelenco"/>
              <w:numPr>
                <w:ilvl w:val="0"/>
                <w:numId w:val="20"/>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There is l</w:t>
            </w:r>
            <w:r w:rsidR="004954F2" w:rsidRPr="007100A6">
              <w:rPr>
                <w:rFonts w:ascii="Open Sans" w:hAnsi="Open Sans" w:cs="Open Sans"/>
                <w:color w:val="000000" w:themeColor="text1"/>
                <w:sz w:val="20"/>
                <w:szCs w:val="20"/>
              </w:rPr>
              <w:t xml:space="preserve">ikely </w:t>
            </w:r>
            <w:r w:rsidRPr="007100A6">
              <w:rPr>
                <w:rFonts w:ascii="Open Sans" w:hAnsi="Open Sans" w:cs="Open Sans"/>
                <w:color w:val="000000" w:themeColor="text1"/>
                <w:sz w:val="20"/>
                <w:szCs w:val="20"/>
              </w:rPr>
              <w:t xml:space="preserve">to </w:t>
            </w:r>
            <w:r w:rsidR="00340D08">
              <w:rPr>
                <w:rFonts w:ascii="Open Sans" w:hAnsi="Open Sans" w:cs="Open Sans"/>
                <w:color w:val="000000" w:themeColor="text1"/>
                <w:sz w:val="20"/>
                <w:szCs w:val="20"/>
              </w:rPr>
              <w:t xml:space="preserve">an ongoing </w:t>
            </w:r>
            <w:r w:rsidR="004954F2" w:rsidRPr="007100A6">
              <w:rPr>
                <w:rFonts w:ascii="Open Sans" w:hAnsi="Open Sans" w:cs="Open Sans"/>
                <w:color w:val="000000" w:themeColor="text1"/>
                <w:sz w:val="20"/>
                <w:szCs w:val="20"/>
              </w:rPr>
              <w:t>focus on vilification provisions for religion, SOGII status and enhanced sexual harassment provisions</w:t>
            </w:r>
            <w:r w:rsidRPr="007100A6">
              <w:rPr>
                <w:rFonts w:ascii="Open Sans" w:hAnsi="Open Sans" w:cs="Open Sans"/>
                <w:color w:val="000000" w:themeColor="text1"/>
                <w:sz w:val="20"/>
                <w:szCs w:val="20"/>
              </w:rPr>
              <w:t>.</w:t>
            </w:r>
          </w:p>
        </w:tc>
      </w:tr>
      <w:tr w:rsidR="00193C6F" w:rsidRPr="007100A6" w14:paraId="20D7DF9E" w14:textId="77777777" w:rsidTr="0052315A">
        <w:tc>
          <w:tcPr>
            <w:tcW w:w="2825" w:type="dxa"/>
          </w:tcPr>
          <w:p w14:paraId="00DED2D3" w14:textId="77777777" w:rsidR="00C02E42" w:rsidRPr="007100A6" w:rsidRDefault="0019354F" w:rsidP="0019354F">
            <w:pPr>
              <w:spacing w:before="120" w:after="120"/>
              <w:rPr>
                <w:rFonts w:ascii="Open Sans" w:hAnsi="Open Sans" w:cs="Open Sans"/>
                <w:color w:val="000000" w:themeColor="text1"/>
                <w:sz w:val="22"/>
                <w:szCs w:val="22"/>
              </w:rPr>
            </w:pPr>
            <w:r w:rsidRPr="007100A6">
              <w:rPr>
                <w:rFonts w:ascii="Open Sans" w:hAnsi="Open Sans" w:cs="Open Sans"/>
                <w:b/>
                <w:color w:val="000000" w:themeColor="text1"/>
                <w:sz w:val="22"/>
                <w:szCs w:val="22"/>
              </w:rPr>
              <w:t xml:space="preserve">Constrained funding environment </w:t>
            </w:r>
          </w:p>
          <w:p w14:paraId="7F4A9E86" w14:textId="77777777" w:rsidR="0019354F" w:rsidRPr="007100A6" w:rsidRDefault="0019354F" w:rsidP="004954F2">
            <w:pPr>
              <w:spacing w:before="120" w:after="120"/>
              <w:rPr>
                <w:rFonts w:ascii="Open Sans" w:hAnsi="Open Sans" w:cs="Open Sans"/>
                <w:color w:val="000000" w:themeColor="text1"/>
                <w:sz w:val="22"/>
                <w:szCs w:val="22"/>
              </w:rPr>
            </w:pPr>
          </w:p>
        </w:tc>
        <w:tc>
          <w:tcPr>
            <w:tcW w:w="937" w:type="dxa"/>
          </w:tcPr>
          <w:p w14:paraId="6CB06B85" w14:textId="77777777" w:rsidR="0019354F" w:rsidRPr="007100A6" w:rsidRDefault="0019354F" w:rsidP="0019354F">
            <w:pPr>
              <w:spacing w:before="0" w:after="0"/>
              <w:jc w:val="center"/>
              <w:rPr>
                <w:rFonts w:ascii="Open Sans" w:hAnsi="Open Sans" w:cs="Open Sans"/>
                <w:color w:val="000000" w:themeColor="text1"/>
                <w:sz w:val="32"/>
                <w:szCs w:val="32"/>
              </w:rPr>
            </w:pPr>
          </w:p>
        </w:tc>
        <w:tc>
          <w:tcPr>
            <w:tcW w:w="1132" w:type="dxa"/>
          </w:tcPr>
          <w:p w14:paraId="4719C7D3" w14:textId="77777777" w:rsidR="0019354F" w:rsidRPr="007100A6" w:rsidRDefault="004954F2" w:rsidP="0019354F">
            <w:pPr>
              <w:spacing w:before="0" w:after="0"/>
              <w:jc w:val="center"/>
              <w:rPr>
                <w:rFonts w:ascii="Open Sans" w:hAnsi="Open Sans" w:cs="Open Sans"/>
                <w:color w:val="000000" w:themeColor="text1"/>
                <w:sz w:val="20"/>
                <w:szCs w:val="48"/>
              </w:rPr>
            </w:pPr>
            <w:r w:rsidRPr="007100A6">
              <w:rPr>
                <w:rFonts w:ascii="Open Sans" w:hAnsi="Open Sans" w:cs="Open Sans"/>
                <w:color w:val="000000" w:themeColor="text1"/>
                <w:sz w:val="32"/>
                <w:szCs w:val="32"/>
              </w:rPr>
              <w:sym w:font="Wingdings" w:char="F0FC"/>
            </w:r>
          </w:p>
        </w:tc>
        <w:tc>
          <w:tcPr>
            <w:tcW w:w="992" w:type="dxa"/>
          </w:tcPr>
          <w:p w14:paraId="4313C2E4" w14:textId="77777777" w:rsidR="0019354F" w:rsidRPr="007100A6" w:rsidRDefault="0019354F" w:rsidP="0019354F">
            <w:pPr>
              <w:spacing w:before="0" w:after="0"/>
              <w:jc w:val="center"/>
              <w:rPr>
                <w:rFonts w:ascii="Open Sans" w:hAnsi="Open Sans" w:cs="Open Sans"/>
                <w:color w:val="000000" w:themeColor="text1"/>
                <w:sz w:val="32"/>
                <w:szCs w:val="32"/>
              </w:rPr>
            </w:pPr>
          </w:p>
        </w:tc>
        <w:tc>
          <w:tcPr>
            <w:tcW w:w="8674" w:type="dxa"/>
          </w:tcPr>
          <w:p w14:paraId="68288B7A" w14:textId="77777777" w:rsidR="004954F2" w:rsidRPr="007100A6" w:rsidRDefault="004954F2" w:rsidP="00F10FCF">
            <w:pPr>
              <w:pStyle w:val="Paragrafoelenco"/>
              <w:numPr>
                <w:ilvl w:val="0"/>
                <w:numId w:val="20"/>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Fiscal restraint across government means continued constraints on appropriations, despite increases in Commission Executive. Additionally, the impact of efficiency dividends on small agencies continues to drive tight internal budgeting.</w:t>
            </w:r>
          </w:p>
          <w:p w14:paraId="767BC1AD" w14:textId="768102E3" w:rsidR="004954F2" w:rsidRPr="007100A6" w:rsidRDefault="00670765" w:rsidP="00F10FCF">
            <w:pPr>
              <w:pStyle w:val="Paragrafoelenco"/>
              <w:numPr>
                <w:ilvl w:val="0"/>
                <w:numId w:val="20"/>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Changing w</w:t>
            </w:r>
            <w:r w:rsidR="004954F2" w:rsidRPr="007100A6">
              <w:rPr>
                <w:rFonts w:ascii="Open Sans" w:hAnsi="Open Sans" w:cs="Open Sans"/>
                <w:color w:val="000000" w:themeColor="text1"/>
                <w:sz w:val="20"/>
                <w:szCs w:val="20"/>
              </w:rPr>
              <w:t>hole</w:t>
            </w:r>
            <w:r w:rsidR="00340D08">
              <w:rPr>
                <w:rFonts w:ascii="Open Sans" w:hAnsi="Open Sans" w:cs="Open Sans"/>
                <w:color w:val="000000" w:themeColor="text1"/>
                <w:sz w:val="20"/>
                <w:szCs w:val="20"/>
              </w:rPr>
              <w:t>-</w:t>
            </w:r>
            <w:r w:rsidR="004954F2" w:rsidRPr="007100A6">
              <w:rPr>
                <w:rFonts w:ascii="Open Sans" w:hAnsi="Open Sans" w:cs="Open Sans"/>
                <w:color w:val="000000" w:themeColor="text1"/>
                <w:sz w:val="20"/>
                <w:szCs w:val="20"/>
              </w:rPr>
              <w:t>of</w:t>
            </w:r>
            <w:r w:rsidR="00340D08">
              <w:rPr>
                <w:rFonts w:ascii="Open Sans" w:hAnsi="Open Sans" w:cs="Open Sans"/>
                <w:color w:val="000000" w:themeColor="text1"/>
                <w:sz w:val="20"/>
                <w:szCs w:val="20"/>
              </w:rPr>
              <w:t>-</w:t>
            </w:r>
            <w:r w:rsidR="004954F2" w:rsidRPr="007100A6">
              <w:rPr>
                <w:rFonts w:ascii="Open Sans" w:hAnsi="Open Sans" w:cs="Open Sans"/>
                <w:color w:val="000000" w:themeColor="text1"/>
                <w:sz w:val="20"/>
                <w:szCs w:val="20"/>
              </w:rPr>
              <w:t>government approaches to shared services places some uncertainty on our continued shared service arrangements.</w:t>
            </w:r>
          </w:p>
          <w:p w14:paraId="04C1FB71" w14:textId="6C7B5359" w:rsidR="0019354F" w:rsidRPr="007100A6" w:rsidRDefault="00670765" w:rsidP="009A3B99">
            <w:pPr>
              <w:pStyle w:val="Paragrafoelenco"/>
              <w:numPr>
                <w:ilvl w:val="0"/>
                <w:numId w:val="20"/>
              </w:numPr>
              <w:rPr>
                <w:rFonts w:ascii="Open Sans" w:hAnsi="Open Sans" w:cs="Open Sans"/>
                <w:color w:val="000000" w:themeColor="text1"/>
                <w:sz w:val="20"/>
                <w:szCs w:val="20"/>
              </w:rPr>
            </w:pPr>
            <w:r w:rsidRPr="007100A6">
              <w:rPr>
                <w:rFonts w:ascii="Open Sans" w:hAnsi="Open Sans" w:cs="Open Sans"/>
                <w:color w:val="000000" w:themeColor="text1"/>
                <w:sz w:val="20"/>
                <w:szCs w:val="20"/>
              </w:rPr>
              <w:t>While we have begun to access increased funding for specific projects, achieving changes to our appropriated budget remains a challenge. This requires a whole</w:t>
            </w:r>
            <w:r w:rsidR="00674083">
              <w:rPr>
                <w:rFonts w:ascii="Open Sans" w:hAnsi="Open Sans" w:cs="Open Sans"/>
                <w:color w:val="000000" w:themeColor="text1"/>
                <w:sz w:val="20"/>
                <w:szCs w:val="20"/>
              </w:rPr>
              <w:t>-</w:t>
            </w:r>
            <w:r w:rsidRPr="007100A6">
              <w:rPr>
                <w:rFonts w:ascii="Open Sans" w:hAnsi="Open Sans" w:cs="Open Sans"/>
                <w:color w:val="000000" w:themeColor="text1"/>
                <w:sz w:val="20"/>
                <w:szCs w:val="20"/>
              </w:rPr>
              <w:t>of</w:t>
            </w:r>
            <w:r w:rsidR="00674083">
              <w:rPr>
                <w:rFonts w:ascii="Open Sans" w:hAnsi="Open Sans" w:cs="Open Sans"/>
                <w:color w:val="000000" w:themeColor="text1"/>
                <w:sz w:val="20"/>
                <w:szCs w:val="20"/>
              </w:rPr>
              <w:t>-</w:t>
            </w:r>
            <w:r w:rsidRPr="007100A6">
              <w:rPr>
                <w:rFonts w:ascii="Open Sans" w:hAnsi="Open Sans" w:cs="Open Sans"/>
                <w:color w:val="000000" w:themeColor="text1"/>
                <w:sz w:val="20"/>
                <w:szCs w:val="20"/>
              </w:rPr>
              <w:t>Commission approach to</w:t>
            </w:r>
            <w:r w:rsidR="009A3B99" w:rsidRPr="007100A6">
              <w:rPr>
                <w:rFonts w:ascii="Open Sans" w:hAnsi="Open Sans" w:cs="Open Sans"/>
                <w:color w:val="000000" w:themeColor="text1"/>
                <w:sz w:val="20"/>
                <w:szCs w:val="20"/>
              </w:rPr>
              <w:t xml:space="preserve"> </w:t>
            </w:r>
            <w:r w:rsidRPr="007100A6">
              <w:rPr>
                <w:rFonts w:ascii="Open Sans" w:hAnsi="Open Sans" w:cs="Open Sans"/>
                <w:color w:val="000000" w:themeColor="text1"/>
                <w:sz w:val="20"/>
                <w:szCs w:val="20"/>
              </w:rPr>
              <w:t>identifying organisational priorities</w:t>
            </w:r>
            <w:r w:rsidR="009A3B99" w:rsidRPr="007100A6">
              <w:rPr>
                <w:rFonts w:ascii="Open Sans" w:hAnsi="Open Sans" w:cs="Open Sans"/>
                <w:color w:val="000000" w:themeColor="text1"/>
                <w:sz w:val="20"/>
                <w:szCs w:val="20"/>
              </w:rPr>
              <w:t xml:space="preserve">. In addition to a) </w:t>
            </w:r>
            <w:r w:rsidR="004954F2" w:rsidRPr="007100A6">
              <w:rPr>
                <w:rFonts w:ascii="Open Sans" w:hAnsi="Open Sans" w:cs="Open Sans"/>
                <w:color w:val="000000" w:themeColor="text1"/>
                <w:sz w:val="20"/>
                <w:szCs w:val="20"/>
              </w:rPr>
              <w:t>further coordination and improvements to business development and sourcing external funding, b) refocusing our educational activities on diversity and inclusion and business/sectoral engagement, including fee for service training and technical advisory capacity.</w:t>
            </w:r>
          </w:p>
        </w:tc>
      </w:tr>
      <w:tr w:rsidR="00193C6F" w:rsidRPr="007100A6" w14:paraId="665EF4F8" w14:textId="77777777" w:rsidTr="0052315A">
        <w:tc>
          <w:tcPr>
            <w:tcW w:w="2825" w:type="dxa"/>
          </w:tcPr>
          <w:p w14:paraId="14AA6168" w14:textId="77777777" w:rsidR="00E66A63" w:rsidRPr="007100A6" w:rsidRDefault="00F63FA6" w:rsidP="0019354F">
            <w:pPr>
              <w:spacing w:before="0" w:after="0"/>
              <w:rPr>
                <w:rFonts w:ascii="Open Sans" w:hAnsi="Open Sans" w:cs="Open Sans"/>
                <w:b/>
                <w:color w:val="000000" w:themeColor="text1"/>
                <w:sz w:val="22"/>
                <w:szCs w:val="22"/>
              </w:rPr>
            </w:pPr>
            <w:r w:rsidRPr="007100A6">
              <w:rPr>
                <w:rFonts w:ascii="Open Sans" w:hAnsi="Open Sans" w:cs="Open Sans"/>
                <w:b/>
                <w:color w:val="000000" w:themeColor="text1"/>
                <w:sz w:val="22"/>
                <w:szCs w:val="22"/>
              </w:rPr>
              <w:t>Paris Principles compliance</w:t>
            </w:r>
            <w:r w:rsidR="00E66A63" w:rsidRPr="007100A6">
              <w:rPr>
                <w:rFonts w:ascii="Open Sans" w:hAnsi="Open Sans" w:cs="Open Sans"/>
                <w:b/>
                <w:color w:val="000000" w:themeColor="text1"/>
                <w:sz w:val="22"/>
                <w:szCs w:val="22"/>
              </w:rPr>
              <w:t xml:space="preserve"> </w:t>
            </w:r>
          </w:p>
          <w:p w14:paraId="67677E50" w14:textId="77777777" w:rsidR="0019354F" w:rsidRPr="007100A6" w:rsidRDefault="00E66A63" w:rsidP="0019354F">
            <w:pPr>
              <w:spacing w:before="0" w:after="0"/>
              <w:rPr>
                <w:rFonts w:ascii="Open Sans" w:hAnsi="Open Sans" w:cs="Open Sans"/>
                <w:color w:val="000000" w:themeColor="text1"/>
                <w:sz w:val="22"/>
                <w:szCs w:val="22"/>
              </w:rPr>
            </w:pPr>
            <w:r w:rsidRPr="007100A6">
              <w:rPr>
                <w:rFonts w:ascii="Open Sans" w:hAnsi="Open Sans" w:cs="Open Sans"/>
                <w:color w:val="000000" w:themeColor="text1"/>
                <w:sz w:val="22"/>
                <w:szCs w:val="22"/>
              </w:rPr>
              <w:t xml:space="preserve">(Principles Relating to the Status of National </w:t>
            </w:r>
            <w:r w:rsidRPr="007100A6">
              <w:rPr>
                <w:rFonts w:ascii="Open Sans" w:hAnsi="Open Sans" w:cs="Open Sans"/>
                <w:color w:val="000000" w:themeColor="text1"/>
                <w:sz w:val="22"/>
                <w:szCs w:val="22"/>
              </w:rPr>
              <w:lastRenderedPageBreak/>
              <w:t>Human Rights Institutions)</w:t>
            </w:r>
          </w:p>
        </w:tc>
        <w:tc>
          <w:tcPr>
            <w:tcW w:w="937" w:type="dxa"/>
          </w:tcPr>
          <w:p w14:paraId="0865B15C" w14:textId="77777777" w:rsidR="0019354F" w:rsidRPr="007100A6" w:rsidRDefault="0019354F" w:rsidP="0019354F">
            <w:pPr>
              <w:spacing w:before="0" w:after="0"/>
              <w:jc w:val="center"/>
              <w:rPr>
                <w:rFonts w:ascii="Open Sans" w:hAnsi="Open Sans" w:cs="Open Sans"/>
                <w:color w:val="000000" w:themeColor="text1"/>
                <w:sz w:val="32"/>
                <w:szCs w:val="32"/>
              </w:rPr>
            </w:pPr>
          </w:p>
        </w:tc>
        <w:tc>
          <w:tcPr>
            <w:tcW w:w="1132" w:type="dxa"/>
          </w:tcPr>
          <w:p w14:paraId="4051D849" w14:textId="77777777" w:rsidR="0019354F" w:rsidRPr="007100A6" w:rsidRDefault="004954F2" w:rsidP="0019354F">
            <w:pPr>
              <w:spacing w:before="0" w:after="0"/>
              <w:jc w:val="center"/>
              <w:rPr>
                <w:rFonts w:ascii="Open Sans" w:hAnsi="Open Sans" w:cs="Open Sans"/>
                <w:color w:val="000000" w:themeColor="text1"/>
                <w:sz w:val="32"/>
                <w:szCs w:val="32"/>
              </w:rPr>
            </w:pPr>
            <w:r w:rsidRPr="007100A6">
              <w:rPr>
                <w:rFonts w:ascii="Open Sans" w:hAnsi="Open Sans" w:cs="Open Sans"/>
                <w:color w:val="000000" w:themeColor="text1"/>
                <w:sz w:val="32"/>
                <w:szCs w:val="32"/>
              </w:rPr>
              <w:sym w:font="Wingdings" w:char="F0FC"/>
            </w:r>
          </w:p>
        </w:tc>
        <w:tc>
          <w:tcPr>
            <w:tcW w:w="992" w:type="dxa"/>
          </w:tcPr>
          <w:p w14:paraId="1EE33566" w14:textId="77777777" w:rsidR="0019354F" w:rsidRPr="007100A6" w:rsidRDefault="0019354F" w:rsidP="0019354F">
            <w:pPr>
              <w:spacing w:before="0" w:after="0"/>
              <w:jc w:val="center"/>
              <w:rPr>
                <w:rFonts w:ascii="Open Sans" w:hAnsi="Open Sans" w:cs="Open Sans"/>
                <w:color w:val="000000" w:themeColor="text1"/>
                <w:sz w:val="32"/>
                <w:szCs w:val="32"/>
              </w:rPr>
            </w:pPr>
          </w:p>
        </w:tc>
        <w:tc>
          <w:tcPr>
            <w:tcW w:w="8674" w:type="dxa"/>
          </w:tcPr>
          <w:p w14:paraId="0D844B78" w14:textId="0E82FCC3" w:rsidR="00E66A63" w:rsidRPr="007100A6" w:rsidRDefault="00E66A63" w:rsidP="009823C8">
            <w:pPr>
              <w:pStyle w:val="Paragrafoelenco"/>
              <w:numPr>
                <w:ilvl w:val="0"/>
                <w:numId w:val="28"/>
              </w:numPr>
              <w:spacing w:before="0" w:after="0"/>
              <w:rPr>
                <w:rFonts w:ascii="Open Sans" w:hAnsi="Open Sans" w:cs="Open Sans"/>
                <w:color w:val="000000" w:themeColor="text1"/>
                <w:sz w:val="20"/>
                <w:szCs w:val="20"/>
              </w:rPr>
            </w:pPr>
            <w:r w:rsidRPr="007100A6">
              <w:rPr>
                <w:rFonts w:ascii="Open Sans" w:hAnsi="Open Sans" w:cs="Open Sans"/>
                <w:color w:val="000000" w:themeColor="text1"/>
                <w:sz w:val="20"/>
                <w:szCs w:val="20"/>
              </w:rPr>
              <w:t>The Paris Principles provide an internationally agreed basis for assessing the independence and effectiveness of national human rights institutions.</w:t>
            </w:r>
          </w:p>
          <w:p w14:paraId="10F34BD4" w14:textId="40756EC4" w:rsidR="009A3B99" w:rsidRPr="007100A6" w:rsidRDefault="009A3B99" w:rsidP="00073834">
            <w:pPr>
              <w:pStyle w:val="Paragrafoelenco"/>
              <w:numPr>
                <w:ilvl w:val="0"/>
                <w:numId w:val="28"/>
              </w:numPr>
              <w:spacing w:before="0" w:after="0"/>
              <w:rPr>
                <w:rFonts w:ascii="Open Sans" w:hAnsi="Open Sans" w:cs="Open Sans"/>
                <w:color w:val="000000" w:themeColor="text1"/>
                <w:sz w:val="20"/>
                <w:szCs w:val="20"/>
              </w:rPr>
            </w:pPr>
            <w:r w:rsidRPr="007100A6">
              <w:rPr>
                <w:rFonts w:ascii="Open Sans" w:hAnsi="Open Sans" w:cs="Open Sans"/>
                <w:color w:val="000000" w:themeColor="text1"/>
                <w:sz w:val="20"/>
                <w:szCs w:val="20"/>
              </w:rPr>
              <w:t>We need to ensur</w:t>
            </w:r>
            <w:r w:rsidR="00674083">
              <w:rPr>
                <w:rFonts w:ascii="Open Sans" w:hAnsi="Open Sans" w:cs="Open Sans"/>
                <w:color w:val="000000" w:themeColor="text1"/>
                <w:sz w:val="20"/>
                <w:szCs w:val="20"/>
              </w:rPr>
              <w:t>e</w:t>
            </w:r>
            <w:r w:rsidRPr="007100A6">
              <w:rPr>
                <w:rFonts w:ascii="Open Sans" w:hAnsi="Open Sans" w:cs="Open Sans"/>
                <w:color w:val="000000" w:themeColor="text1"/>
                <w:sz w:val="20"/>
                <w:szCs w:val="20"/>
              </w:rPr>
              <w:t xml:space="preserve"> that the Commission as Australia’s National Human Rights Institution (NHRI) retains our ‘A status’ accreditation ahead of Australia’s next review, due in 2021.</w:t>
            </w:r>
          </w:p>
          <w:p w14:paraId="43B73452" w14:textId="6023FBB8" w:rsidR="0019354F" w:rsidRPr="007100A6" w:rsidRDefault="004954F2" w:rsidP="00073834">
            <w:pPr>
              <w:pStyle w:val="Paragrafoelenco"/>
              <w:numPr>
                <w:ilvl w:val="0"/>
                <w:numId w:val="28"/>
              </w:numPr>
              <w:spacing w:before="0" w:after="0"/>
              <w:rPr>
                <w:rFonts w:ascii="Open Sans" w:hAnsi="Open Sans" w:cs="Open Sans"/>
                <w:color w:val="000000" w:themeColor="text1"/>
                <w:sz w:val="20"/>
                <w:szCs w:val="20"/>
              </w:rPr>
            </w:pPr>
            <w:r w:rsidRPr="007100A6">
              <w:rPr>
                <w:rFonts w:ascii="Open Sans" w:hAnsi="Open Sans" w:cs="Open Sans"/>
                <w:color w:val="000000" w:themeColor="text1"/>
                <w:sz w:val="20"/>
                <w:szCs w:val="20"/>
              </w:rPr>
              <w:lastRenderedPageBreak/>
              <w:t xml:space="preserve">The Commission will </w:t>
            </w:r>
            <w:r w:rsidR="00E66A63" w:rsidRPr="007100A6">
              <w:rPr>
                <w:rFonts w:ascii="Open Sans" w:hAnsi="Open Sans" w:cs="Open Sans"/>
                <w:color w:val="000000" w:themeColor="text1"/>
                <w:sz w:val="20"/>
                <w:szCs w:val="20"/>
              </w:rPr>
              <w:t>work with the Government to</w:t>
            </w:r>
            <w:r w:rsidRPr="007100A6">
              <w:rPr>
                <w:rFonts w:ascii="Open Sans" w:hAnsi="Open Sans" w:cs="Open Sans"/>
                <w:color w:val="000000" w:themeColor="text1"/>
                <w:sz w:val="20"/>
                <w:szCs w:val="20"/>
              </w:rPr>
              <w:t xml:space="preserve"> </w:t>
            </w:r>
            <w:r w:rsidR="00E66A63" w:rsidRPr="007100A6">
              <w:rPr>
                <w:rFonts w:ascii="Open Sans" w:hAnsi="Open Sans" w:cs="Open Sans"/>
                <w:color w:val="000000" w:themeColor="text1"/>
                <w:sz w:val="20"/>
                <w:szCs w:val="20"/>
              </w:rPr>
              <w:t xml:space="preserve">ensure efforts are made to address </w:t>
            </w:r>
            <w:r w:rsidR="009A3B99" w:rsidRPr="007100A6">
              <w:rPr>
                <w:rFonts w:ascii="Open Sans" w:hAnsi="Open Sans" w:cs="Open Sans"/>
                <w:color w:val="000000" w:themeColor="text1"/>
                <w:sz w:val="20"/>
                <w:szCs w:val="20"/>
              </w:rPr>
              <w:t xml:space="preserve">compliance </w:t>
            </w:r>
            <w:r w:rsidR="00E66A63" w:rsidRPr="007100A6">
              <w:rPr>
                <w:rFonts w:ascii="Open Sans" w:hAnsi="Open Sans" w:cs="Open Sans"/>
                <w:color w:val="000000" w:themeColor="text1"/>
                <w:sz w:val="20"/>
                <w:szCs w:val="20"/>
              </w:rPr>
              <w:t xml:space="preserve">issues ahead of </w:t>
            </w:r>
            <w:r w:rsidR="00073834" w:rsidRPr="007100A6">
              <w:rPr>
                <w:rFonts w:ascii="Open Sans" w:hAnsi="Open Sans" w:cs="Open Sans"/>
                <w:color w:val="000000" w:themeColor="text1"/>
                <w:sz w:val="20"/>
                <w:szCs w:val="20"/>
              </w:rPr>
              <w:t>Australia’s</w:t>
            </w:r>
            <w:r w:rsidRPr="007100A6">
              <w:rPr>
                <w:rFonts w:ascii="Open Sans" w:hAnsi="Open Sans" w:cs="Open Sans"/>
                <w:color w:val="000000" w:themeColor="text1"/>
                <w:sz w:val="20"/>
                <w:szCs w:val="20"/>
              </w:rPr>
              <w:t xml:space="preserve"> next </w:t>
            </w:r>
            <w:r w:rsidR="00073834" w:rsidRPr="007100A6">
              <w:rPr>
                <w:rFonts w:ascii="Open Sans" w:hAnsi="Open Sans" w:cs="Open Sans"/>
                <w:color w:val="000000" w:themeColor="text1"/>
                <w:sz w:val="20"/>
                <w:szCs w:val="20"/>
              </w:rPr>
              <w:t xml:space="preserve">accreditation </w:t>
            </w:r>
            <w:r w:rsidRPr="007100A6">
              <w:rPr>
                <w:rFonts w:ascii="Open Sans" w:hAnsi="Open Sans" w:cs="Open Sans"/>
                <w:color w:val="000000" w:themeColor="text1"/>
                <w:sz w:val="20"/>
                <w:szCs w:val="20"/>
              </w:rPr>
              <w:t>review in 2021.</w:t>
            </w:r>
          </w:p>
        </w:tc>
      </w:tr>
    </w:tbl>
    <w:p w14:paraId="63E8BD5C" w14:textId="77777777" w:rsidR="00410133" w:rsidRPr="007100A6" w:rsidRDefault="00410133" w:rsidP="00410133">
      <w:pPr>
        <w:pStyle w:val="Titolo3"/>
        <w:numPr>
          <w:ilvl w:val="0"/>
          <w:numId w:val="0"/>
        </w:numPr>
        <w:ind w:left="851"/>
        <w:rPr>
          <w:rFonts w:ascii="Open Sans" w:hAnsi="Open Sans" w:cs="Open Sans"/>
          <w:color w:val="000000" w:themeColor="text1"/>
        </w:rPr>
        <w:sectPr w:rsidR="00410133" w:rsidRPr="007100A6" w:rsidSect="001C1FB7">
          <w:endnotePr>
            <w:numFmt w:val="decimal"/>
          </w:endnotePr>
          <w:pgSz w:w="16838" w:h="11906" w:orient="landscape" w:code="9"/>
          <w:pgMar w:top="1418" w:right="1134" w:bottom="1418" w:left="1134" w:header="709" w:footer="709" w:gutter="0"/>
          <w:cols w:space="708"/>
          <w:docGrid w:linePitch="360"/>
        </w:sectPr>
      </w:pPr>
    </w:p>
    <w:p w14:paraId="3B77CE75" w14:textId="2A3AEFEE" w:rsidR="0049322F" w:rsidRPr="00CC23E0" w:rsidRDefault="004D641A" w:rsidP="0056516D">
      <w:pPr>
        <w:pStyle w:val="Titolo1"/>
        <w:numPr>
          <w:ilvl w:val="0"/>
          <w:numId w:val="0"/>
        </w:numPr>
        <w:ind w:left="851" w:hanging="851"/>
        <w:rPr>
          <w:rFonts w:ascii="Open Sans" w:hAnsi="Open Sans" w:cs="Open Sans"/>
          <w:color w:val="3B8AA1"/>
        </w:rPr>
      </w:pPr>
      <w:bookmarkStart w:id="3" w:name="_Toc8740031"/>
      <w:r w:rsidRPr="00CC23E0">
        <w:rPr>
          <w:rFonts w:ascii="Open Sans" w:hAnsi="Open Sans" w:cs="Open Sans"/>
          <w:color w:val="3B8AA1"/>
        </w:rPr>
        <w:lastRenderedPageBreak/>
        <w:t xml:space="preserve">Internal </w:t>
      </w:r>
      <w:r w:rsidR="0049322F" w:rsidRPr="00CC23E0">
        <w:rPr>
          <w:rFonts w:ascii="Open Sans" w:hAnsi="Open Sans" w:cs="Open Sans"/>
          <w:color w:val="3B8AA1"/>
        </w:rPr>
        <w:t xml:space="preserve">and </w:t>
      </w:r>
      <w:r w:rsidRPr="00CC23E0">
        <w:rPr>
          <w:rFonts w:ascii="Open Sans" w:hAnsi="Open Sans" w:cs="Open Sans"/>
          <w:color w:val="3B8AA1"/>
        </w:rPr>
        <w:t xml:space="preserve">capability </w:t>
      </w:r>
      <w:r w:rsidR="00C136F8" w:rsidRPr="00CC23E0">
        <w:rPr>
          <w:rFonts w:ascii="Open Sans" w:hAnsi="Open Sans" w:cs="Open Sans"/>
          <w:color w:val="3B8AA1"/>
        </w:rPr>
        <w:t xml:space="preserve">factors and </w:t>
      </w:r>
      <w:r w:rsidRPr="00CC23E0">
        <w:rPr>
          <w:rFonts w:ascii="Open Sans" w:hAnsi="Open Sans" w:cs="Open Sans"/>
          <w:color w:val="3B8AA1"/>
        </w:rPr>
        <w:t>management</w:t>
      </w:r>
      <w:bookmarkEnd w:id="3"/>
    </w:p>
    <w:tbl>
      <w:tblPr>
        <w:tblStyle w:val="Grigliatabella"/>
        <w:tblW w:w="0" w:type="auto"/>
        <w:tblCellMar>
          <w:top w:w="113" w:type="dxa"/>
          <w:bottom w:w="113" w:type="dxa"/>
        </w:tblCellMar>
        <w:tblLook w:val="04A0" w:firstRow="1" w:lastRow="0" w:firstColumn="1" w:lastColumn="0" w:noHBand="0" w:noVBand="1"/>
      </w:tblPr>
      <w:tblGrid>
        <w:gridCol w:w="2689"/>
        <w:gridCol w:w="992"/>
        <w:gridCol w:w="992"/>
        <w:gridCol w:w="992"/>
        <w:gridCol w:w="8895"/>
      </w:tblGrid>
      <w:tr w:rsidR="00591005" w:rsidRPr="007100A6" w14:paraId="06966CA7" w14:textId="77777777" w:rsidTr="00CC23E0">
        <w:trPr>
          <w:trHeight w:val="645"/>
          <w:tblHeader/>
        </w:trPr>
        <w:tc>
          <w:tcPr>
            <w:tcW w:w="2689" w:type="dxa"/>
            <w:shd w:val="clear" w:color="auto" w:fill="073145"/>
            <w:vAlign w:val="bottom"/>
          </w:tcPr>
          <w:p w14:paraId="5A29D555" w14:textId="77777777" w:rsidR="004D641A" w:rsidRPr="007100A6" w:rsidRDefault="004D641A" w:rsidP="0052315A">
            <w:pPr>
              <w:spacing w:before="0" w:after="0"/>
              <w:rPr>
                <w:rFonts w:ascii="Open Sans" w:hAnsi="Open Sans" w:cs="Open Sans"/>
                <w:color w:val="000000" w:themeColor="text1"/>
              </w:rPr>
            </w:pPr>
            <w:r w:rsidRPr="0052315A">
              <w:rPr>
                <w:rFonts w:ascii="Open Sans" w:hAnsi="Open Sans" w:cs="Open Sans"/>
                <w:b/>
                <w:color w:val="FFFFFF" w:themeColor="background1"/>
                <w:sz w:val="20"/>
              </w:rPr>
              <w:t>Factor</w:t>
            </w:r>
          </w:p>
        </w:tc>
        <w:tc>
          <w:tcPr>
            <w:tcW w:w="992" w:type="dxa"/>
            <w:shd w:val="clear" w:color="auto" w:fill="073145"/>
            <w:vAlign w:val="bottom"/>
          </w:tcPr>
          <w:p w14:paraId="11EA0D3A" w14:textId="77777777" w:rsidR="004D641A" w:rsidRPr="007100A6" w:rsidRDefault="004D641A" w:rsidP="0052315A">
            <w:pPr>
              <w:spacing w:before="0" w:after="0"/>
              <w:rPr>
                <w:rFonts w:ascii="Open Sans" w:hAnsi="Open Sans" w:cs="Open Sans"/>
                <w:color w:val="000000" w:themeColor="text1"/>
              </w:rPr>
            </w:pPr>
            <w:r w:rsidRPr="0052315A">
              <w:rPr>
                <w:rFonts w:ascii="Open Sans" w:hAnsi="Open Sans" w:cs="Open Sans"/>
                <w:b/>
                <w:color w:val="FFFFFF" w:themeColor="background1"/>
                <w:sz w:val="20"/>
              </w:rPr>
              <w:t>In full control</w:t>
            </w:r>
          </w:p>
        </w:tc>
        <w:tc>
          <w:tcPr>
            <w:tcW w:w="992" w:type="dxa"/>
            <w:shd w:val="clear" w:color="auto" w:fill="073145"/>
            <w:vAlign w:val="bottom"/>
          </w:tcPr>
          <w:p w14:paraId="5B0A1A66" w14:textId="77777777" w:rsidR="004D641A" w:rsidRPr="007100A6" w:rsidRDefault="004D641A" w:rsidP="0052315A">
            <w:pPr>
              <w:spacing w:before="0" w:after="0"/>
              <w:rPr>
                <w:rFonts w:ascii="Open Sans" w:hAnsi="Open Sans" w:cs="Open Sans"/>
                <w:color w:val="000000" w:themeColor="text1"/>
              </w:rPr>
            </w:pPr>
            <w:r w:rsidRPr="0052315A">
              <w:rPr>
                <w:rFonts w:ascii="Open Sans" w:hAnsi="Open Sans" w:cs="Open Sans"/>
                <w:b/>
                <w:color w:val="FFFFFF" w:themeColor="background1"/>
                <w:sz w:val="20"/>
              </w:rPr>
              <w:t>In partial control</w:t>
            </w:r>
          </w:p>
        </w:tc>
        <w:tc>
          <w:tcPr>
            <w:tcW w:w="992" w:type="dxa"/>
            <w:shd w:val="clear" w:color="auto" w:fill="073145"/>
            <w:vAlign w:val="bottom"/>
          </w:tcPr>
          <w:p w14:paraId="2DA39AF7" w14:textId="77777777" w:rsidR="004D641A" w:rsidRPr="007100A6" w:rsidRDefault="004D641A" w:rsidP="0052315A">
            <w:pPr>
              <w:spacing w:before="0" w:after="0"/>
              <w:rPr>
                <w:rFonts w:ascii="Open Sans" w:hAnsi="Open Sans" w:cs="Open Sans"/>
                <w:color w:val="000000" w:themeColor="text1"/>
              </w:rPr>
            </w:pPr>
            <w:r w:rsidRPr="0052315A">
              <w:rPr>
                <w:rFonts w:ascii="Open Sans" w:hAnsi="Open Sans" w:cs="Open Sans"/>
                <w:b/>
                <w:color w:val="FFFFFF" w:themeColor="background1"/>
                <w:sz w:val="20"/>
              </w:rPr>
              <w:t>Beyond control</w:t>
            </w:r>
          </w:p>
        </w:tc>
        <w:tc>
          <w:tcPr>
            <w:tcW w:w="8895" w:type="dxa"/>
            <w:shd w:val="clear" w:color="auto" w:fill="073145"/>
            <w:vAlign w:val="bottom"/>
          </w:tcPr>
          <w:p w14:paraId="645406D1" w14:textId="7B5AEF7F" w:rsidR="004D641A" w:rsidRPr="007100A6" w:rsidRDefault="0049322F" w:rsidP="0052315A">
            <w:pPr>
              <w:spacing w:before="0" w:after="0"/>
              <w:rPr>
                <w:rFonts w:ascii="Open Sans" w:hAnsi="Open Sans" w:cs="Open Sans"/>
                <w:color w:val="000000" w:themeColor="text1"/>
              </w:rPr>
            </w:pPr>
            <w:r w:rsidRPr="0052315A">
              <w:rPr>
                <w:rFonts w:ascii="Open Sans" w:hAnsi="Open Sans" w:cs="Open Sans"/>
                <w:b/>
                <w:color w:val="FFFFFF" w:themeColor="background1"/>
                <w:sz w:val="20"/>
                <w:szCs w:val="20"/>
              </w:rPr>
              <w:t>Analysis and risk management</w:t>
            </w:r>
          </w:p>
        </w:tc>
      </w:tr>
      <w:tr w:rsidR="00591005" w:rsidRPr="007100A6" w14:paraId="70EF5B2B" w14:textId="77777777" w:rsidTr="0052315A">
        <w:tc>
          <w:tcPr>
            <w:tcW w:w="2689" w:type="dxa"/>
          </w:tcPr>
          <w:p w14:paraId="58E90F86" w14:textId="29C53B5C" w:rsidR="00364F9B" w:rsidRPr="00E9231C" w:rsidRDefault="00364F9B" w:rsidP="00E9231C">
            <w:pPr>
              <w:pStyle w:val="TableParagraph"/>
              <w:spacing w:line="252" w:lineRule="auto"/>
              <w:ind w:right="615"/>
              <w:rPr>
                <w:rFonts w:ascii="Open Sans" w:hAnsi="Open Sans" w:cs="Open Sans"/>
                <w:b/>
                <w:color w:val="000000" w:themeColor="text1"/>
              </w:rPr>
            </w:pPr>
            <w:r w:rsidRPr="007100A6">
              <w:rPr>
                <w:rFonts w:ascii="Open Sans" w:hAnsi="Open Sans" w:cs="Open Sans"/>
                <w:b/>
                <w:color w:val="000000" w:themeColor="text1"/>
              </w:rPr>
              <w:t>Building partnerships and financial support to expand our work program</w:t>
            </w:r>
          </w:p>
        </w:tc>
        <w:tc>
          <w:tcPr>
            <w:tcW w:w="992" w:type="dxa"/>
          </w:tcPr>
          <w:p w14:paraId="000574B4" w14:textId="77777777" w:rsidR="00364F9B" w:rsidRPr="007100A6" w:rsidRDefault="00364F9B" w:rsidP="00364F9B">
            <w:pPr>
              <w:spacing w:before="0" w:after="0"/>
              <w:rPr>
                <w:rFonts w:ascii="Open Sans" w:hAnsi="Open Sans" w:cs="Open Sans"/>
                <w:color w:val="000000" w:themeColor="text1"/>
              </w:rPr>
            </w:pPr>
          </w:p>
        </w:tc>
        <w:tc>
          <w:tcPr>
            <w:tcW w:w="992" w:type="dxa"/>
          </w:tcPr>
          <w:p w14:paraId="73674CF7" w14:textId="77777777" w:rsidR="00364F9B" w:rsidRPr="007100A6" w:rsidRDefault="00364F9B" w:rsidP="00E9231C">
            <w:pPr>
              <w:spacing w:before="0" w:after="0"/>
              <w:jc w:val="center"/>
              <w:rPr>
                <w:rFonts w:ascii="Open Sans" w:hAnsi="Open Sans" w:cs="Open Sans"/>
                <w:color w:val="000000" w:themeColor="text1"/>
              </w:rPr>
            </w:pPr>
            <w:r w:rsidRPr="007100A6">
              <w:rPr>
                <w:rFonts w:ascii="Open Sans" w:hAnsi="Open Sans" w:cs="Open Sans"/>
                <w:color w:val="000000" w:themeColor="text1"/>
                <w:sz w:val="36"/>
              </w:rPr>
              <w:sym w:font="Wingdings" w:char="F0FC"/>
            </w:r>
          </w:p>
        </w:tc>
        <w:tc>
          <w:tcPr>
            <w:tcW w:w="992" w:type="dxa"/>
          </w:tcPr>
          <w:p w14:paraId="5D0095E4" w14:textId="77777777" w:rsidR="00364F9B" w:rsidRPr="007100A6" w:rsidRDefault="00364F9B" w:rsidP="00364F9B">
            <w:pPr>
              <w:spacing w:before="0" w:after="0"/>
              <w:rPr>
                <w:rFonts w:ascii="Open Sans" w:hAnsi="Open Sans" w:cs="Open Sans"/>
                <w:color w:val="000000" w:themeColor="text1"/>
              </w:rPr>
            </w:pPr>
          </w:p>
        </w:tc>
        <w:tc>
          <w:tcPr>
            <w:tcW w:w="8895" w:type="dxa"/>
          </w:tcPr>
          <w:p w14:paraId="7A8336E6" w14:textId="14BA926A" w:rsidR="00364F9B" w:rsidRPr="007100A6" w:rsidRDefault="00364F9B" w:rsidP="008D0AD4">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 xml:space="preserve">Reliance upon external partnerships and fund-raising to support achievement of the Commission’s overall workplan (currently approx. 50% of the </w:t>
            </w:r>
            <w:r w:rsidR="008B5269" w:rsidRPr="007100A6">
              <w:rPr>
                <w:rFonts w:ascii="Open Sans" w:hAnsi="Open Sans" w:cs="Open Sans"/>
                <w:color w:val="000000" w:themeColor="text1"/>
                <w:sz w:val="20"/>
                <w:szCs w:val="20"/>
              </w:rPr>
              <w:t xml:space="preserve">policy </w:t>
            </w:r>
            <w:r w:rsidRPr="007100A6">
              <w:rPr>
                <w:rFonts w:ascii="Open Sans" w:hAnsi="Open Sans" w:cs="Open Sans"/>
                <w:color w:val="000000" w:themeColor="text1"/>
                <w:sz w:val="20"/>
                <w:szCs w:val="20"/>
              </w:rPr>
              <w:t>program is externally funded)</w:t>
            </w:r>
            <w:r w:rsidR="00E9231C">
              <w:rPr>
                <w:rFonts w:ascii="Open Sans" w:hAnsi="Open Sans" w:cs="Open Sans"/>
                <w:color w:val="000000" w:themeColor="text1"/>
                <w:sz w:val="20"/>
                <w:szCs w:val="20"/>
              </w:rPr>
              <w:t>.</w:t>
            </w:r>
          </w:p>
          <w:p w14:paraId="16DE050D" w14:textId="548F9604" w:rsidR="00364F9B" w:rsidRPr="007100A6" w:rsidRDefault="00364F9B" w:rsidP="008D0AD4">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Need for agility to be able to identify opportunities as they arise and be proactive</w:t>
            </w:r>
            <w:r w:rsidR="00E9231C">
              <w:rPr>
                <w:rFonts w:ascii="Open Sans" w:hAnsi="Open Sans" w:cs="Open Sans"/>
                <w:color w:val="000000" w:themeColor="text1"/>
                <w:sz w:val="20"/>
                <w:szCs w:val="20"/>
              </w:rPr>
              <w:t>.</w:t>
            </w:r>
          </w:p>
          <w:p w14:paraId="5E7481FD" w14:textId="7CAB3D50" w:rsidR="00364F9B" w:rsidRPr="007100A6" w:rsidRDefault="008B5269" w:rsidP="008D0AD4">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Recognis</w:t>
            </w:r>
            <w:r w:rsidR="00364F9B" w:rsidRPr="007100A6">
              <w:rPr>
                <w:rFonts w:ascii="Open Sans" w:hAnsi="Open Sans" w:cs="Open Sans"/>
                <w:color w:val="000000" w:themeColor="text1"/>
                <w:sz w:val="20"/>
                <w:szCs w:val="20"/>
              </w:rPr>
              <w:t xml:space="preserve">ing that some work areas are less </w:t>
            </w:r>
            <w:r w:rsidR="00703E74">
              <w:rPr>
                <w:rFonts w:ascii="Open Sans" w:hAnsi="Open Sans" w:cs="Open Sans"/>
                <w:color w:val="000000" w:themeColor="text1"/>
                <w:sz w:val="20"/>
                <w:szCs w:val="20"/>
              </w:rPr>
              <w:t>attractive</w:t>
            </w:r>
            <w:r w:rsidR="00364F9B" w:rsidRPr="007100A6">
              <w:rPr>
                <w:rFonts w:ascii="Open Sans" w:hAnsi="Open Sans" w:cs="Open Sans"/>
                <w:color w:val="000000" w:themeColor="text1"/>
                <w:sz w:val="20"/>
                <w:szCs w:val="20"/>
              </w:rPr>
              <w:t xml:space="preserve"> to external funding arrangements</w:t>
            </w:r>
            <w:r w:rsidR="00E25E63">
              <w:rPr>
                <w:rFonts w:ascii="Open Sans" w:hAnsi="Open Sans" w:cs="Open Sans"/>
                <w:color w:val="000000" w:themeColor="text1"/>
                <w:sz w:val="20"/>
                <w:szCs w:val="20"/>
              </w:rPr>
              <w:t xml:space="preserve">—we </w:t>
            </w:r>
            <w:r w:rsidR="00364F9B" w:rsidRPr="007100A6">
              <w:rPr>
                <w:rFonts w:ascii="Open Sans" w:hAnsi="Open Sans" w:cs="Open Sans"/>
                <w:color w:val="000000" w:themeColor="text1"/>
                <w:sz w:val="20"/>
                <w:szCs w:val="20"/>
              </w:rPr>
              <w:t>need to ensure support through core budget for such activities to ensure that the Commission maintains a balanced work program across all commissioners and areas of responsibility</w:t>
            </w:r>
            <w:r w:rsidR="00E9231C">
              <w:rPr>
                <w:rFonts w:ascii="Open Sans" w:hAnsi="Open Sans" w:cs="Open Sans"/>
                <w:color w:val="000000" w:themeColor="text1"/>
                <w:sz w:val="20"/>
                <w:szCs w:val="20"/>
              </w:rPr>
              <w:t>.</w:t>
            </w:r>
          </w:p>
          <w:p w14:paraId="36AB9E94" w14:textId="77777777" w:rsidR="00364F9B" w:rsidRPr="007100A6" w:rsidRDefault="00FC79EA" w:rsidP="008B5269">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A partnership strategy</w:t>
            </w:r>
            <w:r w:rsidR="00EF396B" w:rsidRPr="007100A6">
              <w:rPr>
                <w:rFonts w:ascii="Open Sans" w:hAnsi="Open Sans" w:cs="Open Sans"/>
                <w:color w:val="000000" w:themeColor="text1"/>
                <w:sz w:val="20"/>
                <w:szCs w:val="20"/>
              </w:rPr>
              <w:t xml:space="preserve"> ensures agreed principles and a strategic decision-making process applied to seeking and </w:t>
            </w:r>
            <w:r w:rsidR="008B5269" w:rsidRPr="007100A6">
              <w:rPr>
                <w:rFonts w:ascii="Open Sans" w:hAnsi="Open Sans" w:cs="Open Sans"/>
                <w:color w:val="000000" w:themeColor="text1"/>
                <w:sz w:val="20"/>
                <w:szCs w:val="20"/>
              </w:rPr>
              <w:t>implementing</w:t>
            </w:r>
            <w:r w:rsidR="00EF396B" w:rsidRPr="007100A6">
              <w:rPr>
                <w:rFonts w:ascii="Open Sans" w:hAnsi="Open Sans" w:cs="Open Sans"/>
                <w:color w:val="000000" w:themeColor="text1"/>
                <w:sz w:val="20"/>
                <w:szCs w:val="20"/>
              </w:rPr>
              <w:t xml:space="preserve"> partnership opportunities.</w:t>
            </w:r>
          </w:p>
        </w:tc>
      </w:tr>
      <w:tr w:rsidR="00591005" w:rsidRPr="007100A6" w14:paraId="6FB7A8C9" w14:textId="77777777" w:rsidTr="0052315A">
        <w:tc>
          <w:tcPr>
            <w:tcW w:w="2689" w:type="dxa"/>
          </w:tcPr>
          <w:p w14:paraId="298984CC" w14:textId="77777777" w:rsidR="00364F9B" w:rsidRPr="007100A6" w:rsidRDefault="00364F9B" w:rsidP="00364F9B">
            <w:pPr>
              <w:spacing w:before="120" w:after="120"/>
              <w:rPr>
                <w:rFonts w:ascii="Open Sans" w:hAnsi="Open Sans" w:cs="Open Sans"/>
                <w:strike/>
                <w:color w:val="000000" w:themeColor="text1"/>
                <w:sz w:val="22"/>
                <w:szCs w:val="22"/>
              </w:rPr>
            </w:pPr>
            <w:r w:rsidRPr="007100A6">
              <w:rPr>
                <w:rFonts w:ascii="Open Sans" w:hAnsi="Open Sans" w:cs="Open Sans"/>
                <w:b/>
                <w:color w:val="000000" w:themeColor="text1"/>
                <w:sz w:val="22"/>
                <w:szCs w:val="22"/>
              </w:rPr>
              <w:t>Ensuring national coverage of our work</w:t>
            </w:r>
          </w:p>
        </w:tc>
        <w:tc>
          <w:tcPr>
            <w:tcW w:w="992" w:type="dxa"/>
          </w:tcPr>
          <w:p w14:paraId="1BB84979" w14:textId="77777777" w:rsidR="00364F9B" w:rsidRPr="007100A6" w:rsidRDefault="00364F9B" w:rsidP="00F6666C">
            <w:pPr>
              <w:spacing w:before="0" w:after="0"/>
              <w:rPr>
                <w:rFonts w:ascii="Open Sans" w:hAnsi="Open Sans" w:cs="Open Sans"/>
                <w:strike/>
                <w:color w:val="000000" w:themeColor="text1"/>
              </w:rPr>
            </w:pPr>
          </w:p>
        </w:tc>
        <w:tc>
          <w:tcPr>
            <w:tcW w:w="992" w:type="dxa"/>
          </w:tcPr>
          <w:p w14:paraId="07E765C0" w14:textId="77777777" w:rsidR="00364F9B" w:rsidRPr="007100A6" w:rsidRDefault="005C4E49" w:rsidP="00E9231C">
            <w:pPr>
              <w:spacing w:before="0" w:after="0"/>
              <w:jc w:val="center"/>
              <w:rPr>
                <w:rFonts w:ascii="Open Sans" w:hAnsi="Open Sans" w:cs="Open Sans"/>
                <w:strike/>
                <w:color w:val="000000" w:themeColor="text1"/>
              </w:rPr>
            </w:pPr>
            <w:r w:rsidRPr="007100A6">
              <w:rPr>
                <w:rFonts w:ascii="Open Sans" w:hAnsi="Open Sans" w:cs="Open Sans"/>
                <w:color w:val="000000" w:themeColor="text1"/>
                <w:sz w:val="36"/>
              </w:rPr>
              <w:sym w:font="Wingdings" w:char="F0FC"/>
            </w:r>
          </w:p>
        </w:tc>
        <w:tc>
          <w:tcPr>
            <w:tcW w:w="992" w:type="dxa"/>
          </w:tcPr>
          <w:p w14:paraId="53373278" w14:textId="77777777" w:rsidR="00364F9B" w:rsidRPr="007100A6" w:rsidRDefault="00364F9B" w:rsidP="00F6666C">
            <w:pPr>
              <w:spacing w:before="0" w:after="0"/>
              <w:rPr>
                <w:rFonts w:ascii="Open Sans" w:hAnsi="Open Sans" w:cs="Open Sans"/>
                <w:color w:val="000000" w:themeColor="text1"/>
              </w:rPr>
            </w:pPr>
          </w:p>
        </w:tc>
        <w:tc>
          <w:tcPr>
            <w:tcW w:w="8895" w:type="dxa"/>
          </w:tcPr>
          <w:p w14:paraId="0797F685" w14:textId="77777777" w:rsidR="00971039" w:rsidRPr="007100A6" w:rsidRDefault="00971039" w:rsidP="008D0AD4">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 xml:space="preserve">The single base of our organisation and </w:t>
            </w:r>
            <w:r w:rsidR="00AB6EA0" w:rsidRPr="007100A6">
              <w:rPr>
                <w:rFonts w:ascii="Open Sans" w:hAnsi="Open Sans" w:cs="Open Sans"/>
                <w:color w:val="000000" w:themeColor="text1"/>
                <w:sz w:val="20"/>
                <w:szCs w:val="20"/>
              </w:rPr>
              <w:t xml:space="preserve">resources </w:t>
            </w:r>
            <w:r w:rsidRPr="007100A6">
              <w:rPr>
                <w:rFonts w:ascii="Open Sans" w:hAnsi="Open Sans" w:cs="Open Sans"/>
                <w:color w:val="000000" w:themeColor="text1"/>
                <w:sz w:val="20"/>
                <w:szCs w:val="20"/>
              </w:rPr>
              <w:t>can create challenges for ensuring engagement with regional, rural and remote Australia.</w:t>
            </w:r>
          </w:p>
          <w:p w14:paraId="6BD90662" w14:textId="42253246" w:rsidR="00364F9B" w:rsidRPr="007100A6" w:rsidRDefault="00971039" w:rsidP="008D0AD4">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We will manage this through regular and more innovative consideration of how we reach such stakeholders and include building engagement in different locations into Commissioner programs and key project activities.</w:t>
            </w:r>
          </w:p>
          <w:p w14:paraId="7FD6D509" w14:textId="77777777" w:rsidR="00364F9B" w:rsidRPr="007100A6" w:rsidRDefault="00364F9B" w:rsidP="008D0AD4">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 xml:space="preserve">This will be our second </w:t>
            </w:r>
            <w:r w:rsidR="008B5269" w:rsidRPr="007100A6">
              <w:rPr>
                <w:rFonts w:ascii="Open Sans" w:hAnsi="Open Sans" w:cs="Open Sans"/>
                <w:color w:val="000000" w:themeColor="text1"/>
                <w:sz w:val="20"/>
                <w:szCs w:val="20"/>
              </w:rPr>
              <w:t>year of monitoring and publicly</w:t>
            </w:r>
            <w:r w:rsidRPr="007100A6">
              <w:rPr>
                <w:rFonts w:ascii="Open Sans" w:hAnsi="Open Sans" w:cs="Open Sans"/>
                <w:color w:val="000000" w:themeColor="text1"/>
                <w:sz w:val="20"/>
                <w:szCs w:val="20"/>
              </w:rPr>
              <w:t xml:space="preserve"> reporting data on the national coverage of our work.</w:t>
            </w:r>
          </w:p>
        </w:tc>
      </w:tr>
      <w:tr w:rsidR="00591005" w:rsidRPr="007100A6" w14:paraId="6EB03B67" w14:textId="77777777" w:rsidTr="0052315A">
        <w:tc>
          <w:tcPr>
            <w:tcW w:w="2689" w:type="dxa"/>
          </w:tcPr>
          <w:p w14:paraId="45B85ED6" w14:textId="23899978" w:rsidR="00F63FA6" w:rsidRPr="00D5120E" w:rsidRDefault="001A09B5" w:rsidP="00591005">
            <w:pPr>
              <w:spacing w:before="120" w:after="120"/>
              <w:rPr>
                <w:rFonts w:ascii="Open Sans" w:hAnsi="Open Sans" w:cs="Open Sans"/>
                <w:b/>
                <w:color w:val="000000" w:themeColor="text1"/>
                <w:sz w:val="22"/>
                <w:szCs w:val="22"/>
              </w:rPr>
            </w:pPr>
            <w:r w:rsidRPr="007100A6">
              <w:rPr>
                <w:rFonts w:ascii="Open Sans" w:hAnsi="Open Sans" w:cs="Open Sans"/>
                <w:b/>
                <w:color w:val="000000" w:themeColor="text1"/>
                <w:sz w:val="22"/>
                <w:szCs w:val="22"/>
              </w:rPr>
              <w:lastRenderedPageBreak/>
              <w:t xml:space="preserve">Managing an increasingly </w:t>
            </w:r>
            <w:r w:rsidR="009A3B99" w:rsidRPr="007100A6">
              <w:rPr>
                <w:rFonts w:ascii="Open Sans" w:hAnsi="Open Sans" w:cs="Open Sans"/>
                <w:b/>
                <w:color w:val="000000" w:themeColor="text1"/>
                <w:sz w:val="22"/>
                <w:szCs w:val="22"/>
              </w:rPr>
              <w:t>more mobile</w:t>
            </w:r>
            <w:r w:rsidRPr="007100A6">
              <w:rPr>
                <w:rFonts w:ascii="Open Sans" w:hAnsi="Open Sans" w:cs="Open Sans"/>
                <w:b/>
                <w:color w:val="000000" w:themeColor="text1"/>
                <w:sz w:val="22"/>
                <w:szCs w:val="22"/>
              </w:rPr>
              <w:t xml:space="preserve"> workforce</w:t>
            </w:r>
          </w:p>
        </w:tc>
        <w:tc>
          <w:tcPr>
            <w:tcW w:w="992" w:type="dxa"/>
          </w:tcPr>
          <w:p w14:paraId="4D1B13FA" w14:textId="77777777" w:rsidR="00364F9B" w:rsidRPr="007100A6" w:rsidRDefault="005C4E49" w:rsidP="00E9231C">
            <w:pPr>
              <w:spacing w:before="0" w:after="0"/>
              <w:jc w:val="center"/>
              <w:rPr>
                <w:rFonts w:ascii="Open Sans" w:hAnsi="Open Sans" w:cs="Open Sans"/>
                <w:strike/>
                <w:color w:val="000000" w:themeColor="text1"/>
              </w:rPr>
            </w:pPr>
            <w:r w:rsidRPr="007100A6">
              <w:rPr>
                <w:rFonts w:ascii="Open Sans" w:hAnsi="Open Sans" w:cs="Open Sans"/>
                <w:color w:val="000000" w:themeColor="text1"/>
                <w:sz w:val="36"/>
              </w:rPr>
              <w:sym w:font="Wingdings" w:char="F0FC"/>
            </w:r>
          </w:p>
        </w:tc>
        <w:tc>
          <w:tcPr>
            <w:tcW w:w="992" w:type="dxa"/>
          </w:tcPr>
          <w:p w14:paraId="22DA4EAA" w14:textId="77777777" w:rsidR="00364F9B" w:rsidRPr="007100A6" w:rsidRDefault="00364F9B" w:rsidP="00E9231C">
            <w:pPr>
              <w:spacing w:before="0" w:after="0"/>
              <w:jc w:val="center"/>
              <w:rPr>
                <w:rFonts w:ascii="Open Sans" w:hAnsi="Open Sans" w:cs="Open Sans"/>
                <w:strike/>
                <w:color w:val="000000" w:themeColor="text1"/>
              </w:rPr>
            </w:pPr>
          </w:p>
        </w:tc>
        <w:tc>
          <w:tcPr>
            <w:tcW w:w="992" w:type="dxa"/>
          </w:tcPr>
          <w:p w14:paraId="2C08985D" w14:textId="77777777" w:rsidR="00364F9B" w:rsidRPr="007100A6" w:rsidRDefault="00364F9B" w:rsidP="00F6666C">
            <w:pPr>
              <w:spacing w:before="0" w:after="0"/>
              <w:rPr>
                <w:rFonts w:ascii="Open Sans" w:hAnsi="Open Sans" w:cs="Open Sans"/>
                <w:strike/>
                <w:color w:val="000000" w:themeColor="text1"/>
              </w:rPr>
            </w:pPr>
          </w:p>
        </w:tc>
        <w:tc>
          <w:tcPr>
            <w:tcW w:w="8895" w:type="dxa"/>
          </w:tcPr>
          <w:p w14:paraId="60CA01FF" w14:textId="77777777" w:rsidR="003F484C" w:rsidRPr="007100A6" w:rsidRDefault="001A09B5" w:rsidP="003F484C">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 xml:space="preserve">Staff turnover </w:t>
            </w:r>
            <w:r w:rsidR="00D05B15" w:rsidRPr="007100A6">
              <w:rPr>
                <w:rFonts w:ascii="Open Sans" w:hAnsi="Open Sans" w:cs="Open Sans"/>
                <w:color w:val="000000" w:themeColor="text1"/>
                <w:sz w:val="20"/>
                <w:szCs w:val="20"/>
              </w:rPr>
              <w:t xml:space="preserve">in an increasingly mobile workforce environment </w:t>
            </w:r>
            <w:r w:rsidRPr="007100A6">
              <w:rPr>
                <w:rFonts w:ascii="Open Sans" w:hAnsi="Open Sans" w:cs="Open Sans"/>
                <w:color w:val="000000" w:themeColor="text1"/>
                <w:sz w:val="20"/>
                <w:szCs w:val="20"/>
              </w:rPr>
              <w:t xml:space="preserve">continues to present a capability risk from loss of key staff and organisational knowledge in an uncertain </w:t>
            </w:r>
            <w:r w:rsidR="004F597C" w:rsidRPr="007100A6">
              <w:rPr>
                <w:rFonts w:ascii="Open Sans" w:hAnsi="Open Sans" w:cs="Open Sans"/>
                <w:color w:val="000000" w:themeColor="text1"/>
                <w:sz w:val="20"/>
                <w:szCs w:val="20"/>
              </w:rPr>
              <w:t>core-funding</w:t>
            </w:r>
            <w:r w:rsidRPr="007100A6">
              <w:rPr>
                <w:rFonts w:ascii="Open Sans" w:hAnsi="Open Sans" w:cs="Open Sans"/>
                <w:color w:val="000000" w:themeColor="text1"/>
                <w:sz w:val="20"/>
                <w:szCs w:val="20"/>
              </w:rPr>
              <w:t xml:space="preserve"> environment</w:t>
            </w:r>
            <w:r w:rsidR="00410133" w:rsidRPr="007100A6">
              <w:rPr>
                <w:rFonts w:ascii="Open Sans" w:hAnsi="Open Sans" w:cs="Open Sans"/>
                <w:color w:val="000000" w:themeColor="text1"/>
                <w:sz w:val="20"/>
                <w:szCs w:val="20"/>
              </w:rPr>
              <w:t>.</w:t>
            </w:r>
            <w:r w:rsidR="003F484C" w:rsidRPr="007100A6">
              <w:rPr>
                <w:rFonts w:ascii="Open Sans" w:hAnsi="Open Sans" w:cs="Open Sans"/>
                <w:color w:val="000000" w:themeColor="text1"/>
                <w:sz w:val="20"/>
                <w:szCs w:val="20"/>
              </w:rPr>
              <w:t xml:space="preserve"> </w:t>
            </w:r>
            <w:r w:rsidR="00D05B15" w:rsidRPr="007100A6">
              <w:rPr>
                <w:rFonts w:ascii="Open Sans" w:hAnsi="Open Sans" w:cs="Open Sans"/>
                <w:color w:val="000000" w:themeColor="text1"/>
                <w:sz w:val="20"/>
                <w:szCs w:val="20"/>
              </w:rPr>
              <w:t>Contingency planning</w:t>
            </w:r>
            <w:r w:rsidR="003F484C" w:rsidRPr="007100A6">
              <w:rPr>
                <w:rFonts w:ascii="Open Sans" w:hAnsi="Open Sans" w:cs="Open Sans"/>
                <w:color w:val="000000" w:themeColor="text1"/>
                <w:sz w:val="20"/>
                <w:szCs w:val="20"/>
              </w:rPr>
              <w:t xml:space="preserve"> includes:</w:t>
            </w:r>
          </w:p>
          <w:p w14:paraId="40BB8827" w14:textId="2806908E" w:rsidR="00D05B15" w:rsidRPr="007100A6" w:rsidRDefault="003F484C" w:rsidP="003F484C">
            <w:pPr>
              <w:pStyle w:val="Paragrafoelenco"/>
              <w:numPr>
                <w:ilvl w:val="1"/>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Harnessing</w:t>
            </w:r>
            <w:r w:rsidR="00D05B15" w:rsidRPr="007100A6">
              <w:rPr>
                <w:rFonts w:ascii="Open Sans" w:hAnsi="Open Sans" w:cs="Open Sans"/>
                <w:color w:val="000000" w:themeColor="text1"/>
                <w:sz w:val="20"/>
                <w:szCs w:val="20"/>
              </w:rPr>
              <w:t xml:space="preserve"> personnel engagement</w:t>
            </w:r>
            <w:r w:rsidR="003E60C5" w:rsidRPr="007100A6">
              <w:rPr>
                <w:rFonts w:ascii="Open Sans" w:hAnsi="Open Sans" w:cs="Open Sans"/>
                <w:color w:val="000000" w:themeColor="text1"/>
                <w:sz w:val="20"/>
                <w:szCs w:val="20"/>
              </w:rPr>
              <w:t xml:space="preserve"> </w:t>
            </w:r>
            <w:r w:rsidRPr="007100A6">
              <w:rPr>
                <w:rFonts w:ascii="Open Sans" w:hAnsi="Open Sans" w:cs="Open Sans"/>
                <w:color w:val="000000" w:themeColor="text1"/>
                <w:sz w:val="20"/>
                <w:szCs w:val="20"/>
              </w:rPr>
              <w:t>via ‘for now-not forever’ approaches.</w:t>
            </w:r>
          </w:p>
          <w:p w14:paraId="756304F3" w14:textId="77777777" w:rsidR="00D05B15" w:rsidRPr="007100A6" w:rsidRDefault="00A06606" w:rsidP="00AF773C">
            <w:pPr>
              <w:pStyle w:val="Paragrafoelenco"/>
              <w:numPr>
                <w:ilvl w:val="1"/>
                <w:numId w:val="21"/>
              </w:numPr>
              <w:spacing w:before="0" w:after="0"/>
              <w:ind w:left="1077" w:hanging="357"/>
              <w:rPr>
                <w:rFonts w:ascii="Open Sans" w:hAnsi="Open Sans" w:cs="Open Sans"/>
                <w:color w:val="000000" w:themeColor="text1"/>
                <w:sz w:val="20"/>
                <w:szCs w:val="20"/>
              </w:rPr>
            </w:pPr>
            <w:r w:rsidRPr="007100A6">
              <w:rPr>
                <w:rFonts w:ascii="Open Sans" w:hAnsi="Open Sans" w:cs="Open Sans"/>
                <w:color w:val="000000" w:themeColor="text1"/>
                <w:sz w:val="20"/>
                <w:szCs w:val="20"/>
              </w:rPr>
              <w:t xml:space="preserve">Investing in </w:t>
            </w:r>
            <w:r w:rsidR="003E60C5" w:rsidRPr="007100A6">
              <w:rPr>
                <w:rFonts w:ascii="Open Sans" w:hAnsi="Open Sans" w:cs="Open Sans"/>
                <w:color w:val="000000" w:themeColor="text1"/>
                <w:sz w:val="20"/>
                <w:szCs w:val="20"/>
              </w:rPr>
              <w:t xml:space="preserve">the development and support of </w:t>
            </w:r>
            <w:r w:rsidRPr="007100A6">
              <w:rPr>
                <w:rFonts w:ascii="Open Sans" w:hAnsi="Open Sans" w:cs="Open Sans"/>
                <w:color w:val="000000" w:themeColor="text1"/>
                <w:sz w:val="20"/>
                <w:szCs w:val="20"/>
              </w:rPr>
              <w:t xml:space="preserve">managerial </w:t>
            </w:r>
            <w:r w:rsidR="003E60C5" w:rsidRPr="007100A6">
              <w:rPr>
                <w:rFonts w:ascii="Open Sans" w:hAnsi="Open Sans" w:cs="Open Sans"/>
                <w:color w:val="000000" w:themeColor="text1"/>
                <w:sz w:val="20"/>
                <w:szCs w:val="20"/>
              </w:rPr>
              <w:t xml:space="preserve">staff to support retention and improve stability </w:t>
            </w:r>
            <w:r w:rsidR="003F484C" w:rsidRPr="007100A6">
              <w:rPr>
                <w:rFonts w:ascii="Open Sans" w:hAnsi="Open Sans" w:cs="Open Sans"/>
                <w:color w:val="000000" w:themeColor="text1"/>
                <w:sz w:val="20"/>
                <w:szCs w:val="20"/>
              </w:rPr>
              <w:t>at more senior levels.</w:t>
            </w:r>
          </w:p>
          <w:p w14:paraId="72C1D4BC" w14:textId="77777777" w:rsidR="001A09B5" w:rsidRPr="007100A6" w:rsidRDefault="001A09B5" w:rsidP="00AF773C">
            <w:pPr>
              <w:pStyle w:val="Paragrafoelenco"/>
              <w:numPr>
                <w:ilvl w:val="1"/>
                <w:numId w:val="21"/>
              </w:numPr>
              <w:spacing w:before="0" w:after="0"/>
              <w:ind w:left="1077" w:hanging="357"/>
              <w:rPr>
                <w:rFonts w:ascii="Open Sans" w:hAnsi="Open Sans" w:cs="Open Sans"/>
                <w:color w:val="000000" w:themeColor="text1"/>
                <w:sz w:val="20"/>
                <w:szCs w:val="20"/>
              </w:rPr>
            </w:pPr>
            <w:r w:rsidRPr="007100A6">
              <w:rPr>
                <w:rFonts w:ascii="Open Sans" w:hAnsi="Open Sans" w:cs="Open Sans"/>
                <w:color w:val="000000" w:themeColor="text1"/>
                <w:sz w:val="20"/>
                <w:szCs w:val="20"/>
              </w:rPr>
              <w:t>Encouragement of a creative, entrepreneurial spirit in new activities/projects/working arrangements.</w:t>
            </w:r>
          </w:p>
          <w:p w14:paraId="110B373F" w14:textId="77777777" w:rsidR="00364F9B" w:rsidRPr="007100A6" w:rsidRDefault="001A09B5" w:rsidP="008D0AD4">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Retention of effective, workforce supply pipelines and maintenance of reputation as an employer of choice</w:t>
            </w:r>
            <w:r w:rsidR="003E60C5" w:rsidRPr="007100A6">
              <w:rPr>
                <w:rFonts w:ascii="Open Sans" w:hAnsi="Open Sans" w:cs="Open Sans"/>
                <w:color w:val="000000" w:themeColor="text1"/>
                <w:sz w:val="20"/>
                <w:szCs w:val="20"/>
              </w:rPr>
              <w:t>.</w:t>
            </w:r>
          </w:p>
          <w:p w14:paraId="09B950C1" w14:textId="1EE46B5C" w:rsidR="009A3B99" w:rsidRPr="007100A6" w:rsidRDefault="004F597C" w:rsidP="009A3B99">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 xml:space="preserve">Investment in </w:t>
            </w:r>
            <w:r w:rsidR="00591005" w:rsidRPr="007100A6">
              <w:rPr>
                <w:rFonts w:ascii="Open Sans" w:hAnsi="Open Sans" w:cs="Open Sans"/>
                <w:color w:val="000000" w:themeColor="text1"/>
                <w:sz w:val="20"/>
                <w:szCs w:val="20"/>
              </w:rPr>
              <w:t>leadership capacity to manage a more agile workforce and to realise our stakeholder ambitions without compromise of quality.</w:t>
            </w:r>
          </w:p>
          <w:p w14:paraId="7653249B" w14:textId="2FBD3C26" w:rsidR="009A3B99" w:rsidRPr="007100A6" w:rsidRDefault="009A3B99" w:rsidP="009A3B99">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Additional funding from externally supported projects provides an opportunity to refresh and renew Commission staffing structures.</w:t>
            </w:r>
          </w:p>
        </w:tc>
      </w:tr>
      <w:tr w:rsidR="00B3278B" w:rsidRPr="007100A6" w14:paraId="147F8787" w14:textId="77777777" w:rsidTr="0052315A">
        <w:tc>
          <w:tcPr>
            <w:tcW w:w="2689" w:type="dxa"/>
          </w:tcPr>
          <w:p w14:paraId="32D26EB0" w14:textId="24609F1F" w:rsidR="00814FFA" w:rsidRPr="007100A6" w:rsidRDefault="000C3EC7" w:rsidP="00814FFA">
            <w:pPr>
              <w:spacing w:before="0" w:after="0"/>
              <w:rPr>
                <w:rFonts w:ascii="Open Sans" w:hAnsi="Open Sans" w:cs="Open Sans"/>
                <w:color w:val="000000" w:themeColor="text1"/>
                <w:sz w:val="22"/>
                <w:szCs w:val="22"/>
              </w:rPr>
            </w:pPr>
            <w:r w:rsidRPr="007100A6">
              <w:rPr>
                <w:rFonts w:ascii="Open Sans" w:hAnsi="Open Sans" w:cs="Open Sans"/>
                <w:b/>
                <w:color w:val="000000" w:themeColor="text1"/>
                <w:sz w:val="22"/>
                <w:szCs w:val="22"/>
              </w:rPr>
              <w:t>Building d</w:t>
            </w:r>
            <w:r w:rsidR="009A07C1" w:rsidRPr="007100A6">
              <w:rPr>
                <w:rFonts w:ascii="Open Sans" w:hAnsi="Open Sans" w:cs="Open Sans"/>
                <w:b/>
                <w:color w:val="000000" w:themeColor="text1"/>
                <w:sz w:val="22"/>
                <w:szCs w:val="22"/>
              </w:rPr>
              <w:t xml:space="preserve">igital </w:t>
            </w:r>
            <w:r w:rsidRPr="007100A6">
              <w:rPr>
                <w:rFonts w:ascii="Open Sans" w:hAnsi="Open Sans" w:cs="Open Sans"/>
                <w:b/>
                <w:color w:val="000000" w:themeColor="text1"/>
                <w:sz w:val="22"/>
                <w:szCs w:val="22"/>
              </w:rPr>
              <w:t xml:space="preserve">capability </w:t>
            </w:r>
            <w:r w:rsidR="009A07C1" w:rsidRPr="007100A6">
              <w:rPr>
                <w:rFonts w:ascii="Open Sans" w:hAnsi="Open Sans" w:cs="Open Sans"/>
                <w:b/>
                <w:color w:val="000000" w:themeColor="text1"/>
                <w:sz w:val="22"/>
                <w:szCs w:val="22"/>
              </w:rPr>
              <w:t>and communication systems</w:t>
            </w:r>
          </w:p>
        </w:tc>
        <w:tc>
          <w:tcPr>
            <w:tcW w:w="992" w:type="dxa"/>
          </w:tcPr>
          <w:p w14:paraId="4DED1866" w14:textId="77777777" w:rsidR="004D641A" w:rsidRPr="007100A6" w:rsidRDefault="00AB6EA0" w:rsidP="00E9231C">
            <w:pPr>
              <w:spacing w:before="0" w:after="0"/>
              <w:jc w:val="center"/>
              <w:rPr>
                <w:rFonts w:ascii="Open Sans" w:hAnsi="Open Sans" w:cs="Open Sans"/>
                <w:color w:val="000000" w:themeColor="text1"/>
              </w:rPr>
            </w:pPr>
            <w:r w:rsidRPr="007100A6">
              <w:rPr>
                <w:rFonts w:ascii="Open Sans" w:hAnsi="Open Sans" w:cs="Open Sans"/>
                <w:color w:val="000000" w:themeColor="text1"/>
                <w:sz w:val="36"/>
              </w:rPr>
              <w:sym w:font="Wingdings" w:char="F0FC"/>
            </w:r>
          </w:p>
        </w:tc>
        <w:tc>
          <w:tcPr>
            <w:tcW w:w="992" w:type="dxa"/>
          </w:tcPr>
          <w:p w14:paraId="1BCDDF51" w14:textId="77777777" w:rsidR="004D641A" w:rsidRPr="007100A6" w:rsidRDefault="004D641A" w:rsidP="00E9231C">
            <w:pPr>
              <w:spacing w:before="0" w:after="0"/>
              <w:jc w:val="center"/>
              <w:rPr>
                <w:rFonts w:ascii="Open Sans" w:hAnsi="Open Sans" w:cs="Open Sans"/>
                <w:color w:val="000000" w:themeColor="text1"/>
              </w:rPr>
            </w:pPr>
          </w:p>
        </w:tc>
        <w:tc>
          <w:tcPr>
            <w:tcW w:w="992" w:type="dxa"/>
          </w:tcPr>
          <w:p w14:paraId="43FCED3C" w14:textId="77777777" w:rsidR="004D641A" w:rsidRPr="007100A6" w:rsidRDefault="004D641A" w:rsidP="00F6666C">
            <w:pPr>
              <w:spacing w:before="0" w:after="0"/>
              <w:rPr>
                <w:rFonts w:ascii="Open Sans" w:hAnsi="Open Sans" w:cs="Open Sans"/>
                <w:color w:val="000000" w:themeColor="text1"/>
              </w:rPr>
            </w:pPr>
          </w:p>
        </w:tc>
        <w:tc>
          <w:tcPr>
            <w:tcW w:w="8895" w:type="dxa"/>
          </w:tcPr>
          <w:p w14:paraId="5925E339" w14:textId="3BF75EBF" w:rsidR="00923B7C" w:rsidRPr="007100A6" w:rsidRDefault="004A3839" w:rsidP="00923B7C">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Building capability in these areas with</w:t>
            </w:r>
            <w:r w:rsidR="00DE626D" w:rsidRPr="007100A6">
              <w:rPr>
                <w:rFonts w:ascii="Open Sans" w:hAnsi="Open Sans" w:cs="Open Sans"/>
                <w:color w:val="000000" w:themeColor="text1"/>
                <w:sz w:val="20"/>
                <w:szCs w:val="20"/>
              </w:rPr>
              <w:t xml:space="preserve"> the</w:t>
            </w:r>
            <w:r w:rsidRPr="007100A6">
              <w:rPr>
                <w:rFonts w:ascii="Open Sans" w:hAnsi="Open Sans" w:cs="Open Sans"/>
                <w:color w:val="000000" w:themeColor="text1"/>
                <w:sz w:val="20"/>
                <w:szCs w:val="20"/>
              </w:rPr>
              <w:t xml:space="preserve"> limited resourcing</w:t>
            </w:r>
            <w:r w:rsidR="00DE626D" w:rsidRPr="007100A6">
              <w:rPr>
                <w:rFonts w:ascii="Open Sans" w:hAnsi="Open Sans" w:cs="Open Sans"/>
                <w:color w:val="000000" w:themeColor="text1"/>
                <w:sz w:val="20"/>
                <w:szCs w:val="20"/>
              </w:rPr>
              <w:t xml:space="preserve"> of a small agency</w:t>
            </w:r>
            <w:r w:rsidRPr="007100A6">
              <w:rPr>
                <w:rFonts w:ascii="Open Sans" w:hAnsi="Open Sans" w:cs="Open Sans"/>
                <w:color w:val="000000" w:themeColor="text1"/>
                <w:sz w:val="20"/>
                <w:szCs w:val="20"/>
              </w:rPr>
              <w:t xml:space="preserve"> </w:t>
            </w:r>
            <w:r w:rsidR="00173183" w:rsidRPr="007100A6">
              <w:rPr>
                <w:rFonts w:ascii="Open Sans" w:hAnsi="Open Sans" w:cs="Open Sans"/>
                <w:color w:val="000000" w:themeColor="text1"/>
                <w:sz w:val="20"/>
                <w:szCs w:val="20"/>
              </w:rPr>
              <w:t>is</w:t>
            </w:r>
            <w:r w:rsidRPr="007100A6">
              <w:rPr>
                <w:rFonts w:ascii="Open Sans" w:hAnsi="Open Sans" w:cs="Open Sans"/>
                <w:color w:val="000000" w:themeColor="text1"/>
                <w:sz w:val="20"/>
                <w:szCs w:val="20"/>
              </w:rPr>
              <w:t xml:space="preserve"> an ongoing challenge for the organisation.</w:t>
            </w:r>
          </w:p>
          <w:p w14:paraId="1D8AE60A" w14:textId="1BFA9351" w:rsidR="0015382B" w:rsidRPr="007100A6" w:rsidRDefault="00DE626D" w:rsidP="0015382B">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S</w:t>
            </w:r>
            <w:r w:rsidR="00251105" w:rsidRPr="007100A6">
              <w:rPr>
                <w:rFonts w:ascii="Open Sans" w:hAnsi="Open Sans" w:cs="Open Sans"/>
                <w:color w:val="000000" w:themeColor="text1"/>
                <w:sz w:val="20"/>
                <w:szCs w:val="20"/>
              </w:rPr>
              <w:t xml:space="preserve">ignificant advances </w:t>
            </w:r>
            <w:r w:rsidR="0072752A" w:rsidRPr="007100A6">
              <w:rPr>
                <w:rFonts w:ascii="Open Sans" w:hAnsi="Open Sans" w:cs="Open Sans"/>
                <w:color w:val="000000" w:themeColor="text1"/>
                <w:sz w:val="20"/>
                <w:szCs w:val="20"/>
              </w:rPr>
              <w:t>in</w:t>
            </w:r>
            <w:r w:rsidR="00923B7C" w:rsidRPr="007100A6">
              <w:rPr>
                <w:rFonts w:ascii="Open Sans" w:hAnsi="Open Sans" w:cs="Open Sans"/>
                <w:color w:val="000000" w:themeColor="text1"/>
                <w:sz w:val="20"/>
                <w:szCs w:val="20"/>
              </w:rPr>
              <w:t xml:space="preserve"> our</w:t>
            </w:r>
            <w:r w:rsidR="00251105" w:rsidRPr="007100A6">
              <w:rPr>
                <w:rFonts w:ascii="Open Sans" w:hAnsi="Open Sans" w:cs="Open Sans"/>
                <w:color w:val="000000" w:themeColor="text1"/>
                <w:sz w:val="20"/>
                <w:szCs w:val="20"/>
              </w:rPr>
              <w:t xml:space="preserve"> internal digital capacity </w:t>
            </w:r>
            <w:r w:rsidR="0015382B" w:rsidRPr="007100A6">
              <w:rPr>
                <w:rFonts w:ascii="Open Sans" w:hAnsi="Open Sans" w:cs="Open Sans"/>
                <w:color w:val="000000" w:themeColor="text1"/>
                <w:sz w:val="20"/>
                <w:szCs w:val="20"/>
              </w:rPr>
              <w:t>with</w:t>
            </w:r>
            <w:r w:rsidR="00251105" w:rsidRPr="007100A6">
              <w:rPr>
                <w:rFonts w:ascii="Open Sans" w:hAnsi="Open Sans" w:cs="Open Sans"/>
                <w:color w:val="000000" w:themeColor="text1"/>
                <w:sz w:val="20"/>
                <w:szCs w:val="20"/>
              </w:rPr>
              <w:t xml:space="preserve"> s</w:t>
            </w:r>
            <w:r w:rsidR="00814FFA" w:rsidRPr="007100A6">
              <w:rPr>
                <w:rFonts w:ascii="Open Sans" w:hAnsi="Open Sans" w:cs="Open Sans"/>
                <w:color w:val="000000" w:themeColor="text1"/>
                <w:sz w:val="20"/>
                <w:szCs w:val="20"/>
              </w:rPr>
              <w:t xml:space="preserve">cheduled developments such as implementation of new Enterprise Resource Planning (ERP) system </w:t>
            </w:r>
            <w:r w:rsidR="009823C8" w:rsidRPr="007100A6">
              <w:rPr>
                <w:rFonts w:ascii="Open Sans" w:hAnsi="Open Sans" w:cs="Open Sans"/>
                <w:color w:val="000000" w:themeColor="text1"/>
                <w:sz w:val="20"/>
                <w:szCs w:val="20"/>
              </w:rPr>
              <w:t>and</w:t>
            </w:r>
            <w:r w:rsidR="00814FFA" w:rsidRPr="007100A6">
              <w:rPr>
                <w:rFonts w:ascii="Open Sans" w:hAnsi="Open Sans" w:cs="Open Sans"/>
                <w:color w:val="000000" w:themeColor="text1"/>
                <w:sz w:val="20"/>
                <w:szCs w:val="20"/>
              </w:rPr>
              <w:t xml:space="preserve"> </w:t>
            </w:r>
            <w:r w:rsidR="009823C8" w:rsidRPr="007100A6">
              <w:rPr>
                <w:rFonts w:ascii="Open Sans" w:hAnsi="Open Sans" w:cs="Open Sans"/>
                <w:color w:val="000000" w:themeColor="text1"/>
                <w:sz w:val="20"/>
                <w:szCs w:val="20"/>
              </w:rPr>
              <w:t>progress in an AI</w:t>
            </w:r>
            <w:r w:rsidR="00E25E63">
              <w:rPr>
                <w:rFonts w:ascii="Open Sans" w:hAnsi="Open Sans" w:cs="Open Sans"/>
                <w:color w:val="000000" w:themeColor="text1"/>
                <w:sz w:val="20"/>
                <w:szCs w:val="20"/>
              </w:rPr>
              <w:t>-</w:t>
            </w:r>
            <w:r w:rsidR="009823C8" w:rsidRPr="007100A6">
              <w:rPr>
                <w:rFonts w:ascii="Open Sans" w:hAnsi="Open Sans" w:cs="Open Sans"/>
                <w:color w:val="000000" w:themeColor="text1"/>
                <w:sz w:val="20"/>
                <w:szCs w:val="20"/>
              </w:rPr>
              <w:t xml:space="preserve">enabled </w:t>
            </w:r>
            <w:proofErr w:type="spellStart"/>
            <w:r w:rsidR="009823C8" w:rsidRPr="007100A6">
              <w:rPr>
                <w:rFonts w:ascii="Open Sans" w:hAnsi="Open Sans" w:cs="Open Sans"/>
                <w:color w:val="000000" w:themeColor="text1"/>
                <w:sz w:val="20"/>
                <w:szCs w:val="20"/>
              </w:rPr>
              <w:t>eDRMS</w:t>
            </w:r>
            <w:proofErr w:type="spellEnd"/>
            <w:r w:rsidR="0015382B" w:rsidRPr="007100A6">
              <w:rPr>
                <w:rFonts w:ascii="Open Sans" w:hAnsi="Open Sans" w:cs="Open Sans"/>
                <w:color w:val="000000" w:themeColor="text1"/>
                <w:sz w:val="20"/>
                <w:szCs w:val="20"/>
              </w:rPr>
              <w:t xml:space="preserve"> should help ensure that we meet the requirements of the Digital 20/20 policy.</w:t>
            </w:r>
          </w:p>
          <w:p w14:paraId="5C81100D" w14:textId="42C23E57" w:rsidR="00173183" w:rsidRPr="007100A6" w:rsidRDefault="00173183" w:rsidP="0015382B">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lastRenderedPageBreak/>
              <w:t>The ERP will also increase operational capability to deliver an efficient corporate finance and services function that remains competitive in a shared services environment and supports internal staff and shared service stakeholders.</w:t>
            </w:r>
          </w:p>
          <w:p w14:paraId="74A7C96C" w14:textId="4F02783F" w:rsidR="00C85592" w:rsidRPr="007100A6" w:rsidRDefault="00251105" w:rsidP="00C05541">
            <w:pPr>
              <w:pStyle w:val="Paragrafoelenco"/>
              <w:numPr>
                <w:ilvl w:val="0"/>
                <w:numId w:val="21"/>
              </w:numPr>
              <w:spacing w:before="120" w:after="120"/>
              <w:rPr>
                <w:rFonts w:ascii="Open Sans" w:hAnsi="Open Sans" w:cs="Open Sans"/>
                <w:color w:val="000000" w:themeColor="text1"/>
                <w:sz w:val="20"/>
                <w:szCs w:val="20"/>
                <w:lang w:val="en-US"/>
              </w:rPr>
            </w:pPr>
            <w:r w:rsidRPr="007100A6">
              <w:rPr>
                <w:rFonts w:ascii="Open Sans" w:hAnsi="Open Sans" w:cs="Open Sans"/>
                <w:color w:val="000000" w:themeColor="text1"/>
                <w:sz w:val="20"/>
                <w:szCs w:val="20"/>
              </w:rPr>
              <w:t xml:space="preserve"> </w:t>
            </w:r>
            <w:r w:rsidR="00C85592" w:rsidRPr="007100A6">
              <w:rPr>
                <w:rFonts w:ascii="Open Sans" w:hAnsi="Open Sans" w:cs="Open Sans"/>
                <w:color w:val="000000" w:themeColor="text1"/>
                <w:sz w:val="20"/>
                <w:szCs w:val="20"/>
              </w:rPr>
              <w:t>A</w:t>
            </w:r>
            <w:r w:rsidR="007E17F4" w:rsidRPr="007100A6">
              <w:rPr>
                <w:rFonts w:ascii="Open Sans" w:hAnsi="Open Sans" w:cs="Open Sans"/>
                <w:color w:val="000000" w:themeColor="text1"/>
                <w:sz w:val="20"/>
                <w:szCs w:val="20"/>
              </w:rPr>
              <w:t xml:space="preserve"> </w:t>
            </w:r>
            <w:r w:rsidR="0015382B" w:rsidRPr="007100A6">
              <w:rPr>
                <w:rFonts w:ascii="Open Sans" w:hAnsi="Open Sans" w:cs="Open Sans"/>
                <w:color w:val="000000" w:themeColor="text1"/>
                <w:sz w:val="20"/>
                <w:szCs w:val="20"/>
              </w:rPr>
              <w:t xml:space="preserve">key </w:t>
            </w:r>
            <w:r w:rsidR="007E17F4" w:rsidRPr="007100A6">
              <w:rPr>
                <w:rFonts w:ascii="Open Sans" w:hAnsi="Open Sans" w:cs="Open Sans"/>
                <w:color w:val="000000" w:themeColor="text1"/>
                <w:sz w:val="20"/>
                <w:szCs w:val="20"/>
              </w:rPr>
              <w:t>external communication tool is our website.</w:t>
            </w:r>
            <w:r w:rsidR="00C85592" w:rsidRPr="007100A6">
              <w:rPr>
                <w:rFonts w:ascii="Open Sans" w:hAnsi="Open Sans" w:cs="Open Sans"/>
                <w:color w:val="000000" w:themeColor="text1"/>
                <w:sz w:val="20"/>
                <w:szCs w:val="20"/>
              </w:rPr>
              <w:t xml:space="preserve"> </w:t>
            </w:r>
            <w:r w:rsidR="007E17F4" w:rsidRPr="007100A6">
              <w:rPr>
                <w:rFonts w:ascii="Open Sans" w:hAnsi="Open Sans" w:cs="Open Sans"/>
                <w:color w:val="000000" w:themeColor="text1"/>
                <w:sz w:val="20"/>
                <w:szCs w:val="20"/>
              </w:rPr>
              <w:t>It is the hub for all information dissemina</w:t>
            </w:r>
            <w:r w:rsidR="0015382B" w:rsidRPr="007100A6">
              <w:rPr>
                <w:rFonts w:ascii="Open Sans" w:hAnsi="Open Sans" w:cs="Open Sans"/>
                <w:color w:val="000000" w:themeColor="text1"/>
                <w:sz w:val="20"/>
                <w:szCs w:val="20"/>
              </w:rPr>
              <w:t>ted to general audiences and for</w:t>
            </w:r>
            <w:r w:rsidR="007E17F4" w:rsidRPr="007100A6">
              <w:rPr>
                <w:rFonts w:ascii="Open Sans" w:hAnsi="Open Sans" w:cs="Open Sans"/>
                <w:color w:val="000000" w:themeColor="text1"/>
                <w:sz w:val="20"/>
                <w:szCs w:val="20"/>
              </w:rPr>
              <w:t xml:space="preserve"> the Commission’s range of social media sites</w:t>
            </w:r>
            <w:r w:rsidR="0015382B" w:rsidRPr="007100A6">
              <w:rPr>
                <w:rFonts w:ascii="Open Sans" w:hAnsi="Open Sans" w:cs="Open Sans"/>
                <w:color w:val="000000" w:themeColor="text1"/>
                <w:sz w:val="20"/>
                <w:szCs w:val="20"/>
              </w:rPr>
              <w:t>. A recent move to a</w:t>
            </w:r>
            <w:r w:rsidR="007E17F4" w:rsidRPr="007100A6">
              <w:rPr>
                <w:rFonts w:ascii="Open Sans" w:hAnsi="Open Sans" w:cs="Open Sans"/>
                <w:color w:val="000000" w:themeColor="text1"/>
                <w:sz w:val="20"/>
                <w:szCs w:val="20"/>
              </w:rPr>
              <w:t xml:space="preserve"> </w:t>
            </w:r>
            <w:r w:rsidR="00C85592" w:rsidRPr="007100A6">
              <w:rPr>
                <w:rFonts w:ascii="Open Sans" w:hAnsi="Open Sans" w:cs="Open Sans"/>
                <w:color w:val="000000" w:themeColor="text1"/>
                <w:sz w:val="20"/>
                <w:szCs w:val="20"/>
              </w:rPr>
              <w:t xml:space="preserve">more </w:t>
            </w:r>
            <w:r w:rsidR="007E17F4" w:rsidRPr="007100A6">
              <w:rPr>
                <w:rFonts w:ascii="Open Sans" w:hAnsi="Open Sans" w:cs="Open Sans"/>
                <w:color w:val="000000" w:themeColor="text1"/>
                <w:sz w:val="20"/>
                <w:szCs w:val="20"/>
                <w:lang w:val="en-US"/>
              </w:rPr>
              <w:t xml:space="preserve">modern and visually engaging website </w:t>
            </w:r>
            <w:r w:rsidR="0015382B" w:rsidRPr="007100A6">
              <w:rPr>
                <w:rFonts w:ascii="Open Sans" w:hAnsi="Open Sans" w:cs="Open Sans"/>
                <w:color w:val="000000" w:themeColor="text1"/>
                <w:sz w:val="20"/>
                <w:szCs w:val="20"/>
                <w:lang w:val="en-US"/>
              </w:rPr>
              <w:t xml:space="preserve">should ensure a </w:t>
            </w:r>
            <w:r w:rsidR="007E17F4" w:rsidRPr="007100A6">
              <w:rPr>
                <w:rFonts w:ascii="Open Sans" w:hAnsi="Open Sans" w:cs="Open Sans"/>
                <w:color w:val="000000" w:themeColor="text1"/>
                <w:sz w:val="20"/>
                <w:szCs w:val="20"/>
                <w:lang w:val="en-US"/>
              </w:rPr>
              <w:t xml:space="preserve">more </w:t>
            </w:r>
            <w:r w:rsidR="00C85592" w:rsidRPr="007100A6">
              <w:rPr>
                <w:rFonts w:ascii="Open Sans" w:hAnsi="Open Sans" w:cs="Open Sans"/>
                <w:color w:val="000000" w:themeColor="text1"/>
                <w:sz w:val="20"/>
                <w:szCs w:val="20"/>
                <w:lang w:val="en-US"/>
              </w:rPr>
              <w:t xml:space="preserve">user and mobile friendly </w:t>
            </w:r>
            <w:r w:rsidR="0015382B" w:rsidRPr="007100A6">
              <w:rPr>
                <w:rFonts w:ascii="Open Sans" w:hAnsi="Open Sans" w:cs="Open Sans"/>
                <w:color w:val="000000" w:themeColor="text1"/>
                <w:sz w:val="20"/>
                <w:szCs w:val="20"/>
                <w:lang w:val="en-US"/>
              </w:rPr>
              <w:t>experience for our users.</w:t>
            </w:r>
          </w:p>
          <w:p w14:paraId="63E7327D" w14:textId="77777777" w:rsidR="0015382B" w:rsidRPr="007100A6" w:rsidRDefault="0015382B" w:rsidP="00C05541">
            <w:pPr>
              <w:pStyle w:val="Paragrafoelenco"/>
              <w:numPr>
                <w:ilvl w:val="0"/>
                <w:numId w:val="21"/>
              </w:numPr>
              <w:spacing w:before="120" w:after="120"/>
              <w:rPr>
                <w:rFonts w:ascii="Open Sans" w:hAnsi="Open Sans" w:cs="Open Sans"/>
                <w:color w:val="000000" w:themeColor="text1"/>
                <w:sz w:val="20"/>
                <w:szCs w:val="20"/>
                <w:lang w:val="en-US"/>
              </w:rPr>
            </w:pPr>
            <w:r w:rsidRPr="007100A6">
              <w:rPr>
                <w:rFonts w:ascii="Open Sans" w:hAnsi="Open Sans" w:cs="Open Sans"/>
                <w:color w:val="000000" w:themeColor="text1"/>
                <w:sz w:val="20"/>
                <w:szCs w:val="20"/>
              </w:rPr>
              <w:t>In the coming year the finalisation of an online Learning Management System will advance internally and externally focussed education programs.</w:t>
            </w:r>
          </w:p>
          <w:p w14:paraId="3788C1CC" w14:textId="45B39ECC" w:rsidR="009A3B99" w:rsidRPr="007100A6" w:rsidRDefault="00D81B8F" w:rsidP="007100A6">
            <w:pPr>
              <w:pStyle w:val="Paragrafoelenco"/>
              <w:numPr>
                <w:ilvl w:val="0"/>
                <w:numId w:val="21"/>
              </w:numPr>
              <w:spacing w:before="120" w:after="120"/>
              <w:rPr>
                <w:rFonts w:ascii="Open Sans" w:hAnsi="Open Sans" w:cs="Open Sans"/>
                <w:color w:val="000000" w:themeColor="text1"/>
                <w:sz w:val="20"/>
                <w:szCs w:val="20"/>
              </w:rPr>
            </w:pPr>
            <w:r w:rsidRPr="007100A6">
              <w:rPr>
                <w:rFonts w:ascii="Open Sans" w:hAnsi="Open Sans" w:cs="Open Sans"/>
                <w:color w:val="000000" w:themeColor="text1"/>
                <w:sz w:val="20"/>
                <w:szCs w:val="20"/>
              </w:rPr>
              <w:t>Upgrading</w:t>
            </w:r>
            <w:r w:rsidR="0015382B" w:rsidRPr="007100A6">
              <w:rPr>
                <w:rFonts w:ascii="Open Sans" w:hAnsi="Open Sans" w:cs="Open Sans"/>
                <w:color w:val="000000" w:themeColor="text1"/>
                <w:sz w:val="20"/>
                <w:szCs w:val="20"/>
              </w:rPr>
              <w:t xml:space="preserve"> </w:t>
            </w:r>
            <w:r w:rsidRPr="007100A6">
              <w:rPr>
                <w:rFonts w:ascii="Open Sans" w:hAnsi="Open Sans" w:cs="Open Sans"/>
                <w:color w:val="000000" w:themeColor="text1"/>
                <w:sz w:val="20"/>
                <w:szCs w:val="20"/>
              </w:rPr>
              <w:t>our intranet</w:t>
            </w:r>
            <w:r w:rsidR="0072752A" w:rsidRPr="007100A6">
              <w:rPr>
                <w:rFonts w:ascii="Open Sans" w:hAnsi="Open Sans" w:cs="Open Sans"/>
                <w:color w:val="000000" w:themeColor="text1"/>
                <w:sz w:val="20"/>
                <w:szCs w:val="20"/>
              </w:rPr>
              <w:t xml:space="preserve"> remains a challenge.</w:t>
            </w:r>
          </w:p>
        </w:tc>
      </w:tr>
    </w:tbl>
    <w:p w14:paraId="4F0ECA3E" w14:textId="77777777" w:rsidR="004D641A" w:rsidRPr="007100A6" w:rsidRDefault="004D641A" w:rsidP="004D641A">
      <w:pPr>
        <w:rPr>
          <w:rFonts w:ascii="Open Sans" w:hAnsi="Open Sans" w:cs="Open Sans"/>
          <w:color w:val="000000" w:themeColor="text1"/>
        </w:rPr>
        <w:sectPr w:rsidR="004D641A" w:rsidRPr="007100A6" w:rsidSect="001C1FB7">
          <w:endnotePr>
            <w:numFmt w:val="decimal"/>
          </w:endnotePr>
          <w:pgSz w:w="16838" w:h="11906" w:orient="landscape" w:code="9"/>
          <w:pgMar w:top="1418" w:right="1134" w:bottom="1418" w:left="1134" w:header="709" w:footer="709" w:gutter="0"/>
          <w:cols w:space="708"/>
          <w:docGrid w:linePitch="360"/>
        </w:sectPr>
      </w:pPr>
    </w:p>
    <w:p w14:paraId="05718578" w14:textId="77777777" w:rsidR="00D81B8F" w:rsidRPr="007100A6" w:rsidRDefault="00D81B8F" w:rsidP="009A3B99">
      <w:pPr>
        <w:spacing w:before="120" w:after="120"/>
        <w:rPr>
          <w:rFonts w:ascii="Open Sans" w:eastAsia="Times New Roman" w:hAnsi="Open Sans" w:cs="Open Sans"/>
          <w:strike/>
          <w:color w:val="000000" w:themeColor="text1"/>
          <w:sz w:val="22"/>
          <w:szCs w:val="22"/>
        </w:rPr>
      </w:pPr>
    </w:p>
    <w:sectPr w:rsidR="00D81B8F" w:rsidRPr="007100A6" w:rsidSect="00616BCE">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FCF9" w14:textId="77777777" w:rsidR="004D46F0" w:rsidRDefault="004D46F0" w:rsidP="00F14C6D">
      <w:r>
        <w:separator/>
      </w:r>
    </w:p>
  </w:endnote>
  <w:endnote w:type="continuationSeparator" w:id="0">
    <w:p w14:paraId="0CFA470F" w14:textId="77777777" w:rsidR="004D46F0" w:rsidRDefault="004D46F0"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NeueLT Pro 55 Roman">
    <w:altName w:val="Times New Roman"/>
    <w:panose1 w:val="020B060402020202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0591D" w14:textId="4C4D2726" w:rsidR="00DE626D" w:rsidRPr="00CC23E0" w:rsidRDefault="00173183" w:rsidP="0052315A">
    <w:pPr>
      <w:keepLines/>
      <w:suppressAutoHyphens/>
      <w:autoSpaceDE w:val="0"/>
      <w:autoSpaceDN w:val="0"/>
      <w:adjustRightInd w:val="0"/>
      <w:spacing w:after="0" w:line="288" w:lineRule="auto"/>
      <w:jc w:val="right"/>
      <w:textAlignment w:val="center"/>
      <w:rPr>
        <w:rFonts w:ascii="Open Sans" w:hAnsi="Open Sans" w:cs="Open Sans"/>
        <w:spacing w:val="12"/>
        <w:sz w:val="18"/>
        <w:szCs w:val="18"/>
        <w:lang w:val="en-US"/>
      </w:rPr>
    </w:pPr>
    <w:r w:rsidRPr="00CC23E0">
      <w:rPr>
        <w:rFonts w:ascii="Open Sans" w:hAnsi="Open Sans" w:cs="Open Sans"/>
        <w:spacing w:val="12"/>
        <w:sz w:val="18"/>
        <w:szCs w:val="18"/>
        <w:lang w:val="en-US"/>
      </w:rPr>
      <w:t xml:space="preserve">THIS MATERIAL SHOULD BE VIEWED IN THE CONTEXT OF </w:t>
    </w:r>
    <w:r w:rsidR="00CC23E0">
      <w:rPr>
        <w:rFonts w:ascii="Open Sans" w:hAnsi="Open Sans" w:cs="Open Sans"/>
        <w:spacing w:val="12"/>
        <w:sz w:val="18"/>
        <w:szCs w:val="18"/>
        <w:lang w:val="en-US"/>
      </w:rPr>
      <w:br/>
    </w:r>
    <w:r w:rsidRPr="00CC23E0">
      <w:rPr>
        <w:rFonts w:ascii="Open Sans" w:hAnsi="Open Sans" w:cs="Open Sans"/>
        <w:spacing w:val="12"/>
        <w:sz w:val="18"/>
        <w:szCs w:val="18"/>
        <w:lang w:val="en-US"/>
      </w:rPr>
      <w:t>THE COMMISSION’S 201</w:t>
    </w:r>
    <w:r w:rsidRPr="00CC23E0">
      <w:rPr>
        <w:rFonts w:ascii="Open Sans" w:hAnsi="Open Sans" w:cs="Open Sans"/>
        <w:spacing w:val="18"/>
        <w:sz w:val="18"/>
        <w:szCs w:val="18"/>
        <w:lang w:val="en-US"/>
      </w:rPr>
      <w:t>9</w:t>
    </w:r>
    <w:r w:rsidRPr="00CC23E0">
      <w:rPr>
        <w:rFonts w:ascii="Open Sans" w:hAnsi="Open Sans" w:cs="Open Sans"/>
        <w:spacing w:val="12"/>
        <w:sz w:val="18"/>
        <w:szCs w:val="18"/>
        <w:lang w:val="en-US"/>
      </w:rPr>
      <w:t>–20 CORPORATE PLAN</w:t>
    </w:r>
    <w:r w:rsidR="0052315A" w:rsidRPr="00CC23E0">
      <w:rPr>
        <w:rFonts w:ascii="Open Sans" w:hAnsi="Open Sans" w:cs="Open Sans"/>
        <w:spacing w:val="12"/>
        <w:sz w:val="18"/>
        <w:szCs w:val="18"/>
        <w:lang w:val="en-US"/>
      </w:rPr>
      <w:t xml:space="preserve"> • </w:t>
    </w:r>
    <w:r w:rsidR="00DE626D" w:rsidRPr="00CC23E0">
      <w:rPr>
        <w:rStyle w:val="Numeropagina"/>
        <w:rFonts w:ascii="Open Sans" w:hAnsi="Open Sans" w:cs="Open Sans"/>
        <w:sz w:val="18"/>
        <w:szCs w:val="18"/>
      </w:rPr>
      <w:fldChar w:fldCharType="begin"/>
    </w:r>
    <w:r w:rsidR="00DE626D" w:rsidRPr="00CC23E0">
      <w:rPr>
        <w:rStyle w:val="Numeropagina"/>
        <w:rFonts w:ascii="Open Sans" w:hAnsi="Open Sans" w:cs="Open Sans"/>
        <w:sz w:val="18"/>
        <w:szCs w:val="18"/>
      </w:rPr>
      <w:instrText xml:space="preserve"> PAGE </w:instrText>
    </w:r>
    <w:r w:rsidR="00DE626D" w:rsidRPr="00CC23E0">
      <w:rPr>
        <w:rStyle w:val="Numeropagina"/>
        <w:rFonts w:ascii="Open Sans" w:hAnsi="Open Sans" w:cs="Open Sans"/>
        <w:sz w:val="18"/>
        <w:szCs w:val="18"/>
      </w:rPr>
      <w:fldChar w:fldCharType="separate"/>
    </w:r>
    <w:r w:rsidR="002441A0" w:rsidRPr="00CC23E0">
      <w:rPr>
        <w:rStyle w:val="Numeropagina"/>
        <w:rFonts w:ascii="Open Sans" w:hAnsi="Open Sans" w:cs="Open Sans"/>
        <w:noProof/>
        <w:sz w:val="18"/>
        <w:szCs w:val="18"/>
      </w:rPr>
      <w:t>10</w:t>
    </w:r>
    <w:r w:rsidR="00DE626D" w:rsidRPr="00CC23E0">
      <w:rPr>
        <w:rStyle w:val="Numeropagina"/>
        <w:rFonts w:ascii="Open Sans" w:hAnsi="Open Sans" w:cs="Open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BC88C" w14:textId="77777777" w:rsidR="004D46F0" w:rsidRDefault="004D46F0" w:rsidP="00F14C6D">
      <w:r>
        <w:separator/>
      </w:r>
    </w:p>
  </w:footnote>
  <w:footnote w:type="continuationSeparator" w:id="0">
    <w:p w14:paraId="24A3B4E7" w14:textId="77777777" w:rsidR="004D46F0" w:rsidRDefault="004D46F0"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4BA4" w14:textId="77777777" w:rsidR="00DE626D" w:rsidRDefault="004D46F0">
    <w:pPr>
      <w:pStyle w:val="Intestazione"/>
    </w:pPr>
    <w:r>
      <w:rPr>
        <w:noProof/>
      </w:rPr>
      <w:pict w14:anchorId="3294E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alt="MS word cover1" style="position:absolute;margin-left:0;margin-top:0;width:595.65pt;height:870.15pt;z-index:-251657216;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DE626D" w:rsidRPr="00B85DD4" w14:paraId="2B035A46" w14:textId="77777777" w:rsidTr="002B1B65">
      <w:trPr>
        <w:trHeight w:val="1603"/>
      </w:trPr>
      <w:tc>
        <w:tcPr>
          <w:tcW w:w="1508" w:type="dxa"/>
        </w:tcPr>
        <w:p w14:paraId="3AFA0044" w14:textId="77777777" w:rsidR="00DE626D" w:rsidRPr="00B85DD4" w:rsidRDefault="00DE626D" w:rsidP="00B520BC">
          <w:pPr>
            <w:pStyle w:val="Intestazione"/>
            <w:tabs>
              <w:tab w:val="left" w:pos="4686"/>
              <w:tab w:val="left" w:pos="7088"/>
              <w:tab w:val="left" w:pos="7242"/>
            </w:tabs>
            <w:ind w:left="-108"/>
            <w:rPr>
              <w:rFonts w:cs="ArialMT"/>
              <w:b/>
              <w:spacing w:val="-20"/>
            </w:rPr>
          </w:pPr>
          <w:r>
            <w:rPr>
              <w:rFonts w:cs="ArialMT"/>
              <w:b/>
              <w:noProof/>
              <w:spacing w:val="-20"/>
            </w:rPr>
            <w:drawing>
              <wp:inline distT="0" distB="0" distL="0" distR="0" wp14:anchorId="16742CF1" wp14:editId="01ECCE01">
                <wp:extent cx="818515" cy="818515"/>
                <wp:effectExtent l="0" t="0" r="0" b="0"/>
                <wp:docPr id="8" name="Picture 1"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inline>
            </w:drawing>
          </w:r>
        </w:p>
      </w:tc>
      <w:tc>
        <w:tcPr>
          <w:tcW w:w="2688" w:type="dxa"/>
          <w:vAlign w:val="center"/>
        </w:tcPr>
        <w:p w14:paraId="23E910EA" w14:textId="77777777" w:rsidR="00DE626D" w:rsidRPr="00D36BB2" w:rsidRDefault="00DE626D" w:rsidP="002B1B65">
          <w:pPr>
            <w:pStyle w:val="LogoType"/>
            <w:pBdr>
              <w:bottom w:val="single" w:sz="4" w:space="1" w:color="808080"/>
            </w:pBdr>
            <w:spacing w:line="240" w:lineRule="auto"/>
          </w:pPr>
          <w:r w:rsidRPr="00D36BB2">
            <w:t>Australian</w:t>
          </w:r>
        </w:p>
        <w:p w14:paraId="3F3A9D2D" w14:textId="77777777" w:rsidR="00DE626D" w:rsidRPr="00D36BB2" w:rsidRDefault="00DE626D" w:rsidP="002B1B65">
          <w:pPr>
            <w:pStyle w:val="LogoType"/>
            <w:pBdr>
              <w:bottom w:val="single" w:sz="4" w:space="1" w:color="808080"/>
            </w:pBdr>
            <w:spacing w:line="240" w:lineRule="auto"/>
          </w:pPr>
          <w:r w:rsidRPr="00D36BB2">
            <w:t>Human Rights</w:t>
          </w:r>
        </w:p>
        <w:p w14:paraId="46AC9BB8" w14:textId="77777777" w:rsidR="00DE626D" w:rsidRPr="00D36BB2" w:rsidRDefault="00DE626D" w:rsidP="002B1B65">
          <w:pPr>
            <w:pStyle w:val="LogoType"/>
            <w:pBdr>
              <w:bottom w:val="single" w:sz="4" w:space="1" w:color="808080"/>
            </w:pBdr>
            <w:spacing w:line="240" w:lineRule="auto"/>
          </w:pPr>
          <w:r w:rsidRPr="00D36BB2">
            <w:t>Commission</w:t>
          </w:r>
        </w:p>
        <w:p w14:paraId="66DEA98C" w14:textId="77777777" w:rsidR="00DE626D" w:rsidRPr="00B85DD4" w:rsidRDefault="00DE626D"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071B598C" w14:textId="77777777" w:rsidR="00DE626D" w:rsidRPr="00B85DD4" w:rsidRDefault="00DE626D" w:rsidP="00B520BC">
          <w:pPr>
            <w:pStyle w:val="HeaderFooter"/>
            <w:rPr>
              <w:b/>
              <w:spacing w:val="-20"/>
              <w:sz w:val="40"/>
            </w:rPr>
          </w:pPr>
        </w:p>
      </w:tc>
      <w:tc>
        <w:tcPr>
          <w:tcW w:w="2130" w:type="dxa"/>
        </w:tcPr>
        <w:p w14:paraId="3F4702BC" w14:textId="77777777" w:rsidR="00DE626D" w:rsidRPr="00B85DD4" w:rsidRDefault="00DE626D" w:rsidP="00B520BC">
          <w:pPr>
            <w:pStyle w:val="HeaderFooter"/>
            <w:rPr>
              <w:b/>
              <w:spacing w:val="-20"/>
              <w:sz w:val="40"/>
            </w:rPr>
          </w:pPr>
        </w:p>
      </w:tc>
      <w:tc>
        <w:tcPr>
          <w:tcW w:w="1721" w:type="dxa"/>
        </w:tcPr>
        <w:p w14:paraId="2240CCF3" w14:textId="77777777" w:rsidR="00DE626D" w:rsidRPr="00B85DD4" w:rsidRDefault="00DE626D" w:rsidP="00B520BC">
          <w:pPr>
            <w:pStyle w:val="HeaderFooter"/>
            <w:spacing w:before="227" w:after="340"/>
            <w:rPr>
              <w:b/>
              <w:spacing w:val="-20"/>
              <w:sz w:val="40"/>
            </w:rPr>
          </w:pPr>
        </w:p>
      </w:tc>
    </w:tr>
  </w:tbl>
  <w:p w14:paraId="3AAAFAA9" w14:textId="77777777" w:rsidR="00DE626D" w:rsidRDefault="004D46F0">
    <w:pPr>
      <w:pStyle w:val="Intestazione"/>
    </w:pPr>
    <w:r>
      <w:rPr>
        <w:rFonts w:cs="ArialMT"/>
        <w:b/>
        <w:noProof/>
        <w:spacing w:val="-20"/>
      </w:rPr>
      <w:pict w14:anchorId="74A7B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alt="MS word cover1" style="position:absolute;margin-left:0;margin-top:0;width:595.65pt;height:870.15pt;z-index:-251658240;mso-wrap-edited:f;mso-width-percent:0;mso-height-percent:0;mso-position-horizontal:center;mso-position-horizontal-relative:margin;mso-position-vertical:center;mso-position-vertical-relative:margin;mso-width-percent:0;mso-height-percent:0"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15pt;height:11.15pt" o:bullet="t">
        <v:imagedata r:id="rId1" o:title="mso8537"/>
      </v:shape>
    </w:pict>
  </w:numPicBullet>
  <w:abstractNum w:abstractNumId="0" w15:restartNumberingAfterBreak="0">
    <w:nsid w:val="FFFFFF7C"/>
    <w:multiLevelType w:val="singleLevel"/>
    <w:tmpl w:val="4E301292"/>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D121942"/>
    <w:multiLevelType w:val="hybridMultilevel"/>
    <w:tmpl w:val="7106715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B25873"/>
    <w:multiLevelType w:val="hybridMultilevel"/>
    <w:tmpl w:val="EC9803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C570E5"/>
    <w:multiLevelType w:val="hybridMultilevel"/>
    <w:tmpl w:val="9E8277BE"/>
    <w:lvl w:ilvl="0" w:tplc="E04A125A">
      <w:start w:val="1"/>
      <w:numFmt w:val="bullet"/>
      <w:lvlText w:val="•"/>
      <w:lvlJc w:val="left"/>
      <w:pPr>
        <w:ind w:left="720" w:hanging="360"/>
      </w:pPr>
      <w:rPr>
        <w:rFonts w:ascii="Open Sans" w:hAnsi="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A96373"/>
    <w:multiLevelType w:val="hybridMultilevel"/>
    <w:tmpl w:val="FC18D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E543804"/>
    <w:multiLevelType w:val="hybridMultilevel"/>
    <w:tmpl w:val="21E01626"/>
    <w:lvl w:ilvl="0" w:tplc="0C090001">
      <w:start w:val="1"/>
      <w:numFmt w:val="bullet"/>
      <w:lvlText w:val=""/>
      <w:lvlJc w:val="left"/>
      <w:pPr>
        <w:ind w:left="360" w:hanging="360"/>
      </w:pPr>
      <w:rPr>
        <w:rFonts w:ascii="Symbol" w:hAnsi="Symbol"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1B71560"/>
    <w:multiLevelType w:val="multilevel"/>
    <w:tmpl w:val="0C09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5392D86"/>
    <w:multiLevelType w:val="hybridMultilevel"/>
    <w:tmpl w:val="68840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CB59A4"/>
    <w:multiLevelType w:val="hybridMultilevel"/>
    <w:tmpl w:val="7AEE746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A14AFF"/>
    <w:multiLevelType w:val="hybridMultilevel"/>
    <w:tmpl w:val="9FD0584E"/>
    <w:lvl w:ilvl="0" w:tplc="0D50F42A">
      <w:numFmt w:val="bullet"/>
      <w:lvlText w:val="•"/>
      <w:lvlJc w:val="left"/>
      <w:pPr>
        <w:ind w:left="391" w:hanging="171"/>
      </w:pPr>
      <w:rPr>
        <w:rFonts w:ascii="Arial Narrow" w:eastAsia="Arial Narrow" w:hAnsi="Arial Narrow" w:cs="Arial Narrow" w:hint="default"/>
        <w:color w:val="850C70"/>
        <w:spacing w:val="-8"/>
        <w:w w:val="100"/>
        <w:sz w:val="18"/>
        <w:szCs w:val="18"/>
      </w:rPr>
    </w:lvl>
    <w:lvl w:ilvl="1" w:tplc="6F14BB04">
      <w:numFmt w:val="bullet"/>
      <w:lvlText w:val="•"/>
      <w:lvlJc w:val="left"/>
      <w:pPr>
        <w:ind w:left="845" w:hanging="171"/>
      </w:pPr>
      <w:rPr>
        <w:rFonts w:hint="default"/>
      </w:rPr>
    </w:lvl>
    <w:lvl w:ilvl="2" w:tplc="1D1053A6">
      <w:numFmt w:val="bullet"/>
      <w:lvlText w:val="•"/>
      <w:lvlJc w:val="left"/>
      <w:pPr>
        <w:ind w:left="1290" w:hanging="171"/>
      </w:pPr>
      <w:rPr>
        <w:rFonts w:hint="default"/>
      </w:rPr>
    </w:lvl>
    <w:lvl w:ilvl="3" w:tplc="69381D4A">
      <w:numFmt w:val="bullet"/>
      <w:lvlText w:val="•"/>
      <w:lvlJc w:val="left"/>
      <w:pPr>
        <w:ind w:left="1735" w:hanging="171"/>
      </w:pPr>
      <w:rPr>
        <w:rFonts w:hint="default"/>
      </w:rPr>
    </w:lvl>
    <w:lvl w:ilvl="4" w:tplc="E8C6B2EA">
      <w:numFmt w:val="bullet"/>
      <w:lvlText w:val="•"/>
      <w:lvlJc w:val="left"/>
      <w:pPr>
        <w:ind w:left="2181" w:hanging="171"/>
      </w:pPr>
      <w:rPr>
        <w:rFonts w:hint="default"/>
      </w:rPr>
    </w:lvl>
    <w:lvl w:ilvl="5" w:tplc="5BBA7548">
      <w:numFmt w:val="bullet"/>
      <w:lvlText w:val="•"/>
      <w:lvlJc w:val="left"/>
      <w:pPr>
        <w:ind w:left="2626" w:hanging="171"/>
      </w:pPr>
      <w:rPr>
        <w:rFonts w:hint="default"/>
      </w:rPr>
    </w:lvl>
    <w:lvl w:ilvl="6" w:tplc="B276CD34">
      <w:numFmt w:val="bullet"/>
      <w:lvlText w:val="•"/>
      <w:lvlJc w:val="left"/>
      <w:pPr>
        <w:ind w:left="3071" w:hanging="171"/>
      </w:pPr>
      <w:rPr>
        <w:rFonts w:hint="default"/>
      </w:rPr>
    </w:lvl>
    <w:lvl w:ilvl="7" w:tplc="D1C62DBC">
      <w:numFmt w:val="bullet"/>
      <w:lvlText w:val="•"/>
      <w:lvlJc w:val="left"/>
      <w:pPr>
        <w:ind w:left="3516" w:hanging="171"/>
      </w:pPr>
      <w:rPr>
        <w:rFonts w:hint="default"/>
      </w:rPr>
    </w:lvl>
    <w:lvl w:ilvl="8" w:tplc="CAAA7BA8">
      <w:numFmt w:val="bullet"/>
      <w:lvlText w:val="•"/>
      <w:lvlJc w:val="left"/>
      <w:pPr>
        <w:ind w:left="3962" w:hanging="171"/>
      </w:pPr>
      <w:rPr>
        <w:rFonts w:hint="default"/>
      </w:rPr>
    </w:lvl>
  </w:abstractNum>
  <w:abstractNum w:abstractNumId="20" w15:restartNumberingAfterBreak="0">
    <w:nsid w:val="3CB111B2"/>
    <w:multiLevelType w:val="hybridMultilevel"/>
    <w:tmpl w:val="86A8665E"/>
    <w:lvl w:ilvl="0" w:tplc="C3E6DB22">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A43571"/>
    <w:multiLevelType w:val="hybridMultilevel"/>
    <w:tmpl w:val="68585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761174"/>
    <w:multiLevelType w:val="hybridMultilevel"/>
    <w:tmpl w:val="E5860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FF7A73"/>
    <w:multiLevelType w:val="multilevel"/>
    <w:tmpl w:val="8F7C2D86"/>
    <w:lvl w:ilvl="0">
      <w:start w:val="1"/>
      <w:numFmt w:val="decimal"/>
      <w:pStyle w:val="Titolo1"/>
      <w:lvlText w:val="%1"/>
      <w:lvlJc w:val="left"/>
      <w:pPr>
        <w:tabs>
          <w:tab w:val="num" w:pos="851"/>
        </w:tabs>
        <w:ind w:left="851" w:hanging="851"/>
      </w:pPr>
      <w:rPr>
        <w:rFonts w:hint="default"/>
      </w:rPr>
    </w:lvl>
    <w:lvl w:ilvl="1">
      <w:start w:val="1"/>
      <w:numFmt w:val="decimal"/>
      <w:pStyle w:val="Titolo2"/>
      <w:lvlText w:val="%1.%2"/>
      <w:lvlJc w:val="left"/>
      <w:pPr>
        <w:tabs>
          <w:tab w:val="num" w:pos="851"/>
        </w:tabs>
        <w:ind w:left="851" w:hanging="851"/>
      </w:pPr>
      <w:rPr>
        <w:rFonts w:hint="default"/>
      </w:rPr>
    </w:lvl>
    <w:lvl w:ilvl="2">
      <w:start w:val="1"/>
      <w:numFmt w:val="lowerLetter"/>
      <w:pStyle w:val="Titolo3"/>
      <w:lvlText w:val="(%3)"/>
      <w:lvlJc w:val="left"/>
      <w:pPr>
        <w:tabs>
          <w:tab w:val="num" w:pos="851"/>
        </w:tabs>
        <w:ind w:left="851" w:hanging="851"/>
      </w:pPr>
      <w:rPr>
        <w:rFonts w:hint="default"/>
      </w:rPr>
    </w:lvl>
    <w:lvl w:ilvl="3">
      <w:start w:val="1"/>
      <w:numFmt w:val="lowerRoman"/>
      <w:pStyle w:val="Titolo4"/>
      <w:lvlText w:val="(%4)"/>
      <w:lvlJc w:val="left"/>
      <w:pPr>
        <w:tabs>
          <w:tab w:val="num" w:pos="851"/>
        </w:tabs>
        <w:ind w:left="851" w:hanging="851"/>
      </w:pPr>
      <w:rPr>
        <w:rFonts w:hint="default"/>
      </w:rPr>
    </w:lvl>
    <w:lvl w:ilvl="4">
      <w:start w:val="1"/>
      <w:numFmt w:val="decimal"/>
      <w:pStyle w:val="Titolo5"/>
      <w:lvlText w:val="%1.%2.%3.%4.%5"/>
      <w:lvlJc w:val="left"/>
      <w:pPr>
        <w:tabs>
          <w:tab w:val="num" w:pos="0"/>
        </w:tabs>
        <w:ind w:left="1008" w:hanging="1008"/>
      </w:pPr>
      <w:rPr>
        <w:rFonts w:hint="default"/>
      </w:rPr>
    </w:lvl>
    <w:lvl w:ilvl="5">
      <w:start w:val="1"/>
      <w:numFmt w:val="decimal"/>
      <w:pStyle w:val="Titolo6"/>
      <w:lvlText w:val="%1.%2.%3.%4.%5.%6"/>
      <w:lvlJc w:val="left"/>
      <w:pPr>
        <w:tabs>
          <w:tab w:val="num" w:pos="0"/>
        </w:tabs>
        <w:ind w:left="1152" w:hanging="1152"/>
      </w:pPr>
      <w:rPr>
        <w:rFonts w:hint="default"/>
      </w:rPr>
    </w:lvl>
    <w:lvl w:ilvl="6">
      <w:start w:val="1"/>
      <w:numFmt w:val="decimal"/>
      <w:pStyle w:val="Titolo7"/>
      <w:lvlText w:val="%1.%2.%3.%4.%5.%6.%7"/>
      <w:lvlJc w:val="left"/>
      <w:pPr>
        <w:tabs>
          <w:tab w:val="num" w:pos="0"/>
        </w:tabs>
        <w:ind w:left="1296" w:hanging="1296"/>
      </w:pPr>
      <w:rPr>
        <w:rFonts w:hint="default"/>
      </w:rPr>
    </w:lvl>
    <w:lvl w:ilvl="7">
      <w:start w:val="1"/>
      <w:numFmt w:val="decimal"/>
      <w:pStyle w:val="Titolo8"/>
      <w:lvlText w:val="%1.%2.%3.%4.%5.%6.%7.%8"/>
      <w:lvlJc w:val="left"/>
      <w:pPr>
        <w:tabs>
          <w:tab w:val="num" w:pos="0"/>
        </w:tabs>
        <w:ind w:left="1440" w:hanging="1440"/>
      </w:pPr>
      <w:rPr>
        <w:rFonts w:hint="default"/>
      </w:rPr>
    </w:lvl>
    <w:lvl w:ilvl="8">
      <w:start w:val="1"/>
      <w:numFmt w:val="decimal"/>
      <w:pStyle w:val="Titolo9"/>
      <w:lvlText w:val="%1.%2.%3.%4.%5.%6.%7.%8.%9"/>
      <w:lvlJc w:val="left"/>
      <w:pPr>
        <w:tabs>
          <w:tab w:val="num" w:pos="0"/>
        </w:tabs>
        <w:ind w:left="1584" w:hanging="1584"/>
      </w:pPr>
      <w:rPr>
        <w:rFonts w:hint="default"/>
      </w:rPr>
    </w:lvl>
  </w:abstractNum>
  <w:abstractNum w:abstractNumId="25" w15:restartNumberingAfterBreak="0">
    <w:nsid w:val="4A8771C3"/>
    <w:multiLevelType w:val="hybridMultilevel"/>
    <w:tmpl w:val="36583D5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027282C"/>
    <w:multiLevelType w:val="hybridMultilevel"/>
    <w:tmpl w:val="992CA8B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1735E1C"/>
    <w:multiLevelType w:val="hybridMultilevel"/>
    <w:tmpl w:val="29202930"/>
    <w:lvl w:ilvl="0" w:tplc="7C506536">
      <w:numFmt w:val="bullet"/>
      <w:lvlText w:val="•"/>
      <w:lvlJc w:val="left"/>
      <w:pPr>
        <w:ind w:left="391" w:hanging="171"/>
      </w:pPr>
      <w:rPr>
        <w:rFonts w:ascii="Arial Narrow" w:eastAsia="Arial Narrow" w:hAnsi="Arial Narrow" w:cs="Arial Narrow" w:hint="default"/>
        <w:color w:val="850C70"/>
        <w:spacing w:val="-11"/>
        <w:w w:val="100"/>
        <w:sz w:val="18"/>
        <w:szCs w:val="18"/>
      </w:rPr>
    </w:lvl>
    <w:lvl w:ilvl="1" w:tplc="455684A4">
      <w:numFmt w:val="bullet"/>
      <w:lvlText w:val="•"/>
      <w:lvlJc w:val="left"/>
      <w:pPr>
        <w:ind w:left="845" w:hanging="171"/>
      </w:pPr>
      <w:rPr>
        <w:rFonts w:hint="default"/>
      </w:rPr>
    </w:lvl>
    <w:lvl w:ilvl="2" w:tplc="F236C7BA">
      <w:numFmt w:val="bullet"/>
      <w:lvlText w:val="•"/>
      <w:lvlJc w:val="left"/>
      <w:pPr>
        <w:ind w:left="1290" w:hanging="171"/>
      </w:pPr>
      <w:rPr>
        <w:rFonts w:hint="default"/>
      </w:rPr>
    </w:lvl>
    <w:lvl w:ilvl="3" w:tplc="A628D184">
      <w:numFmt w:val="bullet"/>
      <w:lvlText w:val="•"/>
      <w:lvlJc w:val="left"/>
      <w:pPr>
        <w:ind w:left="1735" w:hanging="171"/>
      </w:pPr>
      <w:rPr>
        <w:rFonts w:hint="default"/>
      </w:rPr>
    </w:lvl>
    <w:lvl w:ilvl="4" w:tplc="64B8602A">
      <w:numFmt w:val="bullet"/>
      <w:lvlText w:val="•"/>
      <w:lvlJc w:val="left"/>
      <w:pPr>
        <w:ind w:left="2181" w:hanging="171"/>
      </w:pPr>
      <w:rPr>
        <w:rFonts w:hint="default"/>
      </w:rPr>
    </w:lvl>
    <w:lvl w:ilvl="5" w:tplc="9530DD8C">
      <w:numFmt w:val="bullet"/>
      <w:lvlText w:val="•"/>
      <w:lvlJc w:val="left"/>
      <w:pPr>
        <w:ind w:left="2626" w:hanging="171"/>
      </w:pPr>
      <w:rPr>
        <w:rFonts w:hint="default"/>
      </w:rPr>
    </w:lvl>
    <w:lvl w:ilvl="6" w:tplc="FC304082">
      <w:numFmt w:val="bullet"/>
      <w:lvlText w:val="•"/>
      <w:lvlJc w:val="left"/>
      <w:pPr>
        <w:ind w:left="3071" w:hanging="171"/>
      </w:pPr>
      <w:rPr>
        <w:rFonts w:hint="default"/>
      </w:rPr>
    </w:lvl>
    <w:lvl w:ilvl="7" w:tplc="05B8A556">
      <w:numFmt w:val="bullet"/>
      <w:lvlText w:val="•"/>
      <w:lvlJc w:val="left"/>
      <w:pPr>
        <w:ind w:left="3516" w:hanging="171"/>
      </w:pPr>
      <w:rPr>
        <w:rFonts w:hint="default"/>
      </w:rPr>
    </w:lvl>
    <w:lvl w:ilvl="8" w:tplc="7E169F02">
      <w:numFmt w:val="bullet"/>
      <w:lvlText w:val="•"/>
      <w:lvlJc w:val="left"/>
      <w:pPr>
        <w:ind w:left="3962" w:hanging="171"/>
      </w:pPr>
      <w:rPr>
        <w:rFonts w:hint="default"/>
      </w:rPr>
    </w:lvl>
  </w:abstractNum>
  <w:abstractNum w:abstractNumId="29" w15:restartNumberingAfterBreak="0">
    <w:nsid w:val="62831429"/>
    <w:multiLevelType w:val="hybridMultilevel"/>
    <w:tmpl w:val="4F283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CA22E3"/>
    <w:multiLevelType w:val="hybridMultilevel"/>
    <w:tmpl w:val="B77A5E1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9BC0052"/>
    <w:multiLevelType w:val="hybridMultilevel"/>
    <w:tmpl w:val="0C349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C33A1C"/>
    <w:multiLevelType w:val="hybridMultilevel"/>
    <w:tmpl w:val="2C26FEC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6"/>
  </w:num>
  <w:num w:numId="13">
    <w:abstractNumId w:val="21"/>
  </w:num>
  <w:num w:numId="14">
    <w:abstractNumId w:val="16"/>
  </w:num>
  <w:num w:numId="15">
    <w:abstractNumId w:val="14"/>
  </w:num>
  <w:num w:numId="16">
    <w:abstractNumId w:val="19"/>
  </w:num>
  <w:num w:numId="17">
    <w:abstractNumId w:val="28"/>
  </w:num>
  <w:num w:numId="18">
    <w:abstractNumId w:val="20"/>
  </w:num>
  <w:num w:numId="19">
    <w:abstractNumId w:val="25"/>
  </w:num>
  <w:num w:numId="20">
    <w:abstractNumId w:val="29"/>
  </w:num>
  <w:num w:numId="21">
    <w:abstractNumId w:val="15"/>
  </w:num>
  <w:num w:numId="22">
    <w:abstractNumId w:val="17"/>
  </w:num>
  <w:num w:numId="23">
    <w:abstractNumId w:val="30"/>
  </w:num>
  <w:num w:numId="24">
    <w:abstractNumId w:val="13"/>
  </w:num>
  <w:num w:numId="25">
    <w:abstractNumId w:val="27"/>
  </w:num>
  <w:num w:numId="26">
    <w:abstractNumId w:val="22"/>
  </w:num>
  <w:num w:numId="27">
    <w:abstractNumId w:val="23"/>
  </w:num>
  <w:num w:numId="28">
    <w:abstractNumId w:val="11"/>
  </w:num>
  <w:num w:numId="29">
    <w:abstractNumId w:val="32"/>
  </w:num>
  <w:num w:numId="30">
    <w:abstractNumId w:val="18"/>
  </w:num>
  <w:num w:numId="31">
    <w:abstractNumId w:val="10"/>
  </w:num>
  <w:num w:numId="32">
    <w:abstractNumId w:val="12"/>
  </w:num>
  <w:num w:numId="33">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3D"/>
    <w:rsid w:val="000136D8"/>
    <w:rsid w:val="000312F4"/>
    <w:rsid w:val="00032B5C"/>
    <w:rsid w:val="00035A28"/>
    <w:rsid w:val="00052560"/>
    <w:rsid w:val="000579B1"/>
    <w:rsid w:val="000650A2"/>
    <w:rsid w:val="00072F48"/>
    <w:rsid w:val="00072FB1"/>
    <w:rsid w:val="00073834"/>
    <w:rsid w:val="000A0403"/>
    <w:rsid w:val="000A1DB8"/>
    <w:rsid w:val="000A4128"/>
    <w:rsid w:val="000A48AC"/>
    <w:rsid w:val="000B0A5D"/>
    <w:rsid w:val="000B1193"/>
    <w:rsid w:val="000C1124"/>
    <w:rsid w:val="000C1657"/>
    <w:rsid w:val="000C1C6F"/>
    <w:rsid w:val="000C28F4"/>
    <w:rsid w:val="000C3158"/>
    <w:rsid w:val="000C3EC7"/>
    <w:rsid w:val="000C4311"/>
    <w:rsid w:val="000E08F0"/>
    <w:rsid w:val="000E130A"/>
    <w:rsid w:val="000E7E54"/>
    <w:rsid w:val="001004E0"/>
    <w:rsid w:val="0010437F"/>
    <w:rsid w:val="0011264A"/>
    <w:rsid w:val="00134774"/>
    <w:rsid w:val="00140274"/>
    <w:rsid w:val="001403F8"/>
    <w:rsid w:val="00151263"/>
    <w:rsid w:val="001528F2"/>
    <w:rsid w:val="0015382B"/>
    <w:rsid w:val="001552F9"/>
    <w:rsid w:val="00155E88"/>
    <w:rsid w:val="0016243D"/>
    <w:rsid w:val="00162A8D"/>
    <w:rsid w:val="00162E05"/>
    <w:rsid w:val="00163C30"/>
    <w:rsid w:val="0016594B"/>
    <w:rsid w:val="00165E3C"/>
    <w:rsid w:val="00173183"/>
    <w:rsid w:val="00173FB5"/>
    <w:rsid w:val="00176703"/>
    <w:rsid w:val="00185C3F"/>
    <w:rsid w:val="0019354F"/>
    <w:rsid w:val="00193C6F"/>
    <w:rsid w:val="00197F2D"/>
    <w:rsid w:val="001A09B5"/>
    <w:rsid w:val="001A291A"/>
    <w:rsid w:val="001B0353"/>
    <w:rsid w:val="001B0942"/>
    <w:rsid w:val="001C1F8B"/>
    <w:rsid w:val="001C1FB7"/>
    <w:rsid w:val="001C4315"/>
    <w:rsid w:val="001C58F5"/>
    <w:rsid w:val="001E5676"/>
    <w:rsid w:val="001F2BBB"/>
    <w:rsid w:val="001F2DB9"/>
    <w:rsid w:val="001F5BEA"/>
    <w:rsid w:val="002001D7"/>
    <w:rsid w:val="00200677"/>
    <w:rsid w:val="00210D78"/>
    <w:rsid w:val="00231ED1"/>
    <w:rsid w:val="00242624"/>
    <w:rsid w:val="002441A0"/>
    <w:rsid w:val="0024557E"/>
    <w:rsid w:val="00251105"/>
    <w:rsid w:val="002603F5"/>
    <w:rsid w:val="00260C83"/>
    <w:rsid w:val="002615E9"/>
    <w:rsid w:val="0026297D"/>
    <w:rsid w:val="002863D7"/>
    <w:rsid w:val="002873B4"/>
    <w:rsid w:val="0028774F"/>
    <w:rsid w:val="00290DCA"/>
    <w:rsid w:val="002A713F"/>
    <w:rsid w:val="002B1B65"/>
    <w:rsid w:val="002B220D"/>
    <w:rsid w:val="002B53D2"/>
    <w:rsid w:val="002C170C"/>
    <w:rsid w:val="002C1866"/>
    <w:rsid w:val="002D4649"/>
    <w:rsid w:val="002D7B49"/>
    <w:rsid w:val="002E1C24"/>
    <w:rsid w:val="002E2B6A"/>
    <w:rsid w:val="002E4EF6"/>
    <w:rsid w:val="002F4CE1"/>
    <w:rsid w:val="002F4DB3"/>
    <w:rsid w:val="00300F22"/>
    <w:rsid w:val="00304A37"/>
    <w:rsid w:val="00304E38"/>
    <w:rsid w:val="00310ED4"/>
    <w:rsid w:val="00312301"/>
    <w:rsid w:val="00312D16"/>
    <w:rsid w:val="00314057"/>
    <w:rsid w:val="0031492A"/>
    <w:rsid w:val="003157F3"/>
    <w:rsid w:val="00316C1A"/>
    <w:rsid w:val="00323C73"/>
    <w:rsid w:val="00331141"/>
    <w:rsid w:val="00335EE3"/>
    <w:rsid w:val="00340D08"/>
    <w:rsid w:val="003415DD"/>
    <w:rsid w:val="00343FC8"/>
    <w:rsid w:val="00344758"/>
    <w:rsid w:val="00346C76"/>
    <w:rsid w:val="00347142"/>
    <w:rsid w:val="003475D1"/>
    <w:rsid w:val="003565A8"/>
    <w:rsid w:val="003566EA"/>
    <w:rsid w:val="00357CC7"/>
    <w:rsid w:val="00363F4C"/>
    <w:rsid w:val="0036481C"/>
    <w:rsid w:val="00364F9B"/>
    <w:rsid w:val="00372C79"/>
    <w:rsid w:val="00383635"/>
    <w:rsid w:val="00392591"/>
    <w:rsid w:val="00395330"/>
    <w:rsid w:val="00397375"/>
    <w:rsid w:val="00397C9A"/>
    <w:rsid w:val="003A0A44"/>
    <w:rsid w:val="003A359F"/>
    <w:rsid w:val="003B0A52"/>
    <w:rsid w:val="003B28D7"/>
    <w:rsid w:val="003C73D9"/>
    <w:rsid w:val="003D28B4"/>
    <w:rsid w:val="003E60C5"/>
    <w:rsid w:val="003F484C"/>
    <w:rsid w:val="00410133"/>
    <w:rsid w:val="00413270"/>
    <w:rsid w:val="00413879"/>
    <w:rsid w:val="00422417"/>
    <w:rsid w:val="00424233"/>
    <w:rsid w:val="00431931"/>
    <w:rsid w:val="00433D2A"/>
    <w:rsid w:val="004408CF"/>
    <w:rsid w:val="0044429C"/>
    <w:rsid w:val="004712FB"/>
    <w:rsid w:val="00472EFF"/>
    <w:rsid w:val="00474063"/>
    <w:rsid w:val="00476793"/>
    <w:rsid w:val="0048167B"/>
    <w:rsid w:val="00485FB3"/>
    <w:rsid w:val="0049322F"/>
    <w:rsid w:val="004954F2"/>
    <w:rsid w:val="0049582E"/>
    <w:rsid w:val="004A0ED4"/>
    <w:rsid w:val="004A187B"/>
    <w:rsid w:val="004A2D3C"/>
    <w:rsid w:val="004A3839"/>
    <w:rsid w:val="004B0B7C"/>
    <w:rsid w:val="004B14DB"/>
    <w:rsid w:val="004B28F3"/>
    <w:rsid w:val="004C1018"/>
    <w:rsid w:val="004C386D"/>
    <w:rsid w:val="004C7412"/>
    <w:rsid w:val="004D0283"/>
    <w:rsid w:val="004D04BF"/>
    <w:rsid w:val="004D4014"/>
    <w:rsid w:val="004D46F0"/>
    <w:rsid w:val="004D641A"/>
    <w:rsid w:val="004E0DFF"/>
    <w:rsid w:val="004E3513"/>
    <w:rsid w:val="004E7DF4"/>
    <w:rsid w:val="004F1C7C"/>
    <w:rsid w:val="004F414F"/>
    <w:rsid w:val="004F4C02"/>
    <w:rsid w:val="004F597C"/>
    <w:rsid w:val="00501246"/>
    <w:rsid w:val="00502446"/>
    <w:rsid w:val="00507761"/>
    <w:rsid w:val="00510734"/>
    <w:rsid w:val="005123F0"/>
    <w:rsid w:val="00513540"/>
    <w:rsid w:val="00513941"/>
    <w:rsid w:val="005141F5"/>
    <w:rsid w:val="00522895"/>
    <w:rsid w:val="0052315A"/>
    <w:rsid w:val="005266BC"/>
    <w:rsid w:val="0053051D"/>
    <w:rsid w:val="005412D2"/>
    <w:rsid w:val="005454DD"/>
    <w:rsid w:val="00547F24"/>
    <w:rsid w:val="00553F17"/>
    <w:rsid w:val="00564208"/>
    <w:rsid w:val="0056457F"/>
    <w:rsid w:val="0056516D"/>
    <w:rsid w:val="005670CD"/>
    <w:rsid w:val="00571CCB"/>
    <w:rsid w:val="00571CEB"/>
    <w:rsid w:val="0057246C"/>
    <w:rsid w:val="0057247E"/>
    <w:rsid w:val="0057529E"/>
    <w:rsid w:val="00575725"/>
    <w:rsid w:val="00580F5F"/>
    <w:rsid w:val="00590322"/>
    <w:rsid w:val="00591005"/>
    <w:rsid w:val="00591951"/>
    <w:rsid w:val="00592AF1"/>
    <w:rsid w:val="005A0363"/>
    <w:rsid w:val="005A0650"/>
    <w:rsid w:val="005A31CD"/>
    <w:rsid w:val="005B5339"/>
    <w:rsid w:val="005C1209"/>
    <w:rsid w:val="005C198E"/>
    <w:rsid w:val="005C4E49"/>
    <w:rsid w:val="005C5523"/>
    <w:rsid w:val="005C5D3D"/>
    <w:rsid w:val="005C5D41"/>
    <w:rsid w:val="005D0043"/>
    <w:rsid w:val="005D1F34"/>
    <w:rsid w:val="005D383D"/>
    <w:rsid w:val="005F1D10"/>
    <w:rsid w:val="005F467C"/>
    <w:rsid w:val="005F4AD6"/>
    <w:rsid w:val="00600190"/>
    <w:rsid w:val="006107B9"/>
    <w:rsid w:val="00616BCE"/>
    <w:rsid w:val="00617D6F"/>
    <w:rsid w:val="00635D5C"/>
    <w:rsid w:val="006374E8"/>
    <w:rsid w:val="0064173D"/>
    <w:rsid w:val="0064523D"/>
    <w:rsid w:val="00651CC0"/>
    <w:rsid w:val="00654793"/>
    <w:rsid w:val="0066630D"/>
    <w:rsid w:val="00670765"/>
    <w:rsid w:val="00674083"/>
    <w:rsid w:val="00677119"/>
    <w:rsid w:val="00681DD5"/>
    <w:rsid w:val="0068586A"/>
    <w:rsid w:val="0069428B"/>
    <w:rsid w:val="006A1AB7"/>
    <w:rsid w:val="006A57BE"/>
    <w:rsid w:val="006A6BB3"/>
    <w:rsid w:val="006B6685"/>
    <w:rsid w:val="006C4CBF"/>
    <w:rsid w:val="006D0FB9"/>
    <w:rsid w:val="006D5EE5"/>
    <w:rsid w:val="006E6D3B"/>
    <w:rsid w:val="007020C2"/>
    <w:rsid w:val="00703E74"/>
    <w:rsid w:val="007100A6"/>
    <w:rsid w:val="007102E7"/>
    <w:rsid w:val="00716705"/>
    <w:rsid w:val="0072752A"/>
    <w:rsid w:val="00730BD2"/>
    <w:rsid w:val="00734659"/>
    <w:rsid w:val="00753FE1"/>
    <w:rsid w:val="007540BF"/>
    <w:rsid w:val="00760D3F"/>
    <w:rsid w:val="00765316"/>
    <w:rsid w:val="00770DCB"/>
    <w:rsid w:val="00773A06"/>
    <w:rsid w:val="00774715"/>
    <w:rsid w:val="00775485"/>
    <w:rsid w:val="0078092A"/>
    <w:rsid w:val="00785923"/>
    <w:rsid w:val="007875FB"/>
    <w:rsid w:val="00793261"/>
    <w:rsid w:val="007B3BCD"/>
    <w:rsid w:val="007B6C00"/>
    <w:rsid w:val="007C4A54"/>
    <w:rsid w:val="007C5898"/>
    <w:rsid w:val="007E17F4"/>
    <w:rsid w:val="007E2872"/>
    <w:rsid w:val="007E3022"/>
    <w:rsid w:val="007E5B88"/>
    <w:rsid w:val="007F0D0B"/>
    <w:rsid w:val="007F16CB"/>
    <w:rsid w:val="008007A8"/>
    <w:rsid w:val="008042D9"/>
    <w:rsid w:val="00806562"/>
    <w:rsid w:val="00810A45"/>
    <w:rsid w:val="00814FC0"/>
    <w:rsid w:val="00814FFA"/>
    <w:rsid w:val="008168D0"/>
    <w:rsid w:val="00824482"/>
    <w:rsid w:val="00824ED0"/>
    <w:rsid w:val="0082729A"/>
    <w:rsid w:val="0083684F"/>
    <w:rsid w:val="00840DFD"/>
    <w:rsid w:val="00841E7F"/>
    <w:rsid w:val="008448EB"/>
    <w:rsid w:val="0084733C"/>
    <w:rsid w:val="00853B82"/>
    <w:rsid w:val="008724DE"/>
    <w:rsid w:val="00875E75"/>
    <w:rsid w:val="00880BCB"/>
    <w:rsid w:val="008A1C70"/>
    <w:rsid w:val="008A3D57"/>
    <w:rsid w:val="008B23BC"/>
    <w:rsid w:val="008B5269"/>
    <w:rsid w:val="008C20DA"/>
    <w:rsid w:val="008D0AD4"/>
    <w:rsid w:val="008D2F4B"/>
    <w:rsid w:val="008D6673"/>
    <w:rsid w:val="008E054C"/>
    <w:rsid w:val="008E3D60"/>
    <w:rsid w:val="008E3F4C"/>
    <w:rsid w:val="008E6FBD"/>
    <w:rsid w:val="008F4751"/>
    <w:rsid w:val="008F6622"/>
    <w:rsid w:val="0090165F"/>
    <w:rsid w:val="00901B82"/>
    <w:rsid w:val="00912B09"/>
    <w:rsid w:val="00921AFD"/>
    <w:rsid w:val="009235CB"/>
    <w:rsid w:val="00923B7C"/>
    <w:rsid w:val="00927822"/>
    <w:rsid w:val="00952CA2"/>
    <w:rsid w:val="00960453"/>
    <w:rsid w:val="00966353"/>
    <w:rsid w:val="00966C2F"/>
    <w:rsid w:val="00971039"/>
    <w:rsid w:val="00973CE8"/>
    <w:rsid w:val="0097512B"/>
    <w:rsid w:val="00976F64"/>
    <w:rsid w:val="009823C8"/>
    <w:rsid w:val="00984C99"/>
    <w:rsid w:val="0098781F"/>
    <w:rsid w:val="00990F4B"/>
    <w:rsid w:val="009A07C1"/>
    <w:rsid w:val="009A3B99"/>
    <w:rsid w:val="009A7EDD"/>
    <w:rsid w:val="009B36D9"/>
    <w:rsid w:val="009B70E1"/>
    <w:rsid w:val="009C6D16"/>
    <w:rsid w:val="009D382A"/>
    <w:rsid w:val="009D4C23"/>
    <w:rsid w:val="009D67F6"/>
    <w:rsid w:val="009E0FE1"/>
    <w:rsid w:val="009E4F41"/>
    <w:rsid w:val="009E6C1A"/>
    <w:rsid w:val="009E7E78"/>
    <w:rsid w:val="009F2764"/>
    <w:rsid w:val="009F6E5B"/>
    <w:rsid w:val="00A015E5"/>
    <w:rsid w:val="00A01E43"/>
    <w:rsid w:val="00A0406E"/>
    <w:rsid w:val="00A06606"/>
    <w:rsid w:val="00A10858"/>
    <w:rsid w:val="00A11307"/>
    <w:rsid w:val="00A13677"/>
    <w:rsid w:val="00A13AF3"/>
    <w:rsid w:val="00A17361"/>
    <w:rsid w:val="00A21388"/>
    <w:rsid w:val="00A22B60"/>
    <w:rsid w:val="00A2771D"/>
    <w:rsid w:val="00A27791"/>
    <w:rsid w:val="00A4052B"/>
    <w:rsid w:val="00A41355"/>
    <w:rsid w:val="00A41A48"/>
    <w:rsid w:val="00A43087"/>
    <w:rsid w:val="00A43B92"/>
    <w:rsid w:val="00A54251"/>
    <w:rsid w:val="00A6179E"/>
    <w:rsid w:val="00A62599"/>
    <w:rsid w:val="00A64316"/>
    <w:rsid w:val="00A70A71"/>
    <w:rsid w:val="00A71BBF"/>
    <w:rsid w:val="00A804D9"/>
    <w:rsid w:val="00A9028C"/>
    <w:rsid w:val="00A90F31"/>
    <w:rsid w:val="00A92915"/>
    <w:rsid w:val="00A92F92"/>
    <w:rsid w:val="00A93307"/>
    <w:rsid w:val="00A962A4"/>
    <w:rsid w:val="00A96892"/>
    <w:rsid w:val="00A96EBB"/>
    <w:rsid w:val="00A973E5"/>
    <w:rsid w:val="00AA10BB"/>
    <w:rsid w:val="00AA2051"/>
    <w:rsid w:val="00AB298B"/>
    <w:rsid w:val="00AB6736"/>
    <w:rsid w:val="00AB6EA0"/>
    <w:rsid w:val="00AC31C7"/>
    <w:rsid w:val="00AD0EE1"/>
    <w:rsid w:val="00AD431D"/>
    <w:rsid w:val="00AD724D"/>
    <w:rsid w:val="00AE4EC6"/>
    <w:rsid w:val="00AE7ED3"/>
    <w:rsid w:val="00AF12F7"/>
    <w:rsid w:val="00AF51FC"/>
    <w:rsid w:val="00AF773C"/>
    <w:rsid w:val="00B24B1D"/>
    <w:rsid w:val="00B277E0"/>
    <w:rsid w:val="00B3278B"/>
    <w:rsid w:val="00B34946"/>
    <w:rsid w:val="00B519FD"/>
    <w:rsid w:val="00B520BC"/>
    <w:rsid w:val="00B56C37"/>
    <w:rsid w:val="00B63D24"/>
    <w:rsid w:val="00B74962"/>
    <w:rsid w:val="00B91FDC"/>
    <w:rsid w:val="00B920BE"/>
    <w:rsid w:val="00B9221A"/>
    <w:rsid w:val="00B924E6"/>
    <w:rsid w:val="00BA0488"/>
    <w:rsid w:val="00BA262D"/>
    <w:rsid w:val="00BA5698"/>
    <w:rsid w:val="00BB4B4D"/>
    <w:rsid w:val="00BC79EB"/>
    <w:rsid w:val="00BD7FCF"/>
    <w:rsid w:val="00BE1E76"/>
    <w:rsid w:val="00BE7DCF"/>
    <w:rsid w:val="00C00053"/>
    <w:rsid w:val="00C02E42"/>
    <w:rsid w:val="00C064DC"/>
    <w:rsid w:val="00C136F8"/>
    <w:rsid w:val="00C15438"/>
    <w:rsid w:val="00C1610B"/>
    <w:rsid w:val="00C176E4"/>
    <w:rsid w:val="00C2416B"/>
    <w:rsid w:val="00C25BDA"/>
    <w:rsid w:val="00C33104"/>
    <w:rsid w:val="00C332D4"/>
    <w:rsid w:val="00C368CF"/>
    <w:rsid w:val="00C4000C"/>
    <w:rsid w:val="00C56423"/>
    <w:rsid w:val="00C565AC"/>
    <w:rsid w:val="00C601D0"/>
    <w:rsid w:val="00C606CF"/>
    <w:rsid w:val="00C6553C"/>
    <w:rsid w:val="00C674D3"/>
    <w:rsid w:val="00C854D4"/>
    <w:rsid w:val="00C85592"/>
    <w:rsid w:val="00C90556"/>
    <w:rsid w:val="00C95118"/>
    <w:rsid w:val="00C955E4"/>
    <w:rsid w:val="00C9783D"/>
    <w:rsid w:val="00CA0D78"/>
    <w:rsid w:val="00CA4855"/>
    <w:rsid w:val="00CA6118"/>
    <w:rsid w:val="00CA6415"/>
    <w:rsid w:val="00CA7752"/>
    <w:rsid w:val="00CB24FE"/>
    <w:rsid w:val="00CB6ECC"/>
    <w:rsid w:val="00CC030A"/>
    <w:rsid w:val="00CC1CA9"/>
    <w:rsid w:val="00CC23E0"/>
    <w:rsid w:val="00CC6302"/>
    <w:rsid w:val="00CC730D"/>
    <w:rsid w:val="00CC7386"/>
    <w:rsid w:val="00CD58FD"/>
    <w:rsid w:val="00CE2968"/>
    <w:rsid w:val="00CE6F8B"/>
    <w:rsid w:val="00CE7222"/>
    <w:rsid w:val="00CF3C7F"/>
    <w:rsid w:val="00CF5589"/>
    <w:rsid w:val="00D05B15"/>
    <w:rsid w:val="00D15086"/>
    <w:rsid w:val="00D24989"/>
    <w:rsid w:val="00D343FA"/>
    <w:rsid w:val="00D34C48"/>
    <w:rsid w:val="00D34EB5"/>
    <w:rsid w:val="00D3576F"/>
    <w:rsid w:val="00D418FF"/>
    <w:rsid w:val="00D42738"/>
    <w:rsid w:val="00D44326"/>
    <w:rsid w:val="00D454A6"/>
    <w:rsid w:val="00D5120E"/>
    <w:rsid w:val="00D65BE5"/>
    <w:rsid w:val="00D65C76"/>
    <w:rsid w:val="00D70A00"/>
    <w:rsid w:val="00D70C48"/>
    <w:rsid w:val="00D734C7"/>
    <w:rsid w:val="00D81B8F"/>
    <w:rsid w:val="00D820F1"/>
    <w:rsid w:val="00D91771"/>
    <w:rsid w:val="00D94237"/>
    <w:rsid w:val="00D950CF"/>
    <w:rsid w:val="00D97CF3"/>
    <w:rsid w:val="00DA2F73"/>
    <w:rsid w:val="00DA403B"/>
    <w:rsid w:val="00DC17CB"/>
    <w:rsid w:val="00DC462F"/>
    <w:rsid w:val="00DC6153"/>
    <w:rsid w:val="00DD2678"/>
    <w:rsid w:val="00DD2E4E"/>
    <w:rsid w:val="00DD40EA"/>
    <w:rsid w:val="00DD6A21"/>
    <w:rsid w:val="00DE4FDA"/>
    <w:rsid w:val="00DE60CA"/>
    <w:rsid w:val="00DE626D"/>
    <w:rsid w:val="00E004A6"/>
    <w:rsid w:val="00E011EC"/>
    <w:rsid w:val="00E02B87"/>
    <w:rsid w:val="00E1467E"/>
    <w:rsid w:val="00E15BAC"/>
    <w:rsid w:val="00E231C2"/>
    <w:rsid w:val="00E24FA3"/>
    <w:rsid w:val="00E25E63"/>
    <w:rsid w:val="00E26B28"/>
    <w:rsid w:val="00E31465"/>
    <w:rsid w:val="00E328CD"/>
    <w:rsid w:val="00E36B95"/>
    <w:rsid w:val="00E4003F"/>
    <w:rsid w:val="00E458F6"/>
    <w:rsid w:val="00E45954"/>
    <w:rsid w:val="00E5224B"/>
    <w:rsid w:val="00E60911"/>
    <w:rsid w:val="00E62F59"/>
    <w:rsid w:val="00E66A63"/>
    <w:rsid w:val="00E76A41"/>
    <w:rsid w:val="00E9231C"/>
    <w:rsid w:val="00E92F38"/>
    <w:rsid w:val="00E93264"/>
    <w:rsid w:val="00EA44D9"/>
    <w:rsid w:val="00EA76C1"/>
    <w:rsid w:val="00EB3C26"/>
    <w:rsid w:val="00EB5ED4"/>
    <w:rsid w:val="00EB6A76"/>
    <w:rsid w:val="00EC5E16"/>
    <w:rsid w:val="00ED14F7"/>
    <w:rsid w:val="00ED226C"/>
    <w:rsid w:val="00EF396B"/>
    <w:rsid w:val="00EF5081"/>
    <w:rsid w:val="00EF5546"/>
    <w:rsid w:val="00EF7905"/>
    <w:rsid w:val="00F05A19"/>
    <w:rsid w:val="00F10FCF"/>
    <w:rsid w:val="00F11707"/>
    <w:rsid w:val="00F14C6D"/>
    <w:rsid w:val="00F200C4"/>
    <w:rsid w:val="00F20D3F"/>
    <w:rsid w:val="00F234B4"/>
    <w:rsid w:val="00F2722E"/>
    <w:rsid w:val="00F34BC9"/>
    <w:rsid w:val="00F371AA"/>
    <w:rsid w:val="00F5731C"/>
    <w:rsid w:val="00F5774E"/>
    <w:rsid w:val="00F61B6D"/>
    <w:rsid w:val="00F63FA6"/>
    <w:rsid w:val="00F6666C"/>
    <w:rsid w:val="00F700C3"/>
    <w:rsid w:val="00F768DE"/>
    <w:rsid w:val="00F8302E"/>
    <w:rsid w:val="00F83E09"/>
    <w:rsid w:val="00F852FF"/>
    <w:rsid w:val="00FA4563"/>
    <w:rsid w:val="00FA4916"/>
    <w:rsid w:val="00FA7F5C"/>
    <w:rsid w:val="00FC0A1E"/>
    <w:rsid w:val="00FC699A"/>
    <w:rsid w:val="00FC79EA"/>
    <w:rsid w:val="00FD01B5"/>
    <w:rsid w:val="00FD551A"/>
    <w:rsid w:val="00FE165B"/>
    <w:rsid w:val="00FE7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0C0023A"/>
  <w15:docId w15:val="{49BD6E1F-CF20-4023-B711-EDDEED1B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B1B65"/>
    <w:pPr>
      <w:spacing w:before="240" w:after="240"/>
    </w:pPr>
    <w:rPr>
      <w:rFonts w:ascii="Arial" w:eastAsia="MS Mincho" w:hAnsi="Arial"/>
      <w:sz w:val="24"/>
      <w:szCs w:val="24"/>
    </w:rPr>
  </w:style>
  <w:style w:type="paragraph" w:styleId="Titolo1">
    <w:name w:val="heading 1"/>
    <w:basedOn w:val="Normale"/>
    <w:next w:val="Normale"/>
    <w:link w:val="Titolo1Carattere"/>
    <w:qFormat/>
    <w:rsid w:val="008007A8"/>
    <w:pPr>
      <w:keepNext/>
      <w:keepLines/>
      <w:numPr>
        <w:numId w:val="1"/>
      </w:numPr>
      <w:spacing w:before="360"/>
      <w:outlineLvl w:val="0"/>
    </w:pPr>
    <w:rPr>
      <w:b/>
      <w:bCs/>
      <w:sz w:val="28"/>
      <w:szCs w:val="28"/>
    </w:rPr>
  </w:style>
  <w:style w:type="paragraph" w:styleId="Titolo2">
    <w:name w:val="heading 2"/>
    <w:basedOn w:val="Titolo1"/>
    <w:next w:val="Normale"/>
    <w:link w:val="Titolo2Carattere"/>
    <w:qFormat/>
    <w:rsid w:val="008007A8"/>
    <w:pPr>
      <w:numPr>
        <w:ilvl w:val="1"/>
      </w:numPr>
      <w:outlineLvl w:val="1"/>
    </w:pPr>
    <w:rPr>
      <w:bCs w:val="0"/>
      <w:i/>
      <w:color w:val="000000"/>
      <w:szCs w:val="26"/>
    </w:rPr>
  </w:style>
  <w:style w:type="paragraph" w:styleId="Titolo3">
    <w:name w:val="heading 3"/>
    <w:basedOn w:val="Titolo2"/>
    <w:next w:val="Normale"/>
    <w:link w:val="Titolo3Carattere"/>
    <w:qFormat/>
    <w:rsid w:val="008007A8"/>
    <w:pPr>
      <w:numPr>
        <w:ilvl w:val="2"/>
      </w:numPr>
      <w:outlineLvl w:val="2"/>
    </w:pPr>
    <w:rPr>
      <w:b w:val="0"/>
      <w:bCs/>
      <w:color w:val="auto"/>
      <w:sz w:val="24"/>
    </w:rPr>
  </w:style>
  <w:style w:type="paragraph" w:styleId="Titolo4">
    <w:name w:val="heading 4"/>
    <w:basedOn w:val="Titolo3"/>
    <w:next w:val="Normale"/>
    <w:link w:val="Titolo4Carattere"/>
    <w:qFormat/>
    <w:rsid w:val="008007A8"/>
    <w:pPr>
      <w:numPr>
        <w:ilvl w:val="3"/>
      </w:numPr>
      <w:outlineLvl w:val="3"/>
    </w:pPr>
    <w:rPr>
      <w:bCs w:val="0"/>
      <w:i w:val="0"/>
      <w:iCs/>
    </w:rPr>
  </w:style>
  <w:style w:type="paragraph" w:styleId="Titolo5">
    <w:name w:val="heading 5"/>
    <w:basedOn w:val="Normale"/>
    <w:next w:val="Normale"/>
    <w:link w:val="Titolo5Carattere"/>
    <w:qFormat/>
    <w:locked/>
    <w:rsid w:val="008007A8"/>
    <w:pPr>
      <w:keepNext/>
      <w:keepLines/>
      <w:numPr>
        <w:ilvl w:val="4"/>
        <w:numId w:val="1"/>
      </w:numPr>
      <w:spacing w:before="200"/>
      <w:outlineLvl w:val="4"/>
    </w:pPr>
    <w:rPr>
      <w:rFonts w:ascii="Cambria" w:hAnsi="Cambria"/>
      <w:color w:val="243F60"/>
    </w:rPr>
  </w:style>
  <w:style w:type="paragraph" w:styleId="Titolo6">
    <w:name w:val="heading 6"/>
    <w:basedOn w:val="Normale"/>
    <w:next w:val="Normale"/>
    <w:link w:val="Titolo6Carattere"/>
    <w:qFormat/>
    <w:locked/>
    <w:rsid w:val="008007A8"/>
    <w:pPr>
      <w:keepNext/>
      <w:keepLines/>
      <w:numPr>
        <w:ilvl w:val="5"/>
        <w:numId w:val="1"/>
      </w:numPr>
      <w:spacing w:before="200"/>
      <w:outlineLvl w:val="5"/>
    </w:pPr>
    <w:rPr>
      <w:rFonts w:ascii="Cambria" w:hAnsi="Cambria"/>
      <w:i/>
      <w:iCs/>
      <w:color w:val="243F60"/>
    </w:rPr>
  </w:style>
  <w:style w:type="paragraph" w:styleId="Titolo7">
    <w:name w:val="heading 7"/>
    <w:basedOn w:val="Normale"/>
    <w:next w:val="Normale"/>
    <w:link w:val="Titolo7Carattere"/>
    <w:qFormat/>
    <w:locked/>
    <w:rsid w:val="008007A8"/>
    <w:pPr>
      <w:keepNext/>
      <w:keepLines/>
      <w:numPr>
        <w:ilvl w:val="6"/>
        <w:numId w:val="1"/>
      </w:numPr>
      <w:spacing w:before="200"/>
      <w:outlineLvl w:val="6"/>
    </w:pPr>
    <w:rPr>
      <w:rFonts w:ascii="Cambria" w:hAnsi="Cambria"/>
      <w:i/>
      <w:iCs/>
      <w:color w:val="404040"/>
    </w:rPr>
  </w:style>
  <w:style w:type="paragraph" w:styleId="Titolo8">
    <w:name w:val="heading 8"/>
    <w:basedOn w:val="Normale"/>
    <w:next w:val="Normale"/>
    <w:link w:val="Titolo8Carattere"/>
    <w:qFormat/>
    <w:locked/>
    <w:rsid w:val="008007A8"/>
    <w:pPr>
      <w:keepNext/>
      <w:keepLines/>
      <w:numPr>
        <w:ilvl w:val="7"/>
        <w:numId w:val="1"/>
      </w:numPr>
      <w:spacing w:before="200"/>
      <w:outlineLvl w:val="7"/>
    </w:pPr>
    <w:rPr>
      <w:rFonts w:ascii="Cambria" w:hAnsi="Cambria"/>
      <w:color w:val="404040"/>
      <w:sz w:val="20"/>
      <w:szCs w:val="20"/>
    </w:rPr>
  </w:style>
  <w:style w:type="paragraph" w:styleId="Titolo9">
    <w:name w:val="heading 9"/>
    <w:basedOn w:val="Normale"/>
    <w:next w:val="Normale"/>
    <w:link w:val="Titolo9Carattere"/>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007A8"/>
    <w:rPr>
      <w:rFonts w:ascii="Arial" w:eastAsia="MS Mincho" w:hAnsi="Arial"/>
      <w:b/>
      <w:bCs/>
      <w:sz w:val="28"/>
      <w:szCs w:val="28"/>
    </w:rPr>
  </w:style>
  <w:style w:type="character" w:customStyle="1" w:styleId="Titolo2Carattere">
    <w:name w:val="Titolo 2 Carattere"/>
    <w:link w:val="Titolo2"/>
    <w:rsid w:val="008007A8"/>
    <w:rPr>
      <w:rFonts w:ascii="Arial" w:eastAsia="MS Mincho" w:hAnsi="Arial"/>
      <w:b/>
      <w:i/>
      <w:color w:val="000000"/>
      <w:sz w:val="28"/>
      <w:szCs w:val="26"/>
    </w:rPr>
  </w:style>
  <w:style w:type="character" w:customStyle="1" w:styleId="Titolo3Carattere">
    <w:name w:val="Titolo 3 Carattere"/>
    <w:link w:val="Titolo3"/>
    <w:rsid w:val="008007A8"/>
    <w:rPr>
      <w:rFonts w:ascii="Arial" w:eastAsia="MS Mincho" w:hAnsi="Arial"/>
      <w:bCs/>
      <w:i/>
      <w:sz w:val="24"/>
      <w:szCs w:val="26"/>
    </w:rPr>
  </w:style>
  <w:style w:type="character" w:customStyle="1" w:styleId="Titolo4Carattere">
    <w:name w:val="Titolo 4 Carattere"/>
    <w:link w:val="Titolo4"/>
    <w:rsid w:val="008007A8"/>
    <w:rPr>
      <w:rFonts w:ascii="Arial" w:eastAsia="MS Mincho" w:hAnsi="Arial"/>
      <w:iCs/>
      <w:sz w:val="24"/>
      <w:szCs w:val="26"/>
    </w:rPr>
  </w:style>
  <w:style w:type="character" w:styleId="Enfasigrassetto">
    <w:name w:val="Strong"/>
    <w:qFormat/>
    <w:locked/>
    <w:rsid w:val="000B0A5D"/>
    <w:rPr>
      <w:b/>
      <w:bCs/>
    </w:rPr>
  </w:style>
  <w:style w:type="character" w:customStyle="1" w:styleId="Titolo5Carattere">
    <w:name w:val="Titolo 5 Carattere"/>
    <w:link w:val="Titolo5"/>
    <w:rsid w:val="008007A8"/>
    <w:rPr>
      <w:rFonts w:ascii="Cambria" w:eastAsia="MS Mincho" w:hAnsi="Cambria"/>
      <w:color w:val="243F60"/>
      <w:sz w:val="24"/>
      <w:szCs w:val="24"/>
    </w:rPr>
  </w:style>
  <w:style w:type="character" w:customStyle="1" w:styleId="Titolo6Carattere">
    <w:name w:val="Titolo 6 Carattere"/>
    <w:link w:val="Titolo6"/>
    <w:rsid w:val="008007A8"/>
    <w:rPr>
      <w:rFonts w:ascii="Cambria" w:eastAsia="MS Mincho" w:hAnsi="Cambria"/>
      <w:i/>
      <w:iCs/>
      <w:color w:val="243F60"/>
      <w:sz w:val="24"/>
      <w:szCs w:val="24"/>
    </w:rPr>
  </w:style>
  <w:style w:type="character" w:customStyle="1" w:styleId="Titolo7Carattere">
    <w:name w:val="Titolo 7 Carattere"/>
    <w:link w:val="Titolo7"/>
    <w:rsid w:val="008007A8"/>
    <w:rPr>
      <w:rFonts w:ascii="Cambria" w:eastAsia="MS Mincho" w:hAnsi="Cambria"/>
      <w:i/>
      <w:iCs/>
      <w:color w:val="404040"/>
      <w:sz w:val="24"/>
      <w:szCs w:val="24"/>
    </w:rPr>
  </w:style>
  <w:style w:type="character" w:customStyle="1" w:styleId="Titolo8Carattere">
    <w:name w:val="Titolo 8 Carattere"/>
    <w:link w:val="Titolo8"/>
    <w:rsid w:val="008007A8"/>
    <w:rPr>
      <w:rFonts w:ascii="Cambria" w:eastAsia="MS Mincho" w:hAnsi="Cambria"/>
      <w:color w:val="404040"/>
    </w:rPr>
  </w:style>
  <w:style w:type="character" w:customStyle="1" w:styleId="Titolo9Carattere">
    <w:name w:val="Titolo 9 Carattere"/>
    <w:link w:val="Titolo9"/>
    <w:rsid w:val="008007A8"/>
    <w:rPr>
      <w:rFonts w:ascii="Cambria" w:eastAsia="MS Mincho" w:hAnsi="Cambria"/>
      <w:i/>
      <w:iCs/>
      <w:color w:val="404040"/>
    </w:rPr>
  </w:style>
  <w:style w:type="paragraph" w:styleId="Intestazione">
    <w:name w:val="header"/>
    <w:basedOn w:val="Normale"/>
    <w:link w:val="IntestazioneCarattere"/>
    <w:semiHidden/>
    <w:rsid w:val="0090165F"/>
    <w:pPr>
      <w:tabs>
        <w:tab w:val="center" w:pos="4513"/>
        <w:tab w:val="right" w:pos="9026"/>
      </w:tabs>
      <w:spacing w:after="0"/>
    </w:pPr>
    <w:rPr>
      <w:sz w:val="22"/>
    </w:rPr>
  </w:style>
  <w:style w:type="character" w:customStyle="1" w:styleId="IntestazioneCarattere">
    <w:name w:val="Intestazione Carattere"/>
    <w:link w:val="Intestazione"/>
    <w:rsid w:val="0090165F"/>
    <w:rPr>
      <w:rFonts w:ascii="Arial" w:hAnsi="Arial"/>
      <w:sz w:val="22"/>
      <w:szCs w:val="24"/>
      <w:lang w:val="en-AU" w:eastAsia="en-AU" w:bidi="ar-SA"/>
    </w:rPr>
  </w:style>
  <w:style w:type="paragraph" w:styleId="Pidipagina">
    <w:name w:val="footer"/>
    <w:basedOn w:val="Normale"/>
    <w:link w:val="PidipaginaCarattere"/>
    <w:uiPriority w:val="99"/>
    <w:semiHidden/>
    <w:rsid w:val="00B34946"/>
    <w:pPr>
      <w:tabs>
        <w:tab w:val="right" w:pos="2835"/>
        <w:tab w:val="right" w:pos="5670"/>
      </w:tabs>
      <w:spacing w:before="0" w:after="60"/>
    </w:pPr>
    <w:rPr>
      <w:color w:val="404040"/>
      <w:sz w:val="16"/>
    </w:rPr>
  </w:style>
  <w:style w:type="character" w:customStyle="1" w:styleId="PidipaginaCarattere">
    <w:name w:val="Piè di pagina Carattere"/>
    <w:link w:val="Pidipagina"/>
    <w:uiPriority w:val="99"/>
    <w:semiHidden/>
    <w:rsid w:val="00B34946"/>
    <w:rPr>
      <w:rFonts w:ascii="Arial" w:eastAsia="MS Mincho" w:hAnsi="Arial"/>
      <w:color w:val="404040"/>
      <w:sz w:val="16"/>
      <w:szCs w:val="24"/>
    </w:rPr>
  </w:style>
  <w:style w:type="paragraph" w:styleId="Sommario3">
    <w:name w:val="toc 3"/>
    <w:basedOn w:val="Normale"/>
    <w:next w:val="Normale"/>
    <w:autoRedefine/>
    <w:uiPriority w:val="39"/>
    <w:qFormat/>
    <w:locked/>
    <w:rsid w:val="00A92F92"/>
    <w:pPr>
      <w:tabs>
        <w:tab w:val="left" w:pos="1202"/>
        <w:tab w:val="right" w:leader="dot" w:pos="9060"/>
      </w:tabs>
      <w:spacing w:before="0" w:after="0"/>
      <w:ind w:left="1202" w:hanging="720"/>
    </w:pPr>
    <w:rPr>
      <w:rFonts w:cs="Arial"/>
      <w:i/>
      <w:noProof/>
    </w:rPr>
  </w:style>
  <w:style w:type="character" w:styleId="Testosegnaposto">
    <w:name w:val="Placeholder Text"/>
    <w:uiPriority w:val="99"/>
    <w:semiHidden/>
    <w:locked/>
    <w:rsid w:val="005D1F34"/>
    <w:rPr>
      <w:color w:val="808080"/>
    </w:rPr>
  </w:style>
  <w:style w:type="paragraph" w:styleId="Elencocontinua4">
    <w:name w:val="List Continue 4"/>
    <w:basedOn w:val="Normale"/>
    <w:semiHidden/>
    <w:locked/>
    <w:rsid w:val="0090165F"/>
    <w:pPr>
      <w:spacing w:after="120"/>
      <w:ind w:left="1132"/>
    </w:pPr>
  </w:style>
  <w:style w:type="numbering" w:styleId="111111">
    <w:name w:val="Outline List 2"/>
    <w:basedOn w:val="Nessunelenco"/>
    <w:semiHidden/>
    <w:locked/>
    <w:rsid w:val="00E45954"/>
    <w:pPr>
      <w:numPr>
        <w:numId w:val="12"/>
      </w:numPr>
    </w:pPr>
  </w:style>
  <w:style w:type="paragraph" w:styleId="Sommario1">
    <w:name w:val="toc 1"/>
    <w:basedOn w:val="Normale"/>
    <w:next w:val="Normale"/>
    <w:autoRedefine/>
    <w:uiPriority w:val="39"/>
    <w:qFormat/>
    <w:locked/>
    <w:rsid w:val="00A92F92"/>
    <w:pPr>
      <w:tabs>
        <w:tab w:val="right" w:leader="dot" w:pos="9060"/>
      </w:tabs>
      <w:spacing w:after="0"/>
      <w:ind w:left="720" w:hanging="720"/>
    </w:pPr>
    <w:rPr>
      <w:b/>
      <w:noProof/>
      <w:sz w:val="22"/>
    </w:rPr>
  </w:style>
  <w:style w:type="paragraph" w:styleId="Sommario2">
    <w:name w:val="toc 2"/>
    <w:basedOn w:val="Normale"/>
    <w:next w:val="Normale"/>
    <w:autoRedefine/>
    <w:uiPriority w:val="39"/>
    <w:qFormat/>
    <w:locked/>
    <w:rsid w:val="00A92F92"/>
    <w:pPr>
      <w:tabs>
        <w:tab w:val="right" w:leader="dot" w:pos="9060"/>
      </w:tabs>
      <w:spacing w:before="0" w:after="0"/>
      <w:ind w:left="958" w:hanging="720"/>
    </w:pPr>
    <w:rPr>
      <w:b/>
      <w:i/>
      <w:noProof/>
    </w:rPr>
  </w:style>
  <w:style w:type="paragraph" w:styleId="Sommario4">
    <w:name w:val="toc 4"/>
    <w:basedOn w:val="Normale"/>
    <w:next w:val="Normale"/>
    <w:autoRedefine/>
    <w:uiPriority w:val="39"/>
    <w:semiHidden/>
    <w:locked/>
    <w:rsid w:val="00814FC0"/>
    <w:pPr>
      <w:tabs>
        <w:tab w:val="left" w:pos="1440"/>
        <w:tab w:val="right" w:leader="dot" w:pos="9060"/>
      </w:tabs>
      <w:spacing w:before="0" w:after="0"/>
      <w:ind w:left="1440" w:hanging="720"/>
    </w:pPr>
    <w:rPr>
      <w:noProof/>
    </w:rPr>
  </w:style>
  <w:style w:type="character" w:styleId="Collegamentoipertestuale">
    <w:name w:val="Hyperlink"/>
    <w:uiPriority w:val="99"/>
    <w:unhideWhenUsed/>
    <w:locked/>
    <w:rsid w:val="0024557E"/>
    <w:rPr>
      <w:color w:val="0000FF"/>
      <w:u w:val="single"/>
    </w:rPr>
  </w:style>
  <w:style w:type="paragraph" w:styleId="Titolosommario">
    <w:name w:val="TOC Heading"/>
    <w:basedOn w:val="Normale"/>
    <w:next w:val="Normale"/>
    <w:uiPriority w:val="39"/>
    <w:qFormat/>
    <w:locked/>
    <w:rsid w:val="007540BF"/>
    <w:pPr>
      <w:spacing w:before="0" w:after="360"/>
    </w:pPr>
    <w:rPr>
      <w:b/>
      <w:color w:val="000000"/>
      <w:lang w:val="en-US" w:eastAsia="en-US"/>
    </w:rPr>
  </w:style>
  <w:style w:type="paragraph" w:styleId="Testonotadichiusura">
    <w:name w:val="endnote text"/>
    <w:basedOn w:val="Normale"/>
    <w:link w:val="TestonotadichiusuraCarattere"/>
    <w:semiHidden/>
    <w:rsid w:val="000E130A"/>
    <w:pPr>
      <w:spacing w:before="0" w:after="0"/>
    </w:pPr>
    <w:rPr>
      <w:sz w:val="20"/>
      <w:szCs w:val="20"/>
    </w:rPr>
  </w:style>
  <w:style w:type="character" w:customStyle="1" w:styleId="TestonotadichiusuraCarattere">
    <w:name w:val="Testo nota di chiusura Carattere"/>
    <w:link w:val="Testonotadichiusura"/>
    <w:rsid w:val="000E130A"/>
    <w:rPr>
      <w:rFonts w:ascii="Arial" w:eastAsia="MS Mincho" w:hAnsi="Arial"/>
      <w:lang w:val="en-AU" w:eastAsia="en-AU" w:bidi="ar-SA"/>
    </w:rPr>
  </w:style>
  <w:style w:type="character" w:styleId="Rimandonotadichiusura">
    <w:name w:val="endnote reference"/>
    <w:semiHidden/>
    <w:rsid w:val="000A1DB8"/>
    <w:rPr>
      <w:rFonts w:ascii="Arial" w:hAnsi="Arial"/>
      <w:sz w:val="20"/>
      <w:vertAlign w:val="superscript"/>
    </w:rPr>
  </w:style>
  <w:style w:type="numbering" w:styleId="1ai">
    <w:name w:val="Outline List 1"/>
    <w:basedOn w:val="Nessunelenco"/>
    <w:semiHidden/>
    <w:locked/>
    <w:rsid w:val="00E45954"/>
    <w:pPr>
      <w:numPr>
        <w:numId w:val="13"/>
      </w:numPr>
    </w:pPr>
  </w:style>
  <w:style w:type="numbering" w:styleId="ArticoloSezione">
    <w:name w:val="Outline List 3"/>
    <w:basedOn w:val="Nessunelenco"/>
    <w:semiHidden/>
    <w:locked/>
    <w:rsid w:val="00E45954"/>
    <w:pPr>
      <w:numPr>
        <w:numId w:val="14"/>
      </w:numPr>
    </w:pPr>
  </w:style>
  <w:style w:type="paragraph" w:styleId="Testodelblocco">
    <w:name w:val="Block Text"/>
    <w:basedOn w:val="Normale"/>
    <w:semiHidden/>
    <w:locked/>
    <w:rsid w:val="00E45954"/>
    <w:pPr>
      <w:spacing w:after="120"/>
      <w:ind w:left="1440" w:right="1440"/>
    </w:pPr>
  </w:style>
  <w:style w:type="paragraph" w:styleId="Corpotesto">
    <w:name w:val="Body Text"/>
    <w:basedOn w:val="Normale"/>
    <w:uiPriority w:val="1"/>
    <w:qFormat/>
    <w:locked/>
    <w:rsid w:val="00E45954"/>
    <w:pPr>
      <w:spacing w:after="120"/>
    </w:pPr>
  </w:style>
  <w:style w:type="paragraph" w:styleId="Corpodeltesto2">
    <w:name w:val="Body Text 2"/>
    <w:basedOn w:val="Normale"/>
    <w:semiHidden/>
    <w:locked/>
    <w:rsid w:val="00E45954"/>
    <w:pPr>
      <w:spacing w:after="120" w:line="480" w:lineRule="auto"/>
    </w:pPr>
  </w:style>
  <w:style w:type="paragraph" w:styleId="Corpodeltesto3">
    <w:name w:val="Body Text 3"/>
    <w:basedOn w:val="Normale"/>
    <w:semiHidden/>
    <w:locked/>
    <w:rsid w:val="00E45954"/>
    <w:pPr>
      <w:spacing w:after="120"/>
    </w:pPr>
    <w:rPr>
      <w:sz w:val="16"/>
      <w:szCs w:val="16"/>
    </w:rPr>
  </w:style>
  <w:style w:type="paragraph" w:styleId="Primorientrocorpodeltesto">
    <w:name w:val="Body Text First Indent"/>
    <w:basedOn w:val="Corpotesto"/>
    <w:semiHidden/>
    <w:locked/>
    <w:rsid w:val="00E45954"/>
    <w:pPr>
      <w:ind w:firstLine="210"/>
    </w:pPr>
  </w:style>
  <w:style w:type="paragraph" w:styleId="Rientrocorpodeltesto">
    <w:name w:val="Body Text Indent"/>
    <w:basedOn w:val="Normale"/>
    <w:semiHidden/>
    <w:locked/>
    <w:rsid w:val="00E45954"/>
    <w:pPr>
      <w:spacing w:after="120"/>
      <w:ind w:left="283"/>
    </w:pPr>
  </w:style>
  <w:style w:type="paragraph" w:styleId="Primorientrocorpodeltesto2">
    <w:name w:val="Body Text First Indent 2"/>
    <w:basedOn w:val="Rientrocorpodeltesto"/>
    <w:semiHidden/>
    <w:locked/>
    <w:rsid w:val="00E45954"/>
    <w:pPr>
      <w:ind w:firstLine="210"/>
    </w:pPr>
  </w:style>
  <w:style w:type="paragraph" w:styleId="Rientrocorpodeltesto2">
    <w:name w:val="Body Text Indent 2"/>
    <w:basedOn w:val="Normale"/>
    <w:semiHidden/>
    <w:locked/>
    <w:rsid w:val="00E45954"/>
    <w:pPr>
      <w:spacing w:after="120" w:line="480" w:lineRule="auto"/>
      <w:ind w:left="283"/>
    </w:pPr>
  </w:style>
  <w:style w:type="paragraph" w:styleId="Rientrocorpodeltesto3">
    <w:name w:val="Body Text Indent 3"/>
    <w:basedOn w:val="Normale"/>
    <w:semiHidden/>
    <w:locked/>
    <w:rsid w:val="00E45954"/>
    <w:pPr>
      <w:spacing w:after="120"/>
      <w:ind w:left="283"/>
    </w:pPr>
    <w:rPr>
      <w:sz w:val="16"/>
      <w:szCs w:val="16"/>
    </w:rPr>
  </w:style>
  <w:style w:type="paragraph" w:styleId="Formuladichiusura">
    <w:name w:val="Closing"/>
    <w:basedOn w:val="Normale"/>
    <w:semiHidden/>
    <w:locked/>
    <w:rsid w:val="00E45954"/>
    <w:pPr>
      <w:ind w:left="4252"/>
    </w:pPr>
  </w:style>
  <w:style w:type="paragraph" w:styleId="Data">
    <w:name w:val="Date"/>
    <w:basedOn w:val="Normale"/>
    <w:next w:val="Normale"/>
    <w:semiHidden/>
    <w:locked/>
    <w:rsid w:val="00C33104"/>
    <w:pPr>
      <w:spacing w:before="120" w:after="120"/>
      <w:jc w:val="right"/>
    </w:pPr>
    <w:rPr>
      <w:color w:val="595959"/>
      <w:sz w:val="26"/>
    </w:rPr>
  </w:style>
  <w:style w:type="paragraph" w:styleId="Firmadipostaelettronica">
    <w:name w:val="E-mail Signature"/>
    <w:basedOn w:val="Normale"/>
    <w:semiHidden/>
    <w:locked/>
    <w:rsid w:val="00E45954"/>
  </w:style>
  <w:style w:type="character" w:styleId="Enfasicorsivo">
    <w:name w:val="Emphasis"/>
    <w:uiPriority w:val="20"/>
    <w:qFormat/>
    <w:locked/>
    <w:rsid w:val="00E45954"/>
    <w:rPr>
      <w:i/>
      <w:iCs/>
    </w:rPr>
  </w:style>
  <w:style w:type="paragraph" w:styleId="Indirizzodestinatario">
    <w:name w:val="envelope address"/>
    <w:basedOn w:val="Normale"/>
    <w:semiHidden/>
    <w:locked/>
    <w:rsid w:val="000A1DB8"/>
    <w:pPr>
      <w:framePr w:w="7920" w:h="1980" w:hRule="exact" w:hSpace="180" w:wrap="auto" w:hAnchor="page" w:xAlign="center" w:yAlign="bottom"/>
      <w:spacing w:before="0" w:after="0"/>
      <w:ind w:left="2880"/>
    </w:pPr>
    <w:rPr>
      <w:rFonts w:cs="Arial"/>
    </w:rPr>
  </w:style>
  <w:style w:type="paragraph" w:styleId="Indirizzomittente">
    <w:name w:val="envelope return"/>
    <w:basedOn w:val="Normale"/>
    <w:semiHidden/>
    <w:locked/>
    <w:rsid w:val="00E45954"/>
    <w:rPr>
      <w:rFonts w:cs="Arial"/>
      <w:sz w:val="20"/>
      <w:szCs w:val="20"/>
    </w:rPr>
  </w:style>
  <w:style w:type="character" w:styleId="Rimandonotaapidipagina">
    <w:name w:val="footnote reference"/>
    <w:semiHidden/>
    <w:rsid w:val="000A1DB8"/>
    <w:rPr>
      <w:rFonts w:ascii="Arial" w:hAnsi="Arial"/>
      <w:sz w:val="20"/>
      <w:vertAlign w:val="superscript"/>
    </w:rPr>
  </w:style>
  <w:style w:type="paragraph" w:styleId="Testonotaapidipagina">
    <w:name w:val="footnote text"/>
    <w:basedOn w:val="Normale"/>
    <w:link w:val="TestonotaapidipaginaCarattere"/>
    <w:semiHidden/>
    <w:rsid w:val="000E130A"/>
    <w:pPr>
      <w:spacing w:before="0" w:after="0"/>
    </w:pPr>
    <w:rPr>
      <w:sz w:val="20"/>
      <w:szCs w:val="20"/>
    </w:rPr>
  </w:style>
  <w:style w:type="character" w:styleId="AcronimoHTML">
    <w:name w:val="HTML Acronym"/>
    <w:basedOn w:val="Carpredefinitoparagrafo"/>
    <w:semiHidden/>
    <w:locked/>
    <w:rsid w:val="00E45954"/>
  </w:style>
  <w:style w:type="paragraph" w:styleId="IndirizzoHTML">
    <w:name w:val="HTML Address"/>
    <w:basedOn w:val="Normale"/>
    <w:semiHidden/>
    <w:locked/>
    <w:rsid w:val="00E45954"/>
    <w:rPr>
      <w:i/>
      <w:iCs/>
    </w:rPr>
  </w:style>
  <w:style w:type="character" w:styleId="CitazioneHTML">
    <w:name w:val="HTML Cite"/>
    <w:semiHidden/>
    <w:locked/>
    <w:rsid w:val="00E45954"/>
    <w:rPr>
      <w:i/>
      <w:iCs/>
    </w:rPr>
  </w:style>
  <w:style w:type="character" w:styleId="CodiceHTML">
    <w:name w:val="HTML Code"/>
    <w:semiHidden/>
    <w:locked/>
    <w:rsid w:val="00E45954"/>
    <w:rPr>
      <w:rFonts w:ascii="Courier New" w:hAnsi="Courier New" w:cs="Courier New"/>
      <w:sz w:val="20"/>
      <w:szCs w:val="20"/>
    </w:rPr>
  </w:style>
  <w:style w:type="character" w:styleId="DefinizioneHTML">
    <w:name w:val="HTML Definition"/>
    <w:semiHidden/>
    <w:locked/>
    <w:rsid w:val="00E45954"/>
    <w:rPr>
      <w:i/>
      <w:iCs/>
    </w:rPr>
  </w:style>
  <w:style w:type="character" w:styleId="TastieraHTML">
    <w:name w:val="HTML Keyboard"/>
    <w:semiHidden/>
    <w:locked/>
    <w:rsid w:val="00E45954"/>
    <w:rPr>
      <w:rFonts w:ascii="Courier New" w:hAnsi="Courier New" w:cs="Courier New"/>
      <w:sz w:val="20"/>
      <w:szCs w:val="20"/>
    </w:rPr>
  </w:style>
  <w:style w:type="paragraph" w:styleId="PreformattatoHTML">
    <w:name w:val="HTML Preformatted"/>
    <w:basedOn w:val="Normale"/>
    <w:semiHidden/>
    <w:locked/>
    <w:rsid w:val="00E45954"/>
    <w:rPr>
      <w:rFonts w:ascii="Courier New" w:hAnsi="Courier New" w:cs="Courier New"/>
      <w:sz w:val="20"/>
      <w:szCs w:val="20"/>
    </w:rPr>
  </w:style>
  <w:style w:type="character" w:styleId="EsempioHTML">
    <w:name w:val="HTML Sample"/>
    <w:semiHidden/>
    <w:locked/>
    <w:rsid w:val="00E45954"/>
    <w:rPr>
      <w:rFonts w:ascii="Courier New" w:hAnsi="Courier New" w:cs="Courier New"/>
    </w:rPr>
  </w:style>
  <w:style w:type="character" w:styleId="MacchinadascrivereHTML">
    <w:name w:val="HTML Typewriter"/>
    <w:semiHidden/>
    <w:locked/>
    <w:rsid w:val="00E45954"/>
    <w:rPr>
      <w:rFonts w:ascii="Courier New" w:hAnsi="Courier New" w:cs="Courier New"/>
      <w:sz w:val="20"/>
      <w:szCs w:val="20"/>
    </w:rPr>
  </w:style>
  <w:style w:type="character" w:styleId="VariabileHTML">
    <w:name w:val="HTML Variable"/>
    <w:semiHidden/>
    <w:locked/>
    <w:rsid w:val="00E45954"/>
    <w:rPr>
      <w:i/>
      <w:iCs/>
    </w:rPr>
  </w:style>
  <w:style w:type="character" w:styleId="Numeroriga">
    <w:name w:val="line number"/>
    <w:basedOn w:val="Carpredefinitoparagrafo"/>
    <w:semiHidden/>
    <w:locked/>
    <w:rsid w:val="00E45954"/>
  </w:style>
  <w:style w:type="paragraph" w:styleId="Elenco">
    <w:name w:val="List"/>
    <w:basedOn w:val="Normale"/>
    <w:semiHidden/>
    <w:locked/>
    <w:rsid w:val="00E45954"/>
    <w:pPr>
      <w:ind w:left="283" w:hanging="283"/>
    </w:pPr>
  </w:style>
  <w:style w:type="paragraph" w:styleId="Elenco2">
    <w:name w:val="List 2"/>
    <w:basedOn w:val="Normale"/>
    <w:semiHidden/>
    <w:locked/>
    <w:rsid w:val="00E45954"/>
    <w:pPr>
      <w:ind w:left="566" w:hanging="283"/>
    </w:pPr>
  </w:style>
  <w:style w:type="paragraph" w:styleId="Elenco3">
    <w:name w:val="List 3"/>
    <w:basedOn w:val="Normale"/>
    <w:semiHidden/>
    <w:locked/>
    <w:rsid w:val="00E45954"/>
    <w:pPr>
      <w:ind w:left="849" w:hanging="283"/>
    </w:pPr>
  </w:style>
  <w:style w:type="paragraph" w:styleId="Elenco4">
    <w:name w:val="List 4"/>
    <w:basedOn w:val="Normale"/>
    <w:semiHidden/>
    <w:locked/>
    <w:rsid w:val="00E45954"/>
    <w:pPr>
      <w:ind w:left="1132" w:hanging="283"/>
    </w:pPr>
  </w:style>
  <w:style w:type="paragraph" w:styleId="Elenco5">
    <w:name w:val="List 5"/>
    <w:basedOn w:val="Normale"/>
    <w:semiHidden/>
    <w:locked/>
    <w:rsid w:val="00E45954"/>
    <w:pPr>
      <w:ind w:left="1415" w:hanging="283"/>
    </w:pPr>
  </w:style>
  <w:style w:type="paragraph" w:styleId="Puntoelenco">
    <w:name w:val="List Bullet"/>
    <w:basedOn w:val="Normale"/>
    <w:semiHidden/>
    <w:locked/>
    <w:rsid w:val="00E45954"/>
    <w:pPr>
      <w:numPr>
        <w:numId w:val="2"/>
      </w:numPr>
    </w:pPr>
  </w:style>
  <w:style w:type="paragraph" w:styleId="Puntoelenco2">
    <w:name w:val="List Bullet 2"/>
    <w:basedOn w:val="Normale"/>
    <w:semiHidden/>
    <w:locked/>
    <w:rsid w:val="00E45954"/>
    <w:pPr>
      <w:numPr>
        <w:numId w:val="3"/>
      </w:numPr>
    </w:pPr>
  </w:style>
  <w:style w:type="paragraph" w:styleId="Puntoelenco3">
    <w:name w:val="List Bullet 3"/>
    <w:basedOn w:val="Normale"/>
    <w:semiHidden/>
    <w:locked/>
    <w:rsid w:val="00E45954"/>
    <w:pPr>
      <w:numPr>
        <w:numId w:val="4"/>
      </w:numPr>
    </w:pPr>
  </w:style>
  <w:style w:type="paragraph" w:styleId="Puntoelenco4">
    <w:name w:val="List Bullet 4"/>
    <w:basedOn w:val="Normale"/>
    <w:semiHidden/>
    <w:locked/>
    <w:rsid w:val="00E45954"/>
    <w:pPr>
      <w:numPr>
        <w:numId w:val="5"/>
      </w:numPr>
    </w:pPr>
  </w:style>
  <w:style w:type="paragraph" w:styleId="Puntoelenco5">
    <w:name w:val="List Bullet 5"/>
    <w:basedOn w:val="Normale"/>
    <w:semiHidden/>
    <w:locked/>
    <w:rsid w:val="00E45954"/>
    <w:pPr>
      <w:numPr>
        <w:numId w:val="6"/>
      </w:numPr>
    </w:pPr>
  </w:style>
  <w:style w:type="paragraph" w:styleId="Elencocontinua">
    <w:name w:val="List Continue"/>
    <w:basedOn w:val="Normale"/>
    <w:semiHidden/>
    <w:locked/>
    <w:rsid w:val="00E45954"/>
    <w:pPr>
      <w:spacing w:after="120"/>
      <w:ind w:left="283"/>
    </w:pPr>
  </w:style>
  <w:style w:type="paragraph" w:styleId="Elencocontinua2">
    <w:name w:val="List Continue 2"/>
    <w:basedOn w:val="Normale"/>
    <w:semiHidden/>
    <w:locked/>
    <w:rsid w:val="00E45954"/>
    <w:pPr>
      <w:spacing w:after="120"/>
      <w:ind w:left="566"/>
    </w:pPr>
  </w:style>
  <w:style w:type="paragraph" w:styleId="Elencocontinua3">
    <w:name w:val="List Continue 3"/>
    <w:basedOn w:val="Normale"/>
    <w:semiHidden/>
    <w:locked/>
    <w:rsid w:val="00E45954"/>
    <w:pPr>
      <w:spacing w:after="120"/>
      <w:ind w:left="849"/>
    </w:pPr>
  </w:style>
  <w:style w:type="paragraph" w:styleId="Elencocontinua5">
    <w:name w:val="List Continue 5"/>
    <w:basedOn w:val="Normale"/>
    <w:semiHidden/>
    <w:locked/>
    <w:rsid w:val="00E45954"/>
    <w:pPr>
      <w:spacing w:after="120"/>
      <w:ind w:left="1415"/>
    </w:pPr>
  </w:style>
  <w:style w:type="paragraph" w:styleId="Numeroelenco">
    <w:name w:val="List Number"/>
    <w:basedOn w:val="Normale"/>
    <w:semiHidden/>
    <w:locked/>
    <w:rsid w:val="00E45954"/>
    <w:pPr>
      <w:numPr>
        <w:numId w:val="7"/>
      </w:numPr>
    </w:pPr>
  </w:style>
  <w:style w:type="paragraph" w:styleId="Numeroelenco2">
    <w:name w:val="List Number 2"/>
    <w:basedOn w:val="Normale"/>
    <w:semiHidden/>
    <w:locked/>
    <w:rsid w:val="00E45954"/>
    <w:pPr>
      <w:numPr>
        <w:numId w:val="10"/>
      </w:numPr>
    </w:pPr>
  </w:style>
  <w:style w:type="paragraph" w:styleId="Numeroelenco3">
    <w:name w:val="List Number 3"/>
    <w:basedOn w:val="Normale"/>
    <w:semiHidden/>
    <w:locked/>
    <w:rsid w:val="00E45954"/>
    <w:pPr>
      <w:numPr>
        <w:numId w:val="11"/>
      </w:numPr>
    </w:pPr>
  </w:style>
  <w:style w:type="paragraph" w:styleId="Numeroelenco4">
    <w:name w:val="List Number 4"/>
    <w:basedOn w:val="Normale"/>
    <w:semiHidden/>
    <w:locked/>
    <w:rsid w:val="00E45954"/>
    <w:pPr>
      <w:numPr>
        <w:numId w:val="8"/>
      </w:numPr>
    </w:pPr>
  </w:style>
  <w:style w:type="paragraph" w:styleId="Numeroelenco5">
    <w:name w:val="List Number 5"/>
    <w:basedOn w:val="Normale"/>
    <w:semiHidden/>
    <w:locked/>
    <w:rsid w:val="00E45954"/>
    <w:pPr>
      <w:numPr>
        <w:numId w:val="9"/>
      </w:numPr>
    </w:pPr>
  </w:style>
  <w:style w:type="paragraph" w:styleId="Intestazionemessaggio">
    <w:name w:val="Message Header"/>
    <w:basedOn w:val="Normale"/>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eWeb">
    <w:name w:val="Normal (Web)"/>
    <w:basedOn w:val="Normale"/>
    <w:uiPriority w:val="99"/>
    <w:semiHidden/>
    <w:locked/>
    <w:rsid w:val="00E45954"/>
    <w:rPr>
      <w:rFonts w:ascii="Times New Roman" w:hAnsi="Times New Roman"/>
    </w:rPr>
  </w:style>
  <w:style w:type="paragraph" w:styleId="Rientronormale">
    <w:name w:val="Normal Indent"/>
    <w:basedOn w:val="Normale"/>
    <w:semiHidden/>
    <w:locked/>
    <w:rsid w:val="00E45954"/>
    <w:pPr>
      <w:ind w:left="720"/>
    </w:pPr>
  </w:style>
  <w:style w:type="paragraph" w:styleId="Intestazionenota">
    <w:name w:val="Note Heading"/>
    <w:basedOn w:val="Normale"/>
    <w:next w:val="Normale"/>
    <w:semiHidden/>
    <w:locked/>
    <w:rsid w:val="00E45954"/>
  </w:style>
  <w:style w:type="character" w:styleId="Numeropagina">
    <w:name w:val="page number"/>
    <w:basedOn w:val="Carpredefinitoparagrafo"/>
    <w:semiHidden/>
    <w:locked/>
    <w:rsid w:val="00E45954"/>
  </w:style>
  <w:style w:type="paragraph" w:styleId="Testonormale">
    <w:name w:val="Plain Text"/>
    <w:basedOn w:val="Normale"/>
    <w:semiHidden/>
    <w:locked/>
    <w:rsid w:val="00E45954"/>
    <w:rPr>
      <w:rFonts w:ascii="Courier New" w:hAnsi="Courier New" w:cs="Courier New"/>
      <w:sz w:val="20"/>
      <w:szCs w:val="20"/>
    </w:rPr>
  </w:style>
  <w:style w:type="paragraph" w:styleId="Formuladiapertura">
    <w:name w:val="Salutation"/>
    <w:basedOn w:val="Normale"/>
    <w:next w:val="Normale"/>
    <w:semiHidden/>
    <w:locked/>
    <w:rsid w:val="00E45954"/>
  </w:style>
  <w:style w:type="paragraph" w:styleId="Firma">
    <w:name w:val="Signature"/>
    <w:basedOn w:val="Normale"/>
    <w:semiHidden/>
    <w:locked/>
    <w:rsid w:val="00E45954"/>
    <w:pPr>
      <w:ind w:left="4252"/>
    </w:pPr>
  </w:style>
  <w:style w:type="paragraph" w:styleId="Sottotitolo">
    <w:name w:val="Subtitle"/>
    <w:basedOn w:val="Normale"/>
    <w:link w:val="SottotitoloCarattere"/>
    <w:qFormat/>
    <w:locked/>
    <w:rsid w:val="00323C73"/>
    <w:pPr>
      <w:spacing w:before="40" w:after="0"/>
      <w:jc w:val="right"/>
      <w:outlineLvl w:val="1"/>
    </w:pPr>
    <w:rPr>
      <w:rFonts w:cs="Arial"/>
      <w:b/>
      <w:caps/>
      <w:sz w:val="26"/>
    </w:rPr>
  </w:style>
  <w:style w:type="table" w:styleId="Tabellaeffetti3D1">
    <w:name w:val="Table 3D effects 1"/>
    <w:basedOn w:val="Tabellanormale"/>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qFormat/>
    <w:locked/>
    <w:rsid w:val="00E45954"/>
    <w:pPr>
      <w:spacing w:after="60"/>
      <w:jc w:val="center"/>
      <w:outlineLvl w:val="0"/>
    </w:pPr>
    <w:rPr>
      <w:rFonts w:cs="Arial"/>
      <w:b/>
      <w:bCs/>
      <w:kern w:val="28"/>
      <w:sz w:val="32"/>
      <w:szCs w:val="32"/>
    </w:rPr>
  </w:style>
  <w:style w:type="character" w:styleId="Collegamentovisitato">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e"/>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Intestazione"/>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Testofumetto">
    <w:name w:val="Balloon Text"/>
    <w:basedOn w:val="Normale"/>
    <w:link w:val="TestofumettoCarattere"/>
    <w:semiHidden/>
    <w:locked/>
    <w:rsid w:val="00A96892"/>
    <w:pPr>
      <w:spacing w:before="0" w:after="0"/>
    </w:pPr>
    <w:rPr>
      <w:rFonts w:ascii="Tahoma" w:hAnsi="Tahoma" w:cs="Tahoma"/>
      <w:sz w:val="16"/>
      <w:szCs w:val="16"/>
    </w:rPr>
  </w:style>
  <w:style w:type="character" w:customStyle="1" w:styleId="TestofumettoCarattere">
    <w:name w:val="Testo fumetto Carattere"/>
    <w:link w:val="Testofumetto"/>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ottotitoloCarattere">
    <w:name w:val="Sottotitolo Carattere"/>
    <w:link w:val="Sottotitolo"/>
    <w:rsid w:val="00323C73"/>
    <w:rPr>
      <w:rFonts w:ascii="Arial" w:eastAsia="MS Mincho" w:hAnsi="Arial" w:cs="Arial"/>
      <w:b/>
      <w:caps/>
      <w:sz w:val="26"/>
      <w:szCs w:val="24"/>
    </w:rPr>
  </w:style>
  <w:style w:type="paragraph" w:customStyle="1" w:styleId="SubmissionNormal">
    <w:name w:val="Submission Normal"/>
    <w:basedOn w:val="Normale"/>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Pidipagina"/>
    <w:qFormat/>
    <w:rsid w:val="00730BD2"/>
    <w:pPr>
      <w:spacing w:after="40"/>
    </w:pPr>
    <w:rPr>
      <w:szCs w:val="16"/>
    </w:rPr>
  </w:style>
  <w:style w:type="paragraph" w:customStyle="1" w:styleId="coveraddress">
    <w:name w:val="cover address"/>
    <w:basedOn w:val="coveraddresses"/>
    <w:qFormat/>
    <w:rsid w:val="00730BD2"/>
  </w:style>
  <w:style w:type="table" w:customStyle="1" w:styleId="TableNormal1">
    <w:name w:val="Table Normal1"/>
    <w:uiPriority w:val="2"/>
    <w:semiHidden/>
    <w:unhideWhenUsed/>
    <w:qFormat/>
    <w:rsid w:val="0016243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6243D"/>
    <w:pPr>
      <w:widowControl w:val="0"/>
      <w:autoSpaceDE w:val="0"/>
      <w:autoSpaceDN w:val="0"/>
      <w:spacing w:before="0" w:after="0"/>
    </w:pPr>
    <w:rPr>
      <w:rFonts w:ascii="Arial Narrow" w:eastAsia="Arial Narrow" w:hAnsi="Arial Narrow" w:cs="Arial Narrow"/>
      <w:sz w:val="22"/>
      <w:szCs w:val="22"/>
      <w:lang w:eastAsia="en-US"/>
    </w:rPr>
  </w:style>
  <w:style w:type="paragraph" w:styleId="Paragrafoelenco">
    <w:name w:val="List Paragraph"/>
    <w:aliases w:val="L,List Paragraph1,List Paragraph11,Recommendation,EOT List Paragraph,Bullet point,List Paragraph Number,First level bullet point"/>
    <w:basedOn w:val="Normale"/>
    <w:link w:val="ParagrafoelencoCarattere"/>
    <w:uiPriority w:val="34"/>
    <w:qFormat/>
    <w:rsid w:val="009B70E1"/>
    <w:pPr>
      <w:ind w:left="720"/>
    </w:pPr>
  </w:style>
  <w:style w:type="character" w:customStyle="1" w:styleId="TestonotaapidipaginaCarattere">
    <w:name w:val="Testo nota a piè di pagina Carattere"/>
    <w:link w:val="Testonotaapidipagina"/>
    <w:semiHidden/>
    <w:rsid w:val="007E3022"/>
    <w:rPr>
      <w:rFonts w:ascii="Arial" w:eastAsia="MS Mincho" w:hAnsi="Arial"/>
    </w:rPr>
  </w:style>
  <w:style w:type="character" w:customStyle="1" w:styleId="ParagrafoelencoCarattere">
    <w:name w:val="Paragrafo elenco Carattere"/>
    <w:aliases w:val="L Carattere,List Paragraph1 Carattere,List Paragraph11 Carattere,Recommendation Carattere,EOT List Paragraph Carattere,Bullet point Carattere,List Paragraph Number Carattere,First level bullet point Carattere"/>
    <w:link w:val="Paragrafoelenco"/>
    <w:uiPriority w:val="34"/>
    <w:rsid w:val="007E3022"/>
    <w:rPr>
      <w:rFonts w:ascii="Arial" w:eastAsia="MS Mincho" w:hAnsi="Arial"/>
      <w:sz w:val="24"/>
      <w:szCs w:val="24"/>
    </w:rPr>
  </w:style>
  <w:style w:type="character" w:styleId="Rimandocommento">
    <w:name w:val="annotation reference"/>
    <w:basedOn w:val="Carpredefinitoparagrafo"/>
    <w:locked/>
    <w:rsid w:val="00824482"/>
    <w:rPr>
      <w:sz w:val="16"/>
      <w:szCs w:val="16"/>
    </w:rPr>
  </w:style>
  <w:style w:type="paragraph" w:styleId="Testocommento">
    <w:name w:val="annotation text"/>
    <w:basedOn w:val="Normale"/>
    <w:link w:val="TestocommentoCarattere"/>
    <w:locked/>
    <w:rsid w:val="00824482"/>
    <w:rPr>
      <w:sz w:val="20"/>
      <w:szCs w:val="20"/>
    </w:rPr>
  </w:style>
  <w:style w:type="character" w:customStyle="1" w:styleId="TestocommentoCarattere">
    <w:name w:val="Testo commento Carattere"/>
    <w:basedOn w:val="Carpredefinitoparagrafo"/>
    <w:link w:val="Testocommento"/>
    <w:rsid w:val="00824482"/>
    <w:rPr>
      <w:rFonts w:ascii="Arial" w:eastAsia="MS Mincho" w:hAnsi="Arial"/>
    </w:rPr>
  </w:style>
  <w:style w:type="paragraph" w:styleId="Soggettocommento">
    <w:name w:val="annotation subject"/>
    <w:basedOn w:val="Testocommento"/>
    <w:next w:val="Testocommento"/>
    <w:link w:val="SoggettocommentoCarattere"/>
    <w:locked/>
    <w:rsid w:val="00824482"/>
    <w:rPr>
      <w:b/>
      <w:bCs/>
    </w:rPr>
  </w:style>
  <w:style w:type="character" w:customStyle="1" w:styleId="SoggettocommentoCarattere">
    <w:name w:val="Soggetto commento Carattere"/>
    <w:basedOn w:val="TestocommentoCarattere"/>
    <w:link w:val="Soggettocommento"/>
    <w:rsid w:val="00824482"/>
    <w:rPr>
      <w:rFonts w:ascii="Arial" w:eastAsia="MS Mincho" w:hAnsi="Arial"/>
      <w:b/>
      <w:bCs/>
    </w:rPr>
  </w:style>
  <w:style w:type="paragraph" w:customStyle="1" w:styleId="Default">
    <w:name w:val="Default"/>
    <w:basedOn w:val="Normale"/>
    <w:rsid w:val="00F5731C"/>
    <w:pPr>
      <w:autoSpaceDE w:val="0"/>
      <w:autoSpaceDN w:val="0"/>
      <w:spacing w:before="0" w:after="0"/>
    </w:pPr>
    <w:rPr>
      <w:rFonts w:ascii="HelveticaNeueLT Pro 55 Roman" w:eastAsiaTheme="minorHAnsi" w:hAnsi="HelveticaNeueLT Pro 55 Roman"/>
      <w:color w:val="000000"/>
      <w:lang w:eastAsia="en-US"/>
    </w:rPr>
  </w:style>
  <w:style w:type="paragraph" w:customStyle="1" w:styleId="Pa22">
    <w:name w:val="Pa22"/>
    <w:basedOn w:val="Normale"/>
    <w:uiPriority w:val="99"/>
    <w:rsid w:val="00F5731C"/>
    <w:pPr>
      <w:autoSpaceDE w:val="0"/>
      <w:autoSpaceDN w:val="0"/>
      <w:spacing w:before="0" w:after="0" w:line="181" w:lineRule="atLeast"/>
    </w:pPr>
    <w:rPr>
      <w:rFonts w:ascii="HelveticaNeueLT Pro 55 Roman" w:eastAsiaTheme="minorHAnsi" w:hAnsi="HelveticaNeueLT Pro 55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0293">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72113275">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992949030">
      <w:bodyDiv w:val="1"/>
      <w:marLeft w:val="0"/>
      <w:marRight w:val="0"/>
      <w:marTop w:val="0"/>
      <w:marBottom w:val="0"/>
      <w:divBdr>
        <w:top w:val="none" w:sz="0" w:space="0" w:color="auto"/>
        <w:left w:val="none" w:sz="0" w:space="0" w:color="auto"/>
        <w:bottom w:val="none" w:sz="0" w:space="0" w:color="auto"/>
        <w:right w:val="none" w:sz="0" w:space="0" w:color="auto"/>
      </w:divBdr>
    </w:div>
    <w:div w:id="1955017200">
      <w:bodyDiv w:val="1"/>
      <w:marLeft w:val="0"/>
      <w:marRight w:val="0"/>
      <w:marTop w:val="0"/>
      <w:marBottom w:val="0"/>
      <w:divBdr>
        <w:top w:val="none" w:sz="0" w:space="0" w:color="auto"/>
        <w:left w:val="none" w:sz="0" w:space="0" w:color="auto"/>
        <w:bottom w:val="none" w:sz="0" w:space="0" w:color="auto"/>
        <w:right w:val="none" w:sz="0" w:space="0" w:color="auto"/>
      </w:divBdr>
    </w:div>
    <w:div w:id="20028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19132-304A-6140-A5A9-162CF0C0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10341</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Jennifer Davis</dc:creator>
  <cp:lastModifiedBy>Jo Stocovaz</cp:lastModifiedBy>
  <cp:revision>16</cp:revision>
  <cp:lastPrinted>2019-06-25T02:39:00Z</cp:lastPrinted>
  <dcterms:created xsi:type="dcterms:W3CDTF">2019-06-25T02:57:00Z</dcterms:created>
  <dcterms:modified xsi:type="dcterms:W3CDTF">2019-08-03T07:04:00Z</dcterms:modified>
</cp:coreProperties>
</file>