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7EF4" w14:textId="37944C35" w:rsidR="00834264" w:rsidRPr="00625841" w:rsidRDefault="0075711C" w:rsidP="00CE3F83">
      <w:pPr>
        <w:pStyle w:val="MainTitle"/>
        <w:spacing w:line="192" w:lineRule="auto"/>
        <w:jc w:val="left"/>
        <w:rPr>
          <w:color w:val="3B8AA1"/>
        </w:rPr>
      </w:pPr>
      <w:bookmarkStart w:id="0" w:name="_Toc14094916"/>
      <w:bookmarkStart w:id="1" w:name="_Toc207761830"/>
      <w:bookmarkStart w:id="2" w:name="_Toc209578266"/>
      <w:bookmarkStart w:id="3" w:name="_Toc209941766"/>
      <w:r w:rsidRPr="00625841">
        <w:rPr>
          <w:color w:val="3B8AA1"/>
        </w:rPr>
        <w:t>Our p</w:t>
      </w:r>
      <w:r w:rsidR="00EC1A1D" w:rsidRPr="00625841">
        <w:rPr>
          <w:color w:val="3B8AA1"/>
        </w:rPr>
        <w:t>erformance framework: progress indicators</w:t>
      </w:r>
    </w:p>
    <w:bookmarkEnd w:id="0"/>
    <w:p w14:paraId="16E52A8F" w14:textId="26972D12" w:rsidR="00AC39C5" w:rsidRDefault="00EC1A1D" w:rsidP="004F4461">
      <w:pPr>
        <w:spacing w:before="0" w:after="160"/>
        <w:rPr>
          <w:rFonts w:eastAsia="Times New Roman" w:cs="Open Sans"/>
          <w:color w:val="000000" w:themeColor="text1"/>
          <w:szCs w:val="20"/>
          <w:lang w:eastAsia="en-US"/>
        </w:rPr>
      </w:pPr>
      <w:r>
        <w:rPr>
          <w:rFonts w:eastAsia="Times New Roman" w:cs="Open Sans"/>
          <w:color w:val="000000" w:themeColor="text1"/>
          <w:szCs w:val="20"/>
          <w:lang w:eastAsia="en-US"/>
        </w:rPr>
        <w:t xml:space="preserve">The </w:t>
      </w:r>
      <w:r w:rsidRPr="00632C27">
        <w:rPr>
          <w:rFonts w:eastAsia="Times New Roman" w:cs="Open Sans"/>
          <w:color w:val="000000" w:themeColor="text1"/>
          <w:szCs w:val="20"/>
          <w:lang w:eastAsia="en-US"/>
        </w:rPr>
        <w:t>Commission</w:t>
      </w:r>
      <w:r>
        <w:rPr>
          <w:rFonts w:eastAsia="Times New Roman" w:cs="Open Sans"/>
          <w:color w:val="000000" w:themeColor="text1"/>
          <w:szCs w:val="20"/>
          <w:lang w:eastAsia="en-US"/>
        </w:rPr>
        <w:t xml:space="preserve"> </w:t>
      </w:r>
      <w:r w:rsidR="00260323" w:rsidRPr="00632C27">
        <w:rPr>
          <w:rFonts w:eastAsia="Times New Roman" w:cs="Open Sans"/>
          <w:color w:val="000000" w:themeColor="text1"/>
          <w:szCs w:val="20"/>
          <w:lang w:eastAsia="en-US"/>
        </w:rPr>
        <w:t>use</w:t>
      </w:r>
      <w:r>
        <w:rPr>
          <w:rFonts w:eastAsia="Times New Roman" w:cs="Open Sans"/>
          <w:color w:val="000000" w:themeColor="text1"/>
          <w:szCs w:val="20"/>
          <w:lang w:eastAsia="en-US"/>
        </w:rPr>
        <w:t>s</w:t>
      </w:r>
      <w:r w:rsidR="00260323" w:rsidRPr="00632C27">
        <w:rPr>
          <w:rFonts w:eastAsia="Times New Roman" w:cs="Open Sans"/>
          <w:color w:val="000000" w:themeColor="text1"/>
          <w:szCs w:val="20"/>
          <w:lang w:eastAsia="en-US"/>
        </w:rPr>
        <w:t xml:space="preserve"> monitoring and evaluation </w:t>
      </w:r>
      <w:r w:rsidR="00EF42C6" w:rsidRPr="009F58D8">
        <w:rPr>
          <w:rFonts w:eastAsia="Times New Roman" w:cs="Open Sans"/>
          <w:color w:val="000000" w:themeColor="text1"/>
          <w:szCs w:val="20"/>
          <w:lang w:eastAsia="en-US"/>
        </w:rPr>
        <w:t xml:space="preserve">to </w:t>
      </w:r>
      <w:r w:rsidR="00632C27" w:rsidRPr="009F58D8">
        <w:rPr>
          <w:rFonts w:eastAsia="Times New Roman" w:cs="Open Sans"/>
          <w:color w:val="000000" w:themeColor="text1"/>
          <w:szCs w:val="20"/>
          <w:lang w:eastAsia="en-US"/>
        </w:rPr>
        <w:t>understand</w:t>
      </w:r>
      <w:r w:rsidR="005F3311">
        <w:rPr>
          <w:rFonts w:eastAsia="Times New Roman" w:cs="Open Sans"/>
          <w:color w:val="000000" w:themeColor="text1"/>
          <w:szCs w:val="20"/>
          <w:lang w:eastAsia="en-US"/>
        </w:rPr>
        <w:t xml:space="preserve">, </w:t>
      </w:r>
      <w:r w:rsidR="00EF46D2">
        <w:rPr>
          <w:rFonts w:eastAsia="Times New Roman" w:cs="Open Sans"/>
          <w:color w:val="000000" w:themeColor="text1"/>
          <w:szCs w:val="20"/>
          <w:lang w:eastAsia="en-US"/>
        </w:rPr>
        <w:t>measure</w:t>
      </w:r>
      <w:r w:rsidR="005F3311">
        <w:rPr>
          <w:rFonts w:eastAsia="Times New Roman" w:cs="Open Sans"/>
          <w:color w:val="000000" w:themeColor="text1"/>
          <w:szCs w:val="20"/>
          <w:lang w:eastAsia="en-US"/>
        </w:rPr>
        <w:t xml:space="preserve"> and improve</w:t>
      </w:r>
      <w:r w:rsidR="00EF46D2">
        <w:rPr>
          <w:rFonts w:eastAsia="Times New Roman" w:cs="Open Sans"/>
          <w:color w:val="000000" w:themeColor="text1"/>
          <w:szCs w:val="20"/>
          <w:lang w:eastAsia="en-US"/>
        </w:rPr>
        <w:t xml:space="preserve"> </w:t>
      </w:r>
      <w:r w:rsidR="009F58D8" w:rsidRPr="009F58D8">
        <w:rPr>
          <w:rFonts w:eastAsia="Times New Roman" w:cs="Open Sans"/>
          <w:color w:val="000000" w:themeColor="text1"/>
          <w:szCs w:val="20"/>
          <w:lang w:eastAsia="en-US"/>
        </w:rPr>
        <w:t>how our work contribute</w:t>
      </w:r>
      <w:r w:rsidR="0075711C">
        <w:rPr>
          <w:rFonts w:eastAsia="Times New Roman" w:cs="Open Sans"/>
          <w:color w:val="000000" w:themeColor="text1"/>
          <w:szCs w:val="20"/>
          <w:lang w:eastAsia="en-US"/>
        </w:rPr>
        <w:t>s</w:t>
      </w:r>
      <w:r w:rsidR="009F58D8" w:rsidRPr="009F58D8">
        <w:rPr>
          <w:rFonts w:eastAsia="Times New Roman" w:cs="Open Sans"/>
          <w:color w:val="000000" w:themeColor="text1"/>
          <w:szCs w:val="20"/>
          <w:lang w:eastAsia="en-US"/>
        </w:rPr>
        <w:t xml:space="preserve"> to </w:t>
      </w:r>
      <w:r>
        <w:rPr>
          <w:rFonts w:eastAsia="Times New Roman" w:cs="Open Sans"/>
          <w:color w:val="000000" w:themeColor="text1"/>
          <w:szCs w:val="20"/>
          <w:lang w:eastAsia="en-US"/>
        </w:rPr>
        <w:t xml:space="preserve">our </w:t>
      </w:r>
      <w:r w:rsidR="009F58D8" w:rsidRPr="009F58D8">
        <w:rPr>
          <w:rFonts w:eastAsia="Times New Roman" w:cs="Open Sans"/>
          <w:color w:val="000000" w:themeColor="text1"/>
          <w:szCs w:val="20"/>
          <w:lang w:eastAsia="en-US"/>
        </w:rPr>
        <w:t>goals and ultimately to fulfilling our purpose.</w:t>
      </w:r>
    </w:p>
    <w:p w14:paraId="31C63873" w14:textId="19E1055D" w:rsidR="000234EF" w:rsidRDefault="002E2B11" w:rsidP="004F4461">
      <w:pPr>
        <w:spacing w:before="0" w:after="160"/>
        <w:rPr>
          <w:rFonts w:eastAsia="Times New Roman" w:cs="Open Sans"/>
          <w:color w:val="000000" w:themeColor="text1"/>
        </w:rPr>
      </w:pPr>
      <w:r>
        <w:rPr>
          <w:rFonts w:eastAsia="Times New Roman" w:cs="Open Sans"/>
          <w:color w:val="000000" w:themeColor="text1"/>
          <w:szCs w:val="20"/>
          <w:lang w:eastAsia="en-US"/>
        </w:rPr>
        <w:t>M</w:t>
      </w:r>
      <w:r w:rsidR="00EC1A1D" w:rsidRPr="00632C27">
        <w:rPr>
          <w:rFonts w:eastAsia="Times New Roman" w:cs="Open Sans"/>
          <w:color w:val="000000" w:themeColor="text1"/>
          <w:szCs w:val="20"/>
          <w:lang w:eastAsia="en-US"/>
        </w:rPr>
        <w:t>onitoring and evaluation</w:t>
      </w:r>
      <w:r w:rsidR="00EF42C6" w:rsidRPr="00BA6137">
        <w:rPr>
          <w:rFonts w:eastAsia="Times New Roman" w:cs="Open Sans"/>
          <w:color w:val="000000" w:themeColor="text1"/>
          <w:szCs w:val="20"/>
          <w:lang w:eastAsia="en-US"/>
        </w:rPr>
        <w:t xml:space="preserve"> </w:t>
      </w:r>
      <w:r w:rsidR="0075711C">
        <w:rPr>
          <w:rFonts w:eastAsia="Times New Roman" w:cs="Open Sans"/>
          <w:color w:val="000000" w:themeColor="text1"/>
          <w:szCs w:val="20"/>
          <w:lang w:eastAsia="en-US"/>
        </w:rPr>
        <w:t xml:space="preserve">are a </w:t>
      </w:r>
      <w:r w:rsidR="0075711C" w:rsidRPr="00BA6137">
        <w:rPr>
          <w:rFonts w:eastAsia="Times New Roman" w:cs="Open Sans"/>
          <w:color w:val="000000" w:themeColor="text1"/>
          <w:szCs w:val="20"/>
          <w:lang w:eastAsia="en-US"/>
        </w:rPr>
        <w:t xml:space="preserve">key element of the Public Governance Performance and Accountability Act </w:t>
      </w:r>
      <w:r w:rsidR="0075711C">
        <w:rPr>
          <w:rFonts w:eastAsia="Times New Roman" w:cs="Open Sans"/>
          <w:color w:val="000000" w:themeColor="text1"/>
          <w:szCs w:val="20"/>
          <w:lang w:eastAsia="en-US"/>
        </w:rPr>
        <w:t>(PGPA Act)</w:t>
      </w:r>
      <w:r w:rsidR="005F3311">
        <w:rPr>
          <w:rFonts w:eastAsia="Times New Roman" w:cs="Open Sans"/>
          <w:color w:val="000000" w:themeColor="text1"/>
          <w:szCs w:val="20"/>
          <w:lang w:eastAsia="en-US"/>
        </w:rPr>
        <w:t xml:space="preserve">. </w:t>
      </w:r>
      <w:r>
        <w:rPr>
          <w:rFonts w:eastAsia="Times New Roman" w:cs="Open Sans"/>
          <w:color w:val="000000" w:themeColor="text1"/>
          <w:szCs w:val="20"/>
          <w:lang w:eastAsia="en-US"/>
        </w:rPr>
        <w:t xml:space="preserve">Having an organisational </w:t>
      </w:r>
      <w:r w:rsidR="005F3311">
        <w:rPr>
          <w:rFonts w:eastAsia="Times New Roman" w:cs="Open Sans"/>
          <w:color w:val="000000" w:themeColor="text1"/>
          <w:szCs w:val="20"/>
          <w:lang w:eastAsia="en-US"/>
        </w:rPr>
        <w:t xml:space="preserve">performance framework that is monitored and evaluated </w:t>
      </w:r>
      <w:r w:rsidR="0075711C">
        <w:rPr>
          <w:rFonts w:eastAsia="Times New Roman" w:cs="Open Sans"/>
          <w:color w:val="000000" w:themeColor="text1"/>
          <w:szCs w:val="20"/>
          <w:lang w:eastAsia="en-US"/>
        </w:rPr>
        <w:t>help</w:t>
      </w:r>
      <w:r w:rsidR="005F3311">
        <w:rPr>
          <w:rFonts w:eastAsia="Times New Roman" w:cs="Open Sans"/>
          <w:color w:val="000000" w:themeColor="text1"/>
          <w:szCs w:val="20"/>
          <w:lang w:eastAsia="en-US"/>
        </w:rPr>
        <w:t>s</w:t>
      </w:r>
      <w:r w:rsidR="0075711C">
        <w:rPr>
          <w:rFonts w:eastAsia="Times New Roman" w:cs="Open Sans"/>
          <w:color w:val="000000" w:themeColor="text1"/>
          <w:szCs w:val="20"/>
          <w:lang w:eastAsia="en-US"/>
        </w:rPr>
        <w:t xml:space="preserve"> us</w:t>
      </w:r>
      <w:r w:rsidR="005F3311">
        <w:rPr>
          <w:rFonts w:eastAsia="Times New Roman" w:cs="Open Sans"/>
          <w:color w:val="000000" w:themeColor="text1"/>
          <w:szCs w:val="20"/>
          <w:lang w:eastAsia="en-US"/>
        </w:rPr>
        <w:t xml:space="preserve"> to</w:t>
      </w:r>
      <w:r w:rsidR="0075711C" w:rsidRPr="00BA6137">
        <w:rPr>
          <w:rFonts w:eastAsia="Times New Roman" w:cs="Open Sans"/>
          <w:color w:val="000000" w:themeColor="text1"/>
          <w:szCs w:val="20"/>
          <w:lang w:eastAsia="en-US"/>
        </w:rPr>
        <w:t xml:space="preserve"> fulfil the requirement for Commonwealth agencies to report on non-financial outcomes</w:t>
      </w:r>
      <w:r w:rsidR="00EF46D2">
        <w:rPr>
          <w:rFonts w:eastAsia="Times New Roman" w:cs="Open Sans"/>
          <w:color w:val="000000" w:themeColor="text1"/>
        </w:rPr>
        <w:t>.</w:t>
      </w:r>
      <w:r w:rsidR="00EF46D2">
        <w:rPr>
          <w:rStyle w:val="Rimandonotaapidipagina"/>
          <w:rFonts w:eastAsia="Times New Roman" w:cs="Open Sans"/>
          <w:color w:val="000000" w:themeColor="text1"/>
        </w:rPr>
        <w:footnoteReference w:id="1"/>
      </w:r>
    </w:p>
    <w:p w14:paraId="00C73943" w14:textId="485DE5FC" w:rsidR="00544925" w:rsidRPr="004301F4" w:rsidRDefault="00544925" w:rsidP="004F4461">
      <w:pPr>
        <w:spacing w:before="0" w:after="160"/>
        <w:rPr>
          <w:rFonts w:eastAsia="Times New Roman" w:cs="Open Sans"/>
          <w:color w:val="000000" w:themeColor="text1"/>
          <w:lang w:eastAsia="en-US"/>
        </w:rPr>
      </w:pPr>
      <w:r w:rsidRPr="005C5CA3">
        <w:rPr>
          <w:rFonts w:eastAsia="Times New Roman" w:cs="Open Sans"/>
          <w:color w:val="000000" w:themeColor="text1"/>
        </w:rPr>
        <w:t xml:space="preserve">Since 2010, we have worked to </w:t>
      </w:r>
      <w:r w:rsidRPr="00544925">
        <w:rPr>
          <w:rFonts w:eastAsia="Times New Roman" w:cs="Open Sans"/>
          <w:color w:val="000000" w:themeColor="text1"/>
        </w:rPr>
        <w:t xml:space="preserve">build the evaluation capacity of our organisation and staff and to develop a culture that values </w:t>
      </w:r>
      <w:r w:rsidRPr="004301F4">
        <w:rPr>
          <w:rFonts w:eastAsia="Times New Roman" w:cs="Open Sans"/>
          <w:color w:val="000000" w:themeColor="text1"/>
        </w:rPr>
        <w:t>evaluation</w:t>
      </w:r>
      <w:r w:rsidR="003C1F2E" w:rsidRPr="004301F4">
        <w:rPr>
          <w:rFonts w:eastAsia="Times New Roman" w:cs="Open Sans"/>
          <w:color w:val="000000" w:themeColor="text1"/>
        </w:rPr>
        <w:t xml:space="preserve"> and</w:t>
      </w:r>
      <w:r w:rsidRPr="004301F4">
        <w:rPr>
          <w:rFonts w:eastAsia="Times New Roman" w:cs="Open Sans"/>
          <w:color w:val="000000" w:themeColor="text1"/>
        </w:rPr>
        <w:t xml:space="preserve"> work</w:t>
      </w:r>
      <w:r w:rsidR="003C1F2E" w:rsidRPr="004301F4">
        <w:rPr>
          <w:rFonts w:eastAsia="Times New Roman" w:cs="Open Sans"/>
          <w:color w:val="000000" w:themeColor="text1"/>
        </w:rPr>
        <w:t xml:space="preserve">ing </w:t>
      </w:r>
      <w:r w:rsidRPr="004301F4">
        <w:rPr>
          <w:rFonts w:eastAsia="Times New Roman" w:cs="Open Sans"/>
          <w:color w:val="000000" w:themeColor="text1"/>
        </w:rPr>
        <w:t>within a monitoring</w:t>
      </w:r>
      <w:r w:rsidR="003C1F2E" w:rsidRPr="004301F4">
        <w:rPr>
          <w:rFonts w:eastAsia="Times New Roman" w:cs="Open Sans"/>
          <w:color w:val="000000" w:themeColor="text1"/>
        </w:rPr>
        <w:t xml:space="preserve"> /</w:t>
      </w:r>
      <w:r w:rsidRPr="004301F4">
        <w:rPr>
          <w:rFonts w:eastAsia="Times New Roman" w:cs="Open Sans"/>
          <w:color w:val="000000" w:themeColor="text1"/>
        </w:rPr>
        <w:t xml:space="preserve"> evaluation</w:t>
      </w:r>
      <w:r w:rsidR="003C1F2E" w:rsidRPr="004301F4">
        <w:rPr>
          <w:rFonts w:eastAsia="Times New Roman" w:cs="Open Sans"/>
          <w:color w:val="000000" w:themeColor="text1"/>
        </w:rPr>
        <w:t xml:space="preserve"> and </w:t>
      </w:r>
      <w:r w:rsidRPr="004301F4">
        <w:rPr>
          <w:rFonts w:eastAsia="Times New Roman" w:cs="Open Sans"/>
          <w:color w:val="000000" w:themeColor="text1"/>
        </w:rPr>
        <w:t xml:space="preserve">learning </w:t>
      </w:r>
      <w:r w:rsidR="003C1F2E" w:rsidRPr="004301F4">
        <w:rPr>
          <w:rFonts w:eastAsia="Times New Roman" w:cs="Open Sans"/>
          <w:color w:val="000000" w:themeColor="text1"/>
        </w:rPr>
        <w:t xml:space="preserve">/ </w:t>
      </w:r>
      <w:r w:rsidRPr="004301F4">
        <w:rPr>
          <w:rFonts w:eastAsia="Times New Roman" w:cs="Open Sans"/>
          <w:color w:val="000000" w:themeColor="text1"/>
        </w:rPr>
        <w:t xml:space="preserve">improvement framework. </w:t>
      </w:r>
      <w:r w:rsidR="004301F4" w:rsidRPr="004301F4">
        <w:rPr>
          <w:rFonts w:eastAsia="Times New Roman" w:cs="Open Sans"/>
          <w:color w:val="000000"/>
          <w:lang w:val="en-US"/>
        </w:rPr>
        <w:t xml:space="preserve">However, with limited resources the evaluations we undertake are </w:t>
      </w:r>
      <w:proofErr w:type="spellStart"/>
      <w:r w:rsidR="004301F4" w:rsidRPr="004301F4">
        <w:rPr>
          <w:rFonts w:eastAsia="Times New Roman" w:cs="Open Sans"/>
          <w:color w:val="000000"/>
          <w:lang w:val="en-US"/>
        </w:rPr>
        <w:t>prioritised</w:t>
      </w:r>
      <w:proofErr w:type="spellEnd"/>
      <w:r w:rsidR="004301F4" w:rsidRPr="004301F4">
        <w:rPr>
          <w:rFonts w:eastAsia="Times New Roman" w:cs="Open Sans"/>
          <w:color w:val="000000"/>
          <w:lang w:val="en-US"/>
        </w:rPr>
        <w:t xml:space="preserve"> and proportional to the available capability and resources.</w:t>
      </w:r>
    </w:p>
    <w:p w14:paraId="48920865" w14:textId="3924A5D0" w:rsidR="0067115A" w:rsidRPr="00CB2115" w:rsidRDefault="0084280C" w:rsidP="004F4461">
      <w:pPr>
        <w:spacing w:before="0" w:after="160"/>
        <w:rPr>
          <w:rFonts w:eastAsia="Times New Roman" w:cs="Open Sans"/>
          <w:color w:val="000000" w:themeColor="text1"/>
        </w:rPr>
      </w:pPr>
      <w:r w:rsidRPr="0067115A">
        <w:rPr>
          <w:rFonts w:eastAsia="Times New Roman" w:cs="Open Sans"/>
          <w:color w:val="000000" w:themeColor="text1"/>
        </w:rPr>
        <w:t>The</w:t>
      </w:r>
      <w:r w:rsidR="0067115A">
        <w:rPr>
          <w:rFonts w:eastAsia="Times New Roman" w:cs="Open Sans"/>
          <w:color w:val="000000" w:themeColor="text1"/>
        </w:rPr>
        <w:t xml:space="preserve"> </w:t>
      </w:r>
      <w:r w:rsidRPr="0067115A">
        <w:rPr>
          <w:rFonts w:eastAsia="Times New Roman" w:cs="Open Sans"/>
          <w:color w:val="000000" w:themeColor="text1"/>
        </w:rPr>
        <w:t xml:space="preserve">2019–20 Corporate Plan </w:t>
      </w:r>
      <w:r w:rsidR="00EF46D2" w:rsidRPr="0067115A">
        <w:rPr>
          <w:rFonts w:eastAsia="Times New Roman" w:cs="Open Sans"/>
          <w:color w:val="000000" w:themeColor="text1"/>
        </w:rPr>
        <w:t>introduce</w:t>
      </w:r>
      <w:r w:rsidR="00353F67">
        <w:rPr>
          <w:rFonts w:eastAsia="Times New Roman" w:cs="Open Sans"/>
          <w:color w:val="000000" w:themeColor="text1"/>
        </w:rPr>
        <w:t>d</w:t>
      </w:r>
      <w:r w:rsidR="00EF46D2" w:rsidRPr="0067115A">
        <w:rPr>
          <w:rFonts w:eastAsia="Times New Roman" w:cs="Open Sans"/>
          <w:color w:val="000000" w:themeColor="text1"/>
        </w:rPr>
        <w:t xml:space="preserve"> </w:t>
      </w:r>
      <w:r w:rsidR="00353F67">
        <w:rPr>
          <w:rFonts w:eastAsia="Times New Roman" w:cs="Open Sans"/>
          <w:color w:val="000000" w:themeColor="text1"/>
        </w:rPr>
        <w:t xml:space="preserve">the </w:t>
      </w:r>
      <w:r w:rsidR="005C5CA3">
        <w:rPr>
          <w:rFonts w:eastAsia="Times New Roman" w:cs="Open Sans"/>
          <w:color w:val="000000" w:themeColor="text1"/>
        </w:rPr>
        <w:t xml:space="preserve">high-level </w:t>
      </w:r>
      <w:r w:rsidR="00353F67">
        <w:rPr>
          <w:rFonts w:eastAsia="Times New Roman" w:cs="Open Sans"/>
          <w:color w:val="000000" w:themeColor="text1"/>
        </w:rPr>
        <w:t xml:space="preserve">goals and outcomes </w:t>
      </w:r>
      <w:r w:rsidR="00576CFB">
        <w:rPr>
          <w:rFonts w:eastAsia="Times New Roman" w:cs="Open Sans"/>
          <w:color w:val="000000" w:themeColor="text1"/>
        </w:rPr>
        <w:t>of</w:t>
      </w:r>
      <w:r w:rsidR="004D5D50">
        <w:rPr>
          <w:rFonts w:eastAsia="Times New Roman" w:cs="Open Sans"/>
          <w:color w:val="000000" w:themeColor="text1"/>
        </w:rPr>
        <w:t xml:space="preserve"> our</w:t>
      </w:r>
      <w:r w:rsidR="00353F67">
        <w:rPr>
          <w:rFonts w:eastAsia="Times New Roman" w:cs="Open Sans"/>
          <w:color w:val="000000" w:themeColor="text1"/>
        </w:rPr>
        <w:t xml:space="preserve"> </w:t>
      </w:r>
      <w:r w:rsidR="00EF46D2" w:rsidRPr="0067115A">
        <w:rPr>
          <w:rFonts w:eastAsia="Times New Roman" w:cs="Open Sans"/>
          <w:color w:val="000000" w:themeColor="text1"/>
        </w:rPr>
        <w:t xml:space="preserve">performance </w:t>
      </w:r>
      <w:r w:rsidR="00DE559C">
        <w:rPr>
          <w:rFonts w:eastAsia="Times New Roman" w:cs="Open Sans"/>
          <w:color w:val="000000" w:themeColor="text1"/>
        </w:rPr>
        <w:t xml:space="preserve">goals and </w:t>
      </w:r>
      <w:r w:rsidR="00EF46D2" w:rsidRPr="0067115A">
        <w:rPr>
          <w:rFonts w:eastAsia="Times New Roman" w:cs="Open Sans"/>
          <w:color w:val="000000" w:themeColor="text1"/>
        </w:rPr>
        <w:t>framework. The purpose of this document</w:t>
      </w:r>
      <w:r w:rsidR="004D5D50">
        <w:rPr>
          <w:rFonts w:eastAsia="Times New Roman" w:cs="Open Sans"/>
          <w:color w:val="000000" w:themeColor="text1"/>
        </w:rPr>
        <w:t xml:space="preserve"> and the table below</w:t>
      </w:r>
      <w:r w:rsidR="00EF46D2" w:rsidRPr="0067115A">
        <w:rPr>
          <w:rFonts w:eastAsia="Times New Roman" w:cs="Open Sans"/>
          <w:color w:val="000000" w:themeColor="text1"/>
        </w:rPr>
        <w:t xml:space="preserve"> </w:t>
      </w:r>
      <w:r w:rsidR="0067115A" w:rsidRPr="0067115A">
        <w:rPr>
          <w:rFonts w:eastAsia="Times New Roman" w:cs="Open Sans"/>
          <w:color w:val="000000" w:themeColor="text1"/>
        </w:rPr>
        <w:t>is to</w:t>
      </w:r>
      <w:r w:rsidR="00D12C2E">
        <w:rPr>
          <w:rFonts w:eastAsia="Times New Roman" w:cs="Open Sans"/>
          <w:color w:val="000000" w:themeColor="text1"/>
        </w:rPr>
        <w:t xml:space="preserve"> map</w:t>
      </w:r>
      <w:r w:rsidR="00CB2115">
        <w:rPr>
          <w:rFonts w:eastAsia="Times New Roman" w:cs="Open Sans"/>
          <w:color w:val="000000" w:themeColor="text1"/>
        </w:rPr>
        <w:t xml:space="preserve"> </w:t>
      </w:r>
      <w:r w:rsidR="0067115A" w:rsidRPr="00CB2115">
        <w:rPr>
          <w:rFonts w:eastAsia="Times New Roman" w:cs="Open Sans"/>
          <w:color w:val="000000" w:themeColor="text1"/>
        </w:rPr>
        <w:t xml:space="preserve">progress indicators </w:t>
      </w:r>
      <w:r w:rsidR="004D5D50" w:rsidRPr="00CB2115">
        <w:rPr>
          <w:rFonts w:eastAsia="Times New Roman" w:cs="Open Sans"/>
          <w:color w:val="000000" w:themeColor="text1"/>
        </w:rPr>
        <w:t xml:space="preserve">against </w:t>
      </w:r>
      <w:r w:rsidR="005C5CA3">
        <w:rPr>
          <w:rFonts w:eastAsia="Times New Roman" w:cs="Open Sans"/>
          <w:color w:val="000000" w:themeColor="text1"/>
        </w:rPr>
        <w:t xml:space="preserve">these </w:t>
      </w:r>
      <w:r w:rsidR="004D5D50" w:rsidRPr="00CB2115">
        <w:rPr>
          <w:rFonts w:eastAsia="Times New Roman" w:cs="Open Sans"/>
          <w:color w:val="000000" w:themeColor="text1"/>
        </w:rPr>
        <w:t>outcomes</w:t>
      </w:r>
      <w:r w:rsidR="00CB2115">
        <w:rPr>
          <w:rFonts w:eastAsia="Times New Roman" w:cs="Open Sans"/>
          <w:color w:val="000000" w:themeColor="text1"/>
        </w:rPr>
        <w:t xml:space="preserve"> and to show </w:t>
      </w:r>
      <w:r w:rsidR="00D12C2E" w:rsidRPr="00CB2115">
        <w:rPr>
          <w:rFonts w:eastAsia="Times New Roman" w:cs="Open Sans"/>
          <w:color w:val="000000" w:themeColor="text1"/>
        </w:rPr>
        <w:t xml:space="preserve">how the </w:t>
      </w:r>
      <w:r w:rsidR="0067115A" w:rsidRPr="00CB2115">
        <w:rPr>
          <w:rFonts w:eastAsia="Times New Roman" w:cs="Open Sans"/>
          <w:color w:val="000000" w:themeColor="text1"/>
        </w:rPr>
        <w:t xml:space="preserve">Portfolio Budget Statement (PBS) </w:t>
      </w:r>
      <w:r w:rsidR="00D12C2E" w:rsidRPr="00CB2115">
        <w:rPr>
          <w:rFonts w:eastAsia="Times New Roman" w:cs="Open Sans"/>
          <w:color w:val="000000" w:themeColor="text1"/>
        </w:rPr>
        <w:t xml:space="preserve">criteria and </w:t>
      </w:r>
      <w:r w:rsidR="0067115A" w:rsidRPr="00CB2115">
        <w:rPr>
          <w:rFonts w:eastAsia="Times New Roman" w:cs="Open Sans"/>
          <w:color w:val="000000" w:themeColor="text1"/>
        </w:rPr>
        <w:t xml:space="preserve">targets are integrated within this </w:t>
      </w:r>
      <w:r w:rsidR="00D41B1D">
        <w:rPr>
          <w:rFonts w:eastAsia="Times New Roman" w:cs="Open Sans"/>
          <w:color w:val="000000" w:themeColor="text1"/>
        </w:rPr>
        <w:t>map</w:t>
      </w:r>
      <w:r w:rsidR="0067115A" w:rsidRPr="00CB2115">
        <w:rPr>
          <w:rFonts w:eastAsia="Times New Roman" w:cs="Open Sans"/>
          <w:color w:val="000000" w:themeColor="text1"/>
        </w:rPr>
        <w:t>.</w:t>
      </w:r>
      <w:r w:rsidR="00D12C2E">
        <w:rPr>
          <w:rStyle w:val="Rimandonotaapidipagina"/>
          <w:rFonts w:eastAsia="Times New Roman" w:cs="Open Sans"/>
          <w:color w:val="000000" w:themeColor="text1"/>
        </w:rPr>
        <w:footnoteReference w:id="2"/>
      </w:r>
    </w:p>
    <w:p w14:paraId="170A954C" w14:textId="46D2899F" w:rsidR="004D5D50" w:rsidRDefault="00544925" w:rsidP="004F4461">
      <w:pPr>
        <w:spacing w:before="0" w:after="160"/>
        <w:rPr>
          <w:rFonts w:cs="Open Sans"/>
        </w:rPr>
      </w:pPr>
      <w:r>
        <w:rPr>
          <w:rFonts w:cs="Open Sans"/>
        </w:rPr>
        <w:t>Table notes</w:t>
      </w:r>
      <w:r w:rsidR="0075711C">
        <w:rPr>
          <w:rFonts w:cs="Open Sans"/>
        </w:rPr>
        <w:t>:</w:t>
      </w:r>
    </w:p>
    <w:p w14:paraId="1EF57FE5" w14:textId="3E1FE935" w:rsidR="00E64E82" w:rsidRPr="00D41B1D" w:rsidRDefault="00E64E82" w:rsidP="009E0284">
      <w:pPr>
        <w:pStyle w:val="Paragrafoelenco"/>
        <w:numPr>
          <w:ilvl w:val="0"/>
          <w:numId w:val="24"/>
        </w:numPr>
        <w:spacing w:before="0" w:after="120"/>
        <w:ind w:left="357" w:hanging="357"/>
      </w:pPr>
      <w:bookmarkStart w:id="4" w:name="_Hlk14158018"/>
      <w:r w:rsidRPr="003A7837">
        <w:t xml:space="preserve">In the </w:t>
      </w:r>
      <w:r w:rsidRPr="00D41B1D">
        <w:t xml:space="preserve">context of our work it is not always possible to pinpoint </w:t>
      </w:r>
      <w:r w:rsidR="00D41B1D" w:rsidRPr="00D41B1D">
        <w:t xml:space="preserve">progress </w:t>
      </w:r>
      <w:r w:rsidRPr="00D41B1D">
        <w:t xml:space="preserve">results within a four-year outlook. </w:t>
      </w:r>
      <w:r w:rsidR="00D41B1D" w:rsidRPr="00D41B1D">
        <w:t>Instead, t</w:t>
      </w:r>
      <w:r w:rsidRPr="00D41B1D">
        <w:t xml:space="preserve">he four-year outlook column provides indicative </w:t>
      </w:r>
      <w:r w:rsidR="00D41B1D" w:rsidRPr="00D41B1D">
        <w:t>timelines for results</w:t>
      </w:r>
      <w:r w:rsidRPr="00D41B1D">
        <w:t xml:space="preserve"> against the</w:t>
      </w:r>
      <w:r w:rsidR="00D41B1D" w:rsidRPr="00D41B1D">
        <w:t xml:space="preserve"> progress</w:t>
      </w:r>
      <w:r w:rsidRPr="00D41B1D">
        <w:t xml:space="preserve"> indicators.</w:t>
      </w:r>
    </w:p>
    <w:bookmarkEnd w:id="4"/>
    <w:p w14:paraId="053656DA" w14:textId="2B5D128B" w:rsidR="009F651C" w:rsidRPr="00D41B1D" w:rsidRDefault="009F651C" w:rsidP="009E0284">
      <w:pPr>
        <w:pStyle w:val="Paragrafoelenco"/>
        <w:numPr>
          <w:ilvl w:val="0"/>
          <w:numId w:val="24"/>
        </w:numPr>
        <w:spacing w:before="0" w:after="120"/>
        <w:ind w:left="357" w:hanging="357"/>
      </w:pPr>
      <w:r w:rsidRPr="00D41B1D">
        <w:t xml:space="preserve">This year we have used the human rights </w:t>
      </w:r>
      <w:r w:rsidR="00D41B1D" w:rsidRPr="00D41B1D">
        <w:t xml:space="preserve">vision </w:t>
      </w:r>
      <w:r w:rsidRPr="00D41B1D">
        <w:t xml:space="preserve">articulated in the Commission’s flagship program: </w:t>
      </w:r>
      <w:r w:rsidRPr="00D41B1D">
        <w:rPr>
          <w:i/>
          <w:iCs/>
        </w:rPr>
        <w:t>Free and equal in dignity and rights: An Australian conversation</w:t>
      </w:r>
      <w:r w:rsidRPr="00D41B1D">
        <w:t xml:space="preserve"> to reframe our </w:t>
      </w:r>
      <w:r w:rsidR="00D41B1D" w:rsidRPr="00D41B1D">
        <w:t xml:space="preserve">high-level </w:t>
      </w:r>
      <w:r w:rsidRPr="00D41B1D">
        <w:t xml:space="preserve">goals </w:t>
      </w:r>
      <w:r w:rsidR="00D41B1D" w:rsidRPr="00D41B1D">
        <w:t xml:space="preserve">and </w:t>
      </w:r>
      <w:r w:rsidRPr="00D41B1D">
        <w:t xml:space="preserve">outcomes. </w:t>
      </w:r>
      <w:r w:rsidR="001C0B50">
        <w:t xml:space="preserve">This performance </w:t>
      </w:r>
      <w:r w:rsidRPr="00D41B1D">
        <w:t xml:space="preserve">framework and </w:t>
      </w:r>
      <w:r w:rsidR="001C0B50">
        <w:t>its</w:t>
      </w:r>
      <w:r w:rsidRPr="00D41B1D">
        <w:t xml:space="preserve"> progress indicators will </w:t>
      </w:r>
      <w:r w:rsidR="00AA69FF">
        <w:t xml:space="preserve">need to </w:t>
      </w:r>
      <w:r w:rsidRPr="00D41B1D">
        <w:t>be tested and reviewed against our experience of using them.</w:t>
      </w:r>
    </w:p>
    <w:p w14:paraId="1079B951" w14:textId="0BB025CB" w:rsidR="00576CFB" w:rsidRPr="00D41B1D" w:rsidRDefault="00E64E82" w:rsidP="009E0284">
      <w:pPr>
        <w:pStyle w:val="Paragrafoelenco"/>
        <w:numPr>
          <w:ilvl w:val="0"/>
          <w:numId w:val="24"/>
        </w:numPr>
        <w:spacing w:before="0"/>
        <w:ind w:left="357" w:hanging="357"/>
      </w:pPr>
      <w:r w:rsidRPr="00D41B1D">
        <w:t xml:space="preserve">For brevity the PBS criteria and targets have been edited. </w:t>
      </w:r>
      <w:r w:rsidR="0013786C" w:rsidRPr="00D41B1D">
        <w:t>Additionally, several</w:t>
      </w:r>
      <w:r w:rsidRPr="00D41B1D">
        <w:t xml:space="preserve"> PBS </w:t>
      </w:r>
      <w:r w:rsidR="0087086E" w:rsidRPr="00D41B1D">
        <w:t xml:space="preserve">criteria </w:t>
      </w:r>
      <w:r w:rsidR="000B10B4">
        <w:t xml:space="preserve">and </w:t>
      </w:r>
      <w:r w:rsidRPr="00D41B1D">
        <w:t xml:space="preserve">targets are </w:t>
      </w:r>
      <w:r w:rsidR="0087086E" w:rsidRPr="00D41B1D">
        <w:t xml:space="preserve">broken </w:t>
      </w:r>
      <w:r w:rsidRPr="00D41B1D">
        <w:t xml:space="preserve">across </w:t>
      </w:r>
      <w:r w:rsidR="0013786C" w:rsidRPr="00D41B1D">
        <w:t>cells</w:t>
      </w:r>
      <w:r w:rsidRPr="00D41B1D">
        <w:t xml:space="preserve"> to</w:t>
      </w:r>
      <w:r w:rsidR="0013786C" w:rsidRPr="00D41B1D">
        <w:t xml:space="preserve"> </w:t>
      </w:r>
      <w:r w:rsidR="0087086E" w:rsidRPr="00D41B1D">
        <w:t xml:space="preserve">better </w:t>
      </w:r>
      <w:r w:rsidRPr="00D41B1D">
        <w:t xml:space="preserve">meet the technical functions of the table. </w:t>
      </w:r>
    </w:p>
    <w:p w14:paraId="22DA41EF" w14:textId="77777777" w:rsidR="00981730" w:rsidRDefault="00981730" w:rsidP="004F46F1">
      <w:pPr>
        <w:sectPr w:rsidR="00981730" w:rsidSect="006C7A82">
          <w:headerReference w:type="even" r:id="rId8"/>
          <w:headerReference w:type="default" r:id="rId9"/>
          <w:footerReference w:type="even" r:id="rId10"/>
          <w:footerReference w:type="default" r:id="rId11"/>
          <w:footerReference w:type="first" r:id="rId12"/>
          <w:endnotePr>
            <w:numFmt w:val="decimal"/>
          </w:endnotePr>
          <w:pgSz w:w="11906" w:h="16838" w:code="9"/>
          <w:pgMar w:top="1440" w:right="1080" w:bottom="1440" w:left="1080" w:header="907" w:footer="283" w:gutter="0"/>
          <w:cols w:space="708"/>
          <w:docGrid w:linePitch="360"/>
        </w:sectPr>
      </w:pPr>
    </w:p>
    <w:p w14:paraId="39FBDC2E" w14:textId="0128657E" w:rsidR="004663F4" w:rsidRPr="008B5893" w:rsidRDefault="00D44F3F" w:rsidP="004F4461">
      <w:pPr>
        <w:pStyle w:val="Titolo2"/>
        <w:numPr>
          <w:ilvl w:val="0"/>
          <w:numId w:val="0"/>
        </w:numPr>
        <w:ind w:firstLine="357"/>
        <w:rPr>
          <w:color w:val="002935"/>
        </w:rPr>
      </w:pPr>
      <w:r w:rsidRPr="008B5893">
        <w:rPr>
          <w:color w:val="002935"/>
        </w:rPr>
        <w:lastRenderedPageBreak/>
        <w:t>Progress indicators and PBS targets mapped to Commission goals</w:t>
      </w:r>
    </w:p>
    <w:tbl>
      <w:tblPr>
        <w:tblStyle w:val="Grigliatabella"/>
        <w:tblW w:w="21546" w:type="dxa"/>
        <w:tblInd w:w="534" w:type="dxa"/>
        <w:tblLayout w:type="fixed"/>
        <w:tblLook w:val="04A0" w:firstRow="1" w:lastRow="0" w:firstColumn="1" w:lastColumn="0" w:noHBand="0" w:noVBand="1"/>
      </w:tblPr>
      <w:tblGrid>
        <w:gridCol w:w="1559"/>
        <w:gridCol w:w="2977"/>
        <w:gridCol w:w="5103"/>
        <w:gridCol w:w="8363"/>
        <w:gridCol w:w="3544"/>
      </w:tblGrid>
      <w:tr w:rsidR="008B5893" w:rsidRPr="008B5893" w14:paraId="66939F0F" w14:textId="77777777" w:rsidTr="00CE3F83">
        <w:trPr>
          <w:trHeight w:val="184"/>
          <w:tblHeader/>
        </w:trPr>
        <w:tc>
          <w:tcPr>
            <w:tcW w:w="1559" w:type="dxa"/>
            <w:shd w:val="clear" w:color="auto" w:fill="002935"/>
            <w:vAlign w:val="bottom"/>
          </w:tcPr>
          <w:p w14:paraId="2EFA411E" w14:textId="060876DE" w:rsidR="002E2B11" w:rsidRPr="008B5893" w:rsidRDefault="002E2B11" w:rsidP="006C7A82">
            <w:pPr>
              <w:spacing w:before="120" w:after="120"/>
              <w:rPr>
                <w:rFonts w:eastAsia="Times New Roman" w:cs="Open Sans"/>
                <w:b/>
                <w:color w:val="FFFFFF" w:themeColor="background1"/>
                <w:sz w:val="20"/>
                <w:szCs w:val="18"/>
              </w:rPr>
            </w:pPr>
            <w:r w:rsidRPr="008B5893">
              <w:rPr>
                <w:rFonts w:eastAsia="Times New Roman" w:cs="Open Sans"/>
                <w:b/>
                <w:color w:val="FFFFFF" w:themeColor="background1"/>
                <w:sz w:val="20"/>
                <w:szCs w:val="18"/>
              </w:rPr>
              <w:t>Goal</w:t>
            </w:r>
          </w:p>
        </w:tc>
        <w:tc>
          <w:tcPr>
            <w:tcW w:w="2977" w:type="dxa"/>
            <w:shd w:val="clear" w:color="auto" w:fill="002935"/>
            <w:vAlign w:val="bottom"/>
          </w:tcPr>
          <w:p w14:paraId="261A2FAE" w14:textId="20A4AE48" w:rsidR="002E2B11" w:rsidRPr="008B5893" w:rsidRDefault="002E2B11" w:rsidP="006C7A82">
            <w:pPr>
              <w:spacing w:before="120" w:after="120"/>
              <w:rPr>
                <w:rFonts w:eastAsia="Times New Roman" w:cs="Open Sans"/>
                <w:b/>
                <w:color w:val="FFFFFF" w:themeColor="background1"/>
                <w:sz w:val="20"/>
                <w:szCs w:val="18"/>
              </w:rPr>
            </w:pPr>
            <w:r w:rsidRPr="008B5893">
              <w:rPr>
                <w:rFonts w:eastAsia="Times New Roman" w:cs="Open Sans"/>
                <w:b/>
                <w:color w:val="FFFFFF" w:themeColor="background1"/>
                <w:sz w:val="20"/>
                <w:szCs w:val="18"/>
              </w:rPr>
              <w:t>Outcomes</w:t>
            </w:r>
          </w:p>
        </w:tc>
        <w:tc>
          <w:tcPr>
            <w:tcW w:w="5103" w:type="dxa"/>
            <w:shd w:val="clear" w:color="auto" w:fill="002935"/>
            <w:vAlign w:val="bottom"/>
          </w:tcPr>
          <w:p w14:paraId="55A3F004" w14:textId="0E3BD02C" w:rsidR="002E2B11" w:rsidRPr="008B5893" w:rsidRDefault="002E2B11" w:rsidP="006C7A82">
            <w:pPr>
              <w:spacing w:before="120" w:after="120"/>
              <w:rPr>
                <w:rFonts w:eastAsia="Times New Roman" w:cs="Open Sans"/>
                <w:b/>
                <w:color w:val="FFFFFF" w:themeColor="background1"/>
                <w:sz w:val="20"/>
                <w:szCs w:val="18"/>
              </w:rPr>
            </w:pPr>
            <w:r w:rsidRPr="008B5893">
              <w:rPr>
                <w:rFonts w:eastAsia="Times New Roman" w:cs="Open Sans"/>
                <w:b/>
                <w:color w:val="FFFFFF" w:themeColor="background1"/>
                <w:sz w:val="20"/>
                <w:szCs w:val="18"/>
              </w:rPr>
              <w:t>Performance expectation</w:t>
            </w:r>
          </w:p>
        </w:tc>
        <w:tc>
          <w:tcPr>
            <w:tcW w:w="8363" w:type="dxa"/>
            <w:shd w:val="clear" w:color="auto" w:fill="002935"/>
            <w:vAlign w:val="bottom"/>
          </w:tcPr>
          <w:p w14:paraId="2F3695E7" w14:textId="68BED233" w:rsidR="0083599B" w:rsidRPr="008B5893" w:rsidRDefault="002E2B11" w:rsidP="006C7A82">
            <w:pPr>
              <w:spacing w:before="0" w:after="0"/>
              <w:rPr>
                <w:rFonts w:eastAsia="Times New Roman" w:cs="Open Sans"/>
                <w:b/>
                <w:color w:val="FFFFFF" w:themeColor="background1"/>
                <w:sz w:val="20"/>
                <w:szCs w:val="18"/>
              </w:rPr>
            </w:pPr>
            <w:r w:rsidRPr="008B5893">
              <w:rPr>
                <w:rFonts w:eastAsia="Times New Roman" w:cs="Open Sans"/>
                <w:b/>
                <w:color w:val="FFFFFF" w:themeColor="background1"/>
                <w:sz w:val="20"/>
                <w:szCs w:val="18"/>
              </w:rPr>
              <w:t>Progress indicators and PBS targets</w:t>
            </w:r>
          </w:p>
          <w:p w14:paraId="0D3BA013" w14:textId="6443783B" w:rsidR="002E2B11" w:rsidRPr="008B5893" w:rsidRDefault="009A2E19" w:rsidP="006C7A82">
            <w:pPr>
              <w:spacing w:before="0" w:after="120"/>
              <w:rPr>
                <w:rFonts w:eastAsia="Times New Roman" w:cs="Open Sans"/>
                <w:bCs/>
                <w:color w:val="002935"/>
                <w:sz w:val="20"/>
                <w:szCs w:val="20"/>
              </w:rPr>
            </w:pPr>
            <w:r w:rsidRPr="008B5893">
              <w:rPr>
                <w:rFonts w:eastAsia="Times New Roman" w:cs="Open Sans"/>
                <w:bCs/>
                <w:color w:val="FFFFFF" w:themeColor="background1"/>
                <w:sz w:val="20"/>
                <w:szCs w:val="20"/>
              </w:rPr>
              <w:t>(</w:t>
            </w:r>
            <w:r w:rsidR="0083599B" w:rsidRPr="0017285E">
              <w:rPr>
                <w:rFonts w:eastAsia="Times New Roman" w:cs="Open Sans"/>
                <w:color w:val="FFFFFF" w:themeColor="background1"/>
                <w:sz w:val="20"/>
                <w:szCs w:val="20"/>
              </w:rPr>
              <w:t>M</w:t>
            </w:r>
            <w:r w:rsidR="002E2B11" w:rsidRPr="0017285E">
              <w:rPr>
                <w:rFonts w:eastAsia="Times New Roman" w:cs="Open Sans"/>
                <w:color w:val="FFFFFF" w:themeColor="background1"/>
                <w:sz w:val="20"/>
                <w:szCs w:val="20"/>
              </w:rPr>
              <w:t xml:space="preserve">easurable </w:t>
            </w:r>
            <w:r w:rsidR="0017285E" w:rsidRPr="0017285E">
              <w:rPr>
                <w:rFonts w:eastAsia="Times New Roman" w:cs="Open Sans"/>
                <w:color w:val="FFFFFF" w:themeColor="background1"/>
                <w:sz w:val="20"/>
                <w:szCs w:val="20"/>
                <w:lang w:val="en-US"/>
              </w:rPr>
              <w:t xml:space="preserve">qualitative/quantitative </w:t>
            </w:r>
            <w:r w:rsidR="002E2B11" w:rsidRPr="0017285E">
              <w:rPr>
                <w:rFonts w:eastAsia="Times New Roman" w:cs="Open Sans"/>
                <w:color w:val="FFFFFF" w:themeColor="background1"/>
                <w:sz w:val="20"/>
                <w:szCs w:val="20"/>
              </w:rPr>
              <w:t>measures of the</w:t>
            </w:r>
            <w:r w:rsidR="002E2B11" w:rsidRPr="008B5893">
              <w:rPr>
                <w:rFonts w:eastAsia="Times New Roman" w:cs="Open Sans"/>
                <w:bCs/>
                <w:color w:val="FFFFFF" w:themeColor="background1"/>
                <w:sz w:val="20"/>
                <w:szCs w:val="20"/>
              </w:rPr>
              <w:t xml:space="preserve"> expected performance</w:t>
            </w:r>
            <w:r w:rsidRPr="008B5893">
              <w:rPr>
                <w:rFonts w:eastAsia="Times New Roman" w:cs="Open Sans"/>
                <w:bCs/>
                <w:color w:val="FFFFFF" w:themeColor="background1"/>
                <w:sz w:val="20"/>
                <w:szCs w:val="20"/>
              </w:rPr>
              <w:t>)</w:t>
            </w:r>
          </w:p>
        </w:tc>
        <w:tc>
          <w:tcPr>
            <w:tcW w:w="3544" w:type="dxa"/>
            <w:shd w:val="clear" w:color="auto" w:fill="002935"/>
            <w:vAlign w:val="bottom"/>
          </w:tcPr>
          <w:p w14:paraId="771ABE42" w14:textId="210DCCE8" w:rsidR="002E2B11" w:rsidRPr="008B5893" w:rsidRDefault="002E2B11" w:rsidP="006C7A82">
            <w:pPr>
              <w:spacing w:before="120" w:after="0"/>
              <w:rPr>
                <w:rFonts w:eastAsia="Times New Roman" w:cs="Open Sans"/>
                <w:b/>
                <w:color w:val="FFFFFF" w:themeColor="background1"/>
                <w:sz w:val="20"/>
                <w:szCs w:val="18"/>
              </w:rPr>
            </w:pPr>
            <w:r w:rsidRPr="008B5893">
              <w:rPr>
                <w:rFonts w:eastAsia="Times New Roman" w:cs="Open Sans"/>
                <w:b/>
                <w:color w:val="FFFFFF" w:themeColor="background1"/>
                <w:sz w:val="20"/>
                <w:szCs w:val="18"/>
              </w:rPr>
              <w:t>2019</w:t>
            </w:r>
            <w:r w:rsidR="00992229" w:rsidRPr="008B5893">
              <w:rPr>
                <w:rFonts w:eastAsia="Times New Roman" w:cs="Open Sans"/>
                <w:b/>
                <w:color w:val="FFFFFF" w:themeColor="background1"/>
                <w:sz w:val="20"/>
                <w:szCs w:val="18"/>
              </w:rPr>
              <w:t>–</w:t>
            </w:r>
            <w:r w:rsidRPr="008B5893">
              <w:rPr>
                <w:rFonts w:eastAsia="Times New Roman" w:cs="Open Sans"/>
                <w:b/>
                <w:color w:val="FFFFFF" w:themeColor="background1"/>
                <w:sz w:val="20"/>
                <w:szCs w:val="18"/>
              </w:rPr>
              <w:t>2023</w:t>
            </w:r>
          </w:p>
          <w:p w14:paraId="4378AB7B" w14:textId="413D5B31" w:rsidR="002E2B11" w:rsidRPr="008B5893" w:rsidRDefault="002E2B11" w:rsidP="006C7A82">
            <w:pPr>
              <w:spacing w:before="0" w:after="120"/>
              <w:rPr>
                <w:rFonts w:eastAsia="Times New Roman" w:cs="Open Sans"/>
                <w:bCs/>
                <w:color w:val="002935"/>
                <w:sz w:val="20"/>
                <w:szCs w:val="18"/>
              </w:rPr>
            </w:pPr>
            <w:r w:rsidRPr="008B5893">
              <w:rPr>
                <w:rFonts w:eastAsia="Times New Roman" w:cs="Open Sans"/>
                <w:bCs/>
                <w:color w:val="FFFFFF" w:themeColor="background1"/>
                <w:sz w:val="20"/>
                <w:szCs w:val="18"/>
              </w:rPr>
              <w:t>(</w:t>
            </w:r>
            <w:r w:rsidR="009A2E19" w:rsidRPr="008B5893">
              <w:rPr>
                <w:rFonts w:eastAsia="Times New Roman" w:cs="Open Sans"/>
                <w:bCs/>
                <w:color w:val="FFFFFF" w:themeColor="background1"/>
                <w:sz w:val="20"/>
                <w:szCs w:val="18"/>
              </w:rPr>
              <w:t>Indicative p</w:t>
            </w:r>
            <w:r w:rsidRPr="008B5893">
              <w:rPr>
                <w:rFonts w:eastAsia="Times New Roman" w:cs="Open Sans"/>
                <w:bCs/>
                <w:color w:val="FFFFFF" w:themeColor="background1"/>
                <w:sz w:val="20"/>
                <w:szCs w:val="18"/>
              </w:rPr>
              <w:t xml:space="preserve">rogress in </w:t>
            </w:r>
            <w:r w:rsidR="00E620E9">
              <w:rPr>
                <w:rFonts w:eastAsia="Times New Roman" w:cs="Open Sans"/>
                <w:bCs/>
                <w:color w:val="FFFFFF" w:themeColor="background1"/>
                <w:sz w:val="20"/>
                <w:szCs w:val="18"/>
              </w:rPr>
              <w:t xml:space="preserve">the </w:t>
            </w:r>
            <w:r w:rsidR="00C13869" w:rsidRPr="008B5893">
              <w:rPr>
                <w:rFonts w:eastAsia="Times New Roman" w:cs="Open Sans"/>
                <w:bCs/>
                <w:color w:val="FFFFFF" w:themeColor="background1"/>
                <w:sz w:val="20"/>
                <w:szCs w:val="18"/>
              </w:rPr>
              <w:t xml:space="preserve">four-year </w:t>
            </w:r>
            <w:r w:rsidRPr="008B5893">
              <w:rPr>
                <w:rFonts w:eastAsia="Times New Roman" w:cs="Open Sans"/>
                <w:bCs/>
                <w:color w:val="FFFFFF" w:themeColor="background1"/>
                <w:sz w:val="20"/>
                <w:szCs w:val="18"/>
              </w:rPr>
              <w:t>Corporate Plan period)</w:t>
            </w:r>
          </w:p>
        </w:tc>
      </w:tr>
      <w:tr w:rsidR="001A5755" w:rsidRPr="006F7E8F" w14:paraId="51001090" w14:textId="77777777" w:rsidTr="00625841">
        <w:trPr>
          <w:trHeight w:val="916"/>
        </w:trPr>
        <w:tc>
          <w:tcPr>
            <w:tcW w:w="1559" w:type="dxa"/>
            <w:vMerge w:val="restart"/>
            <w:shd w:val="clear" w:color="auto" w:fill="B5C434"/>
          </w:tcPr>
          <w:p w14:paraId="58CDA3ED" w14:textId="37E80945" w:rsidR="002E2B11" w:rsidRPr="006F7E8F" w:rsidRDefault="002E2B11" w:rsidP="008B5893">
            <w:pPr>
              <w:spacing w:after="120"/>
              <w:rPr>
                <w:rFonts w:eastAsia="Times New Roman" w:cs="Open Sans"/>
                <w:sz w:val="20"/>
                <w:szCs w:val="18"/>
              </w:rPr>
            </w:pPr>
            <w:r w:rsidRPr="008B5893">
              <w:rPr>
                <w:rFonts w:eastAsia="Times New Roman" w:cs="Open Sans"/>
                <w:color w:val="FFFFFF" w:themeColor="background1"/>
                <w:sz w:val="20"/>
                <w:szCs w:val="18"/>
              </w:rPr>
              <w:t>Greater prioritisation and embedding of human rights issues at the national level</w:t>
            </w:r>
          </w:p>
        </w:tc>
        <w:tc>
          <w:tcPr>
            <w:tcW w:w="2977" w:type="dxa"/>
            <w:vMerge w:val="restart"/>
            <w:shd w:val="clear" w:color="auto" w:fill="auto"/>
          </w:tcPr>
          <w:p w14:paraId="6416ABDD" w14:textId="5BB85DDA" w:rsidR="002E2B11" w:rsidRPr="006F7E8F" w:rsidRDefault="002E2B11" w:rsidP="00981730">
            <w:pPr>
              <w:spacing w:before="120" w:after="120"/>
              <w:rPr>
                <w:rFonts w:eastAsia="Times New Roman" w:cs="Open Sans"/>
                <w:color w:val="0D0D0D"/>
                <w:sz w:val="20"/>
                <w:szCs w:val="18"/>
              </w:rPr>
            </w:pPr>
            <w:r w:rsidRPr="006F7E8F">
              <w:rPr>
                <w:rFonts w:eastAsia="Times New Roman" w:cs="Open Sans"/>
                <w:color w:val="0D0D0D"/>
                <w:sz w:val="20"/>
                <w:szCs w:val="18"/>
              </w:rPr>
              <w:t>The national human rights reform agenda proposed in the national conversation initiative is considered by the Parliament, government and the non-government sector.</w:t>
            </w:r>
          </w:p>
        </w:tc>
        <w:tc>
          <w:tcPr>
            <w:tcW w:w="5103" w:type="dxa"/>
            <w:vMerge w:val="restart"/>
            <w:shd w:val="clear" w:color="auto" w:fill="auto"/>
          </w:tcPr>
          <w:p w14:paraId="54CC2549" w14:textId="77777777" w:rsidR="002E2B11" w:rsidRPr="006F7E8F" w:rsidRDefault="002E2B11" w:rsidP="00981730">
            <w:pPr>
              <w:spacing w:before="0" w:after="0"/>
              <w:contextualSpacing/>
              <w:rPr>
                <w:rFonts w:eastAsia="Times New Roman" w:cs="Open Sans"/>
                <w:sz w:val="20"/>
                <w:szCs w:val="18"/>
              </w:rPr>
            </w:pPr>
            <w:r w:rsidRPr="006F7E8F">
              <w:rPr>
                <w:rFonts w:eastAsia="Times New Roman" w:cs="Open Sans"/>
                <w:sz w:val="20"/>
                <w:szCs w:val="18"/>
              </w:rPr>
              <w:t>Recommendations and actions in the national conversation report to the Attorney-General and federal Parliament are positively received and progressed/ or adopted.</w:t>
            </w:r>
          </w:p>
        </w:tc>
        <w:tc>
          <w:tcPr>
            <w:tcW w:w="8363" w:type="dxa"/>
            <w:shd w:val="clear" w:color="auto" w:fill="auto"/>
          </w:tcPr>
          <w:p w14:paraId="36BF3FDB" w14:textId="0D7FDE04"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Implementation of the national conversation initiative and is viewed by stakeholders as impartial, inclusive, participatory and consensus led.</w:t>
            </w:r>
          </w:p>
        </w:tc>
        <w:tc>
          <w:tcPr>
            <w:tcW w:w="3544" w:type="dxa"/>
            <w:shd w:val="clear" w:color="auto" w:fill="auto"/>
          </w:tcPr>
          <w:p w14:paraId="62018255"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2019–20</w:t>
            </w:r>
          </w:p>
        </w:tc>
      </w:tr>
      <w:tr w:rsidR="002E2B11" w:rsidRPr="006F7E8F" w14:paraId="0913D3F1" w14:textId="77777777" w:rsidTr="00625841">
        <w:trPr>
          <w:trHeight w:val="669"/>
        </w:trPr>
        <w:tc>
          <w:tcPr>
            <w:tcW w:w="1559" w:type="dxa"/>
            <w:vMerge/>
            <w:shd w:val="clear" w:color="auto" w:fill="B5C434"/>
          </w:tcPr>
          <w:p w14:paraId="0A8842F3"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287D2791" w14:textId="77777777" w:rsidR="002E2B11" w:rsidRPr="006F7E8F" w:rsidRDefault="002E2B11" w:rsidP="00981730">
            <w:pPr>
              <w:spacing w:before="120" w:after="120"/>
              <w:rPr>
                <w:rFonts w:eastAsia="Times New Roman" w:cs="Open Sans"/>
                <w:color w:val="0D0D0D"/>
                <w:sz w:val="20"/>
                <w:szCs w:val="18"/>
              </w:rPr>
            </w:pPr>
          </w:p>
        </w:tc>
        <w:tc>
          <w:tcPr>
            <w:tcW w:w="5103" w:type="dxa"/>
            <w:vMerge/>
            <w:shd w:val="clear" w:color="auto" w:fill="auto"/>
          </w:tcPr>
          <w:p w14:paraId="64639D7F" w14:textId="77777777" w:rsidR="002E2B11" w:rsidRPr="006F7E8F" w:rsidRDefault="002E2B11" w:rsidP="00981730">
            <w:pPr>
              <w:spacing w:before="0" w:after="0"/>
              <w:contextualSpacing/>
              <w:rPr>
                <w:rFonts w:eastAsia="Times New Roman" w:cs="Open Sans"/>
                <w:sz w:val="20"/>
                <w:szCs w:val="18"/>
              </w:rPr>
            </w:pPr>
          </w:p>
        </w:tc>
        <w:tc>
          <w:tcPr>
            <w:tcW w:w="8363" w:type="dxa"/>
            <w:shd w:val="clear" w:color="auto" w:fill="auto"/>
          </w:tcPr>
          <w:p w14:paraId="5C9DF756" w14:textId="4455C859"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 xml:space="preserve">Parliament, government and non-government sector </w:t>
            </w:r>
            <w:proofErr w:type="gramStart"/>
            <w:r w:rsidRPr="009A2E19">
              <w:rPr>
                <w:rFonts w:eastAsia="Times New Roman" w:cs="Open Sans"/>
                <w:sz w:val="20"/>
                <w:szCs w:val="18"/>
              </w:rPr>
              <w:t>stakeholders</w:t>
            </w:r>
            <w:proofErr w:type="gramEnd"/>
            <w:r w:rsidRPr="009A2E19">
              <w:rPr>
                <w:rFonts w:eastAsia="Times New Roman" w:cs="Open Sans"/>
                <w:sz w:val="20"/>
                <w:szCs w:val="18"/>
              </w:rPr>
              <w:t xml:space="preserve"> </w:t>
            </w:r>
            <w:r w:rsidR="00644464">
              <w:rPr>
                <w:rFonts w:eastAsia="Times New Roman" w:cs="Open Sans"/>
                <w:sz w:val="20"/>
                <w:szCs w:val="18"/>
              </w:rPr>
              <w:t xml:space="preserve">access and </w:t>
            </w:r>
            <w:r w:rsidRPr="009A2E19">
              <w:rPr>
                <w:rFonts w:eastAsia="Times New Roman" w:cs="Open Sans"/>
                <w:sz w:val="20"/>
                <w:szCs w:val="18"/>
              </w:rPr>
              <w:t>engage with the relevant stages of the national conversation initiative.</w:t>
            </w:r>
          </w:p>
        </w:tc>
        <w:tc>
          <w:tcPr>
            <w:tcW w:w="3544" w:type="dxa"/>
            <w:shd w:val="clear" w:color="auto" w:fill="auto"/>
          </w:tcPr>
          <w:p w14:paraId="33269528" w14:textId="7D96DA1C" w:rsidR="002E2B11" w:rsidRPr="007115BD" w:rsidRDefault="002E2B11" w:rsidP="00981730">
            <w:pPr>
              <w:spacing w:before="0" w:after="0"/>
              <w:contextualSpacing/>
              <w:rPr>
                <w:rFonts w:eastAsia="Times New Roman" w:cs="Open Sans"/>
                <w:bCs/>
                <w:sz w:val="20"/>
                <w:szCs w:val="18"/>
              </w:rPr>
            </w:pPr>
            <w:r w:rsidRPr="007115BD">
              <w:rPr>
                <w:rFonts w:eastAsia="Times New Roman" w:cs="Open Sans"/>
                <w:bCs/>
                <w:sz w:val="20"/>
                <w:szCs w:val="18"/>
              </w:rPr>
              <w:t>2019–23</w:t>
            </w:r>
          </w:p>
        </w:tc>
      </w:tr>
      <w:tr w:rsidR="002E2B11" w:rsidRPr="006F7E8F" w14:paraId="4494F7CB" w14:textId="77777777" w:rsidTr="00625841">
        <w:trPr>
          <w:trHeight w:val="325"/>
        </w:trPr>
        <w:tc>
          <w:tcPr>
            <w:tcW w:w="1559" w:type="dxa"/>
            <w:vMerge/>
            <w:shd w:val="clear" w:color="auto" w:fill="B5C434"/>
          </w:tcPr>
          <w:p w14:paraId="58B68AAF"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6DF33603" w14:textId="77777777" w:rsidR="002E2B11" w:rsidRPr="006F7E8F" w:rsidRDefault="002E2B11" w:rsidP="00981730">
            <w:pPr>
              <w:spacing w:before="120" w:after="120"/>
              <w:rPr>
                <w:rFonts w:eastAsia="Times New Roman" w:cs="Open Sans"/>
                <w:color w:val="0D0D0D"/>
                <w:sz w:val="20"/>
                <w:szCs w:val="18"/>
              </w:rPr>
            </w:pPr>
          </w:p>
        </w:tc>
        <w:tc>
          <w:tcPr>
            <w:tcW w:w="5103" w:type="dxa"/>
            <w:shd w:val="clear" w:color="auto" w:fill="auto"/>
          </w:tcPr>
          <w:p w14:paraId="266BF426" w14:textId="7A67313E" w:rsidR="002E2B11" w:rsidRPr="006F7E8F" w:rsidRDefault="009A2E19" w:rsidP="00981730">
            <w:pPr>
              <w:spacing w:before="0" w:after="0"/>
              <w:contextualSpacing/>
              <w:rPr>
                <w:rFonts w:eastAsia="Times New Roman" w:cs="Open Sans"/>
                <w:sz w:val="20"/>
                <w:szCs w:val="18"/>
              </w:rPr>
            </w:pPr>
            <w:r w:rsidRPr="006F7E8F">
              <w:rPr>
                <w:rFonts w:eastAsia="Times New Roman" w:cs="Open Sans"/>
                <w:sz w:val="20"/>
                <w:szCs w:val="18"/>
              </w:rPr>
              <w:t>Rec</w:t>
            </w:r>
            <w:r>
              <w:rPr>
                <w:rFonts w:eastAsia="Times New Roman" w:cs="Open Sans"/>
                <w:sz w:val="20"/>
                <w:szCs w:val="18"/>
              </w:rPr>
              <w:t>o</w:t>
            </w:r>
            <w:r w:rsidRPr="006F7E8F">
              <w:rPr>
                <w:rFonts w:eastAsia="Times New Roman" w:cs="Open Sans"/>
                <w:sz w:val="20"/>
                <w:szCs w:val="18"/>
              </w:rPr>
              <w:t>mmendations</w:t>
            </w:r>
            <w:r w:rsidR="002E2B11" w:rsidRPr="006F7E8F">
              <w:rPr>
                <w:rFonts w:eastAsia="Times New Roman" w:cs="Open Sans"/>
                <w:sz w:val="20"/>
                <w:szCs w:val="18"/>
              </w:rPr>
              <w:t xml:space="preserve"> to Australia from the 3rd </w:t>
            </w:r>
            <w:r>
              <w:rPr>
                <w:rFonts w:eastAsia="Times New Roman" w:cs="Open Sans"/>
                <w:sz w:val="20"/>
                <w:szCs w:val="18"/>
              </w:rPr>
              <w:t>United Nations (</w:t>
            </w:r>
            <w:r w:rsidR="002E2B11" w:rsidRPr="006F7E8F">
              <w:rPr>
                <w:rFonts w:eastAsia="Times New Roman" w:cs="Open Sans"/>
                <w:sz w:val="20"/>
                <w:szCs w:val="18"/>
              </w:rPr>
              <w:t>UN</w:t>
            </w:r>
            <w:r>
              <w:rPr>
                <w:rFonts w:eastAsia="Times New Roman" w:cs="Open Sans"/>
                <w:sz w:val="20"/>
                <w:szCs w:val="18"/>
              </w:rPr>
              <w:t>)</w:t>
            </w:r>
            <w:r w:rsidR="002E2B11" w:rsidRPr="006F7E8F">
              <w:rPr>
                <w:rFonts w:eastAsia="Times New Roman" w:cs="Open Sans"/>
                <w:sz w:val="20"/>
                <w:szCs w:val="18"/>
              </w:rPr>
              <w:t xml:space="preserve"> Universal Periodic Review Council are accepted by federal Government and progressed.</w:t>
            </w:r>
          </w:p>
        </w:tc>
        <w:tc>
          <w:tcPr>
            <w:tcW w:w="8363" w:type="dxa"/>
            <w:shd w:val="clear" w:color="auto" w:fill="auto"/>
          </w:tcPr>
          <w:p w14:paraId="16820E61" w14:textId="25B735A8"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 xml:space="preserve">Commission recommendations to the </w:t>
            </w:r>
            <w:r w:rsidR="009A2E19">
              <w:rPr>
                <w:rFonts w:eastAsia="Times New Roman" w:cs="Open Sans"/>
                <w:sz w:val="20"/>
                <w:szCs w:val="18"/>
              </w:rPr>
              <w:t>UN</w:t>
            </w:r>
            <w:r w:rsidRPr="009A2E19">
              <w:rPr>
                <w:rFonts w:eastAsia="Times New Roman" w:cs="Open Sans"/>
                <w:sz w:val="20"/>
                <w:szCs w:val="18"/>
              </w:rPr>
              <w:t xml:space="preserve"> Human Rights Council as part of Australia’s 3rd </w:t>
            </w:r>
            <w:r w:rsidR="009A2E19">
              <w:rPr>
                <w:rFonts w:eastAsia="Times New Roman" w:cs="Open Sans"/>
                <w:sz w:val="20"/>
                <w:szCs w:val="18"/>
              </w:rPr>
              <w:t>U</w:t>
            </w:r>
            <w:r w:rsidRPr="009A2E19">
              <w:rPr>
                <w:rFonts w:eastAsia="Times New Roman" w:cs="Open Sans"/>
                <w:sz w:val="20"/>
                <w:szCs w:val="18"/>
              </w:rPr>
              <w:t xml:space="preserve">niversal </w:t>
            </w:r>
            <w:r w:rsidR="009A2E19">
              <w:rPr>
                <w:rFonts w:eastAsia="Times New Roman" w:cs="Open Sans"/>
                <w:sz w:val="20"/>
                <w:szCs w:val="18"/>
              </w:rPr>
              <w:t>P</w:t>
            </w:r>
            <w:r w:rsidRPr="009A2E19">
              <w:rPr>
                <w:rFonts w:eastAsia="Times New Roman" w:cs="Open Sans"/>
                <w:sz w:val="20"/>
                <w:szCs w:val="18"/>
              </w:rPr>
              <w:t>eriodic review are reflected in the Council recommendations to Australia.</w:t>
            </w:r>
          </w:p>
        </w:tc>
        <w:tc>
          <w:tcPr>
            <w:tcW w:w="3544" w:type="dxa"/>
            <w:shd w:val="clear" w:color="auto" w:fill="auto"/>
          </w:tcPr>
          <w:p w14:paraId="166E5809" w14:textId="7812B186" w:rsidR="002E2B11" w:rsidRPr="0006063B" w:rsidRDefault="002E2B11" w:rsidP="00981730">
            <w:pPr>
              <w:spacing w:before="0" w:after="0"/>
              <w:contextualSpacing/>
              <w:rPr>
                <w:rFonts w:eastAsia="Times New Roman" w:cs="Open Sans"/>
                <w:sz w:val="20"/>
                <w:szCs w:val="18"/>
              </w:rPr>
            </w:pPr>
            <w:r w:rsidRPr="0006063B">
              <w:rPr>
                <w:rFonts w:eastAsia="Times New Roman" w:cs="Open Sans"/>
                <w:sz w:val="20"/>
                <w:szCs w:val="18"/>
              </w:rPr>
              <w:t>2020</w:t>
            </w:r>
            <w:r>
              <w:rPr>
                <w:rFonts w:eastAsia="Times New Roman" w:cs="Open Sans"/>
                <w:sz w:val="20"/>
                <w:szCs w:val="18"/>
              </w:rPr>
              <w:t>–21</w:t>
            </w:r>
          </w:p>
        </w:tc>
      </w:tr>
      <w:tr w:rsidR="002E2B11" w:rsidRPr="006F7E8F" w14:paraId="6CADF9C0" w14:textId="77777777" w:rsidTr="00625841">
        <w:trPr>
          <w:trHeight w:val="312"/>
        </w:trPr>
        <w:tc>
          <w:tcPr>
            <w:tcW w:w="1559" w:type="dxa"/>
            <w:vMerge/>
            <w:shd w:val="clear" w:color="auto" w:fill="B5C434"/>
          </w:tcPr>
          <w:p w14:paraId="21F30F93" w14:textId="77777777" w:rsidR="002E2B11" w:rsidRPr="006F7E8F" w:rsidRDefault="002E2B11" w:rsidP="00981730">
            <w:pPr>
              <w:spacing w:before="120" w:after="120"/>
              <w:ind w:left="360"/>
              <w:rPr>
                <w:rFonts w:eastAsia="Times New Roman" w:cs="Open Sans"/>
                <w:sz w:val="20"/>
                <w:szCs w:val="18"/>
              </w:rPr>
            </w:pPr>
          </w:p>
        </w:tc>
        <w:tc>
          <w:tcPr>
            <w:tcW w:w="2977" w:type="dxa"/>
            <w:vMerge w:val="restart"/>
            <w:shd w:val="clear" w:color="auto" w:fill="auto"/>
          </w:tcPr>
          <w:p w14:paraId="69FB7AC7" w14:textId="7B0065B0" w:rsidR="002E2B11" w:rsidRPr="006F4734" w:rsidRDefault="002E2B11" w:rsidP="00981730">
            <w:pPr>
              <w:spacing w:before="120" w:after="0"/>
              <w:rPr>
                <w:rFonts w:eastAsia="Times New Roman" w:cs="Open Sans"/>
                <w:sz w:val="20"/>
                <w:szCs w:val="18"/>
              </w:rPr>
            </w:pPr>
            <w:r w:rsidRPr="006F4734">
              <w:rPr>
                <w:rFonts w:eastAsia="Times New Roman" w:cs="Open Sans"/>
                <w:sz w:val="20"/>
                <w:szCs w:val="18"/>
              </w:rPr>
              <w:t>The leadership and advocacy of Commissioners on thematic areas or identified human rights issues, improves the enjoyment of human rights by affected groups.</w:t>
            </w:r>
            <w:r w:rsidR="00EB4334">
              <w:rPr>
                <w:rFonts w:eastAsia="Times New Roman" w:cs="Open Sans"/>
                <w:sz w:val="20"/>
                <w:szCs w:val="18"/>
              </w:rPr>
              <w:t xml:space="preserve"> </w:t>
            </w:r>
            <w:r w:rsidR="00EB4334" w:rsidRPr="00625841">
              <w:rPr>
                <w:rFonts w:eastAsia="Times New Roman" w:cs="Open Sans"/>
                <w:b/>
                <w:bCs/>
                <w:color w:val="073145"/>
                <w:sz w:val="20"/>
                <w:szCs w:val="18"/>
              </w:rPr>
              <w:t>[PBS criteria]</w:t>
            </w:r>
          </w:p>
          <w:p w14:paraId="6FA21715" w14:textId="425329DA" w:rsidR="002E2B11" w:rsidRPr="006F4734" w:rsidRDefault="002E2B11" w:rsidP="00981730">
            <w:pPr>
              <w:spacing w:before="120" w:after="0"/>
              <w:rPr>
                <w:rFonts w:eastAsia="Times New Roman" w:cs="Open Sans"/>
                <w:sz w:val="20"/>
                <w:szCs w:val="18"/>
              </w:rPr>
            </w:pPr>
            <w:r w:rsidRPr="006F4734">
              <w:rPr>
                <w:rFonts w:eastAsia="Times New Roman" w:cs="Open Sans"/>
                <w:sz w:val="20"/>
                <w:szCs w:val="18"/>
              </w:rPr>
              <w:t>Law and policy makers, at all levels, consider and address the human rights impacts we identify through our submissions, Inquiries, research, reports and United Nations engagement.</w:t>
            </w:r>
            <w:r w:rsidR="00625841">
              <w:rPr>
                <w:rFonts w:eastAsia="Times New Roman" w:cs="Open Sans"/>
                <w:sz w:val="20"/>
                <w:szCs w:val="18"/>
              </w:rPr>
              <w:t xml:space="preserve"> </w:t>
            </w:r>
            <w:r w:rsidR="00625841" w:rsidRPr="00625841">
              <w:rPr>
                <w:rFonts w:eastAsia="Times New Roman" w:cs="Open Sans"/>
                <w:b/>
                <w:bCs/>
                <w:color w:val="073145"/>
                <w:sz w:val="20"/>
                <w:szCs w:val="18"/>
              </w:rPr>
              <w:t>[</w:t>
            </w:r>
            <w:r w:rsidRPr="00625841">
              <w:rPr>
                <w:rFonts w:eastAsia="Times New Roman" w:cs="Open Sans"/>
                <w:b/>
                <w:bCs/>
                <w:color w:val="073145"/>
                <w:sz w:val="20"/>
                <w:szCs w:val="18"/>
              </w:rPr>
              <w:t>PBS criteria</w:t>
            </w:r>
            <w:r w:rsidR="00625841" w:rsidRPr="00625841">
              <w:rPr>
                <w:rFonts w:eastAsia="Times New Roman" w:cs="Open Sans"/>
                <w:b/>
                <w:bCs/>
                <w:color w:val="073145"/>
                <w:sz w:val="20"/>
                <w:szCs w:val="18"/>
              </w:rPr>
              <w:t>]</w:t>
            </w:r>
          </w:p>
        </w:tc>
        <w:tc>
          <w:tcPr>
            <w:tcW w:w="5103" w:type="dxa"/>
            <w:vMerge w:val="restart"/>
            <w:shd w:val="clear" w:color="auto" w:fill="auto"/>
          </w:tcPr>
          <w:p w14:paraId="4B99ED3C" w14:textId="2B96681E" w:rsidR="002E2B11" w:rsidRPr="009E0284" w:rsidRDefault="002E2B11" w:rsidP="009E0284">
            <w:pPr>
              <w:spacing w:before="0" w:after="0"/>
              <w:contextualSpacing/>
              <w:rPr>
                <w:rFonts w:eastAsia="Times New Roman" w:cs="Open Sans"/>
                <w:color w:val="000000"/>
                <w:sz w:val="20"/>
                <w:szCs w:val="18"/>
              </w:rPr>
            </w:pPr>
            <w:r w:rsidRPr="006F4734">
              <w:rPr>
                <w:rFonts w:eastAsia="Times New Roman" w:cs="Open Sans"/>
                <w:sz w:val="20"/>
                <w:szCs w:val="18"/>
              </w:rPr>
              <w:t xml:space="preserve">Our research, reporting and advice </w:t>
            </w:r>
            <w:r w:rsidRPr="006F4734">
              <w:rPr>
                <w:rFonts w:eastAsia="Times New Roman" w:cs="Open Sans"/>
                <w:color w:val="000000"/>
                <w:sz w:val="20"/>
                <w:szCs w:val="18"/>
              </w:rPr>
              <w:t xml:space="preserve">influences decision makers and other stakeholders to take action to address the </w:t>
            </w:r>
            <w:r w:rsidRPr="006F4734">
              <w:rPr>
                <w:rFonts w:eastAsia="Times New Roman" w:cs="Open Sans"/>
                <w:sz w:val="20"/>
                <w:szCs w:val="18"/>
              </w:rPr>
              <w:t>identified human rights issues.</w:t>
            </w:r>
          </w:p>
        </w:tc>
        <w:tc>
          <w:tcPr>
            <w:tcW w:w="8363" w:type="dxa"/>
            <w:shd w:val="clear" w:color="auto" w:fill="auto"/>
          </w:tcPr>
          <w:p w14:paraId="6B2EF5A7" w14:textId="77777777"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Research, reporting and advice activities of the Commission:</w:t>
            </w:r>
          </w:p>
          <w:p w14:paraId="0393063A" w14:textId="2972228B" w:rsidR="002E2B11" w:rsidRPr="006F4734" w:rsidRDefault="002E2B11" w:rsidP="00981730">
            <w:pPr>
              <w:pStyle w:val="Paragrafoelenco"/>
              <w:numPr>
                <w:ilvl w:val="0"/>
                <w:numId w:val="21"/>
              </w:numPr>
              <w:spacing w:before="0" w:after="0"/>
              <w:contextualSpacing/>
              <w:rPr>
                <w:rFonts w:eastAsia="Times New Roman" w:cs="Open Sans"/>
                <w:sz w:val="20"/>
                <w:szCs w:val="18"/>
              </w:rPr>
            </w:pPr>
            <w:r w:rsidRPr="006F4734">
              <w:rPr>
                <w:rFonts w:eastAsia="Times New Roman" w:cs="Open Sans"/>
                <w:sz w:val="20"/>
                <w:szCs w:val="18"/>
              </w:rPr>
              <w:t>Are viewed as evidenced, persuasive and credible by stakeholders</w:t>
            </w:r>
          </w:p>
          <w:p w14:paraId="3A628A9B" w14:textId="77777777" w:rsidR="002E2B11" w:rsidRPr="006F4734" w:rsidRDefault="002E2B11" w:rsidP="00981730">
            <w:pPr>
              <w:pStyle w:val="Paragrafoelenco"/>
              <w:numPr>
                <w:ilvl w:val="0"/>
                <w:numId w:val="21"/>
              </w:numPr>
              <w:spacing w:before="0" w:after="0"/>
              <w:contextualSpacing/>
              <w:rPr>
                <w:rFonts w:eastAsia="Times New Roman" w:cs="Open Sans"/>
                <w:sz w:val="20"/>
                <w:szCs w:val="18"/>
              </w:rPr>
            </w:pPr>
            <w:r w:rsidRPr="006F4734">
              <w:rPr>
                <w:rFonts w:eastAsia="Times New Roman" w:cs="Open Sans"/>
                <w:sz w:val="20"/>
                <w:szCs w:val="18"/>
              </w:rPr>
              <w:t>Increase understanding of the human rights issues and impacts raised</w:t>
            </w:r>
          </w:p>
          <w:p w14:paraId="716C243D" w14:textId="77777777" w:rsidR="002E2B11" w:rsidRPr="006F4734" w:rsidRDefault="002E2B11" w:rsidP="00981730">
            <w:pPr>
              <w:pStyle w:val="Paragrafoelenco"/>
              <w:numPr>
                <w:ilvl w:val="0"/>
                <w:numId w:val="21"/>
              </w:numPr>
              <w:spacing w:before="0" w:after="0"/>
              <w:contextualSpacing/>
              <w:rPr>
                <w:rFonts w:eastAsia="Times New Roman" w:cs="Open Sans"/>
                <w:sz w:val="20"/>
                <w:szCs w:val="18"/>
              </w:rPr>
            </w:pPr>
            <w:r w:rsidRPr="006F4734">
              <w:rPr>
                <w:rFonts w:eastAsia="Times New Roman" w:cs="Open Sans"/>
                <w:sz w:val="20"/>
                <w:szCs w:val="18"/>
              </w:rPr>
              <w:t>Strengthen stakeholder capacity to promote and advocate for the human rights issues raised.</w:t>
            </w:r>
          </w:p>
        </w:tc>
        <w:tc>
          <w:tcPr>
            <w:tcW w:w="3544" w:type="dxa"/>
            <w:shd w:val="clear" w:color="auto" w:fill="auto"/>
          </w:tcPr>
          <w:p w14:paraId="5CB72062" w14:textId="0B099258" w:rsidR="002E2B11" w:rsidRPr="009F651C" w:rsidRDefault="002E2B11" w:rsidP="00981730">
            <w:pPr>
              <w:spacing w:before="0" w:after="0"/>
              <w:contextualSpacing/>
              <w:rPr>
                <w:rFonts w:eastAsia="Times New Roman" w:cs="Open Sans"/>
                <w:sz w:val="20"/>
                <w:szCs w:val="18"/>
              </w:rPr>
            </w:pPr>
            <w:r>
              <w:rPr>
                <w:rFonts w:eastAsia="Times New Roman" w:cs="Open Sans"/>
                <w:sz w:val="20"/>
                <w:szCs w:val="18"/>
              </w:rPr>
              <w:t xml:space="preserve">Dependent on stage of </w:t>
            </w:r>
            <w:r w:rsidR="0083599B">
              <w:rPr>
                <w:rFonts w:eastAsia="Times New Roman" w:cs="Open Sans"/>
                <w:sz w:val="20"/>
                <w:szCs w:val="18"/>
              </w:rPr>
              <w:t xml:space="preserve">individual </w:t>
            </w:r>
            <w:r>
              <w:rPr>
                <w:rFonts w:eastAsia="Times New Roman" w:cs="Open Sans"/>
                <w:sz w:val="20"/>
                <w:szCs w:val="18"/>
              </w:rPr>
              <w:t>project</w:t>
            </w:r>
            <w:r w:rsidR="0083599B">
              <w:rPr>
                <w:rFonts w:eastAsia="Times New Roman" w:cs="Open Sans"/>
                <w:sz w:val="20"/>
                <w:szCs w:val="18"/>
              </w:rPr>
              <w:t xml:space="preserve"> and/or </w:t>
            </w:r>
            <w:r>
              <w:rPr>
                <w:rFonts w:eastAsia="Times New Roman" w:cs="Open Sans"/>
                <w:sz w:val="20"/>
                <w:szCs w:val="18"/>
              </w:rPr>
              <w:t>Commissioner term</w:t>
            </w:r>
          </w:p>
        </w:tc>
      </w:tr>
      <w:tr w:rsidR="002E2B11" w:rsidRPr="006F7E8F" w14:paraId="27F822F8" w14:textId="77777777" w:rsidTr="00625841">
        <w:trPr>
          <w:trHeight w:val="566"/>
        </w:trPr>
        <w:tc>
          <w:tcPr>
            <w:tcW w:w="1559" w:type="dxa"/>
            <w:vMerge/>
            <w:shd w:val="clear" w:color="auto" w:fill="B5C434"/>
          </w:tcPr>
          <w:p w14:paraId="69532692" w14:textId="77777777" w:rsidR="002E2B11" w:rsidRPr="006F7E8F" w:rsidRDefault="002E2B11" w:rsidP="00981730">
            <w:pPr>
              <w:spacing w:before="120" w:after="120"/>
              <w:ind w:left="360"/>
              <w:rPr>
                <w:rFonts w:eastAsia="Times New Roman" w:cs="Open Sans"/>
                <w:sz w:val="20"/>
                <w:szCs w:val="18"/>
              </w:rPr>
            </w:pPr>
          </w:p>
        </w:tc>
        <w:tc>
          <w:tcPr>
            <w:tcW w:w="2977" w:type="dxa"/>
            <w:vMerge/>
            <w:shd w:val="clear" w:color="auto" w:fill="auto"/>
          </w:tcPr>
          <w:p w14:paraId="35FB9791" w14:textId="77777777" w:rsidR="002E2B11" w:rsidRPr="006F4734" w:rsidRDefault="002E2B11" w:rsidP="00981730">
            <w:pPr>
              <w:spacing w:before="120" w:after="0"/>
              <w:rPr>
                <w:rFonts w:eastAsia="Times New Roman" w:cs="Open Sans"/>
                <w:sz w:val="20"/>
                <w:szCs w:val="18"/>
              </w:rPr>
            </w:pPr>
          </w:p>
        </w:tc>
        <w:tc>
          <w:tcPr>
            <w:tcW w:w="5103" w:type="dxa"/>
            <w:vMerge/>
            <w:shd w:val="clear" w:color="auto" w:fill="auto"/>
          </w:tcPr>
          <w:p w14:paraId="0FF25811" w14:textId="77777777" w:rsidR="002E2B11" w:rsidRPr="006F4734" w:rsidRDefault="002E2B11" w:rsidP="00981730">
            <w:pPr>
              <w:spacing w:before="0" w:after="0"/>
              <w:contextualSpacing/>
              <w:rPr>
                <w:rFonts w:eastAsia="Times New Roman" w:cs="Open Sans"/>
                <w:sz w:val="20"/>
                <w:szCs w:val="18"/>
              </w:rPr>
            </w:pPr>
          </w:p>
        </w:tc>
        <w:tc>
          <w:tcPr>
            <w:tcW w:w="8363" w:type="dxa"/>
            <w:shd w:val="clear" w:color="auto" w:fill="auto"/>
          </w:tcPr>
          <w:p w14:paraId="5F29351A" w14:textId="77777777" w:rsidR="002E2B11" w:rsidRPr="009A2E19" w:rsidRDefault="002E2B11" w:rsidP="009A2E19">
            <w:pPr>
              <w:spacing w:before="0" w:after="0"/>
              <w:contextualSpacing/>
              <w:rPr>
                <w:rFonts w:eastAsia="Times New Roman" w:cs="Open Sans"/>
                <w:color w:val="000000"/>
                <w:sz w:val="20"/>
                <w:szCs w:val="18"/>
              </w:rPr>
            </w:pPr>
            <w:r w:rsidRPr="009A2E19">
              <w:rPr>
                <w:rFonts w:eastAsia="Times New Roman" w:cs="Open Sans"/>
                <w:color w:val="000000"/>
                <w:sz w:val="20"/>
                <w:szCs w:val="18"/>
              </w:rPr>
              <w:t>Instances of programs attracting strategic partnerships that advance the priority human rights issues we have advocated for.</w:t>
            </w:r>
          </w:p>
        </w:tc>
        <w:tc>
          <w:tcPr>
            <w:tcW w:w="3544" w:type="dxa"/>
            <w:shd w:val="clear" w:color="auto" w:fill="auto"/>
          </w:tcPr>
          <w:p w14:paraId="4AE717BD" w14:textId="6FFD4143" w:rsidR="002E2B11" w:rsidRPr="006F7E8F" w:rsidRDefault="0083599B" w:rsidP="00981730">
            <w:pPr>
              <w:spacing w:before="0" w:after="0"/>
              <w:ind w:left="-37"/>
              <w:contextualSpacing/>
              <w:rPr>
                <w:rFonts w:eastAsia="Times New Roman" w:cs="Open Sans"/>
                <w:sz w:val="20"/>
                <w:szCs w:val="18"/>
              </w:rPr>
            </w:pPr>
            <w:r>
              <w:rPr>
                <w:rFonts w:eastAsia="Times New Roman" w:cs="Open Sans"/>
                <w:sz w:val="20"/>
                <w:szCs w:val="18"/>
              </w:rPr>
              <w:t>Dependent on stage of individual project and/or Commissioner term</w:t>
            </w:r>
          </w:p>
        </w:tc>
      </w:tr>
      <w:tr w:rsidR="002E2B11" w:rsidRPr="006F7E8F" w14:paraId="3BB7B0FF" w14:textId="77777777" w:rsidTr="00625841">
        <w:trPr>
          <w:trHeight w:val="566"/>
        </w:trPr>
        <w:tc>
          <w:tcPr>
            <w:tcW w:w="1559" w:type="dxa"/>
            <w:vMerge/>
            <w:shd w:val="clear" w:color="auto" w:fill="B5C434"/>
          </w:tcPr>
          <w:p w14:paraId="7562547D" w14:textId="77777777" w:rsidR="002E2B11" w:rsidRPr="006F7E8F" w:rsidRDefault="002E2B11" w:rsidP="00981730">
            <w:pPr>
              <w:spacing w:before="120" w:after="120"/>
              <w:ind w:left="360"/>
              <w:rPr>
                <w:rFonts w:eastAsia="Times New Roman" w:cs="Open Sans"/>
                <w:sz w:val="20"/>
                <w:szCs w:val="18"/>
              </w:rPr>
            </w:pPr>
          </w:p>
        </w:tc>
        <w:tc>
          <w:tcPr>
            <w:tcW w:w="2977" w:type="dxa"/>
            <w:vMerge/>
            <w:shd w:val="clear" w:color="auto" w:fill="auto"/>
          </w:tcPr>
          <w:p w14:paraId="58503BCA" w14:textId="77777777" w:rsidR="002E2B11" w:rsidRPr="006F4734" w:rsidRDefault="002E2B11" w:rsidP="00981730">
            <w:pPr>
              <w:spacing w:before="120" w:after="0"/>
              <w:rPr>
                <w:rFonts w:eastAsia="Times New Roman" w:cs="Open Sans"/>
                <w:sz w:val="20"/>
                <w:szCs w:val="18"/>
              </w:rPr>
            </w:pPr>
          </w:p>
        </w:tc>
        <w:tc>
          <w:tcPr>
            <w:tcW w:w="5103" w:type="dxa"/>
            <w:vMerge/>
            <w:shd w:val="clear" w:color="auto" w:fill="auto"/>
          </w:tcPr>
          <w:p w14:paraId="1912A24E" w14:textId="77777777" w:rsidR="002E2B11" w:rsidRPr="006F4734" w:rsidRDefault="002E2B11" w:rsidP="00981730">
            <w:pPr>
              <w:spacing w:before="0" w:after="0"/>
              <w:contextualSpacing/>
              <w:rPr>
                <w:rFonts w:eastAsia="Times New Roman" w:cs="Open Sans"/>
                <w:sz w:val="20"/>
                <w:szCs w:val="18"/>
              </w:rPr>
            </w:pPr>
          </w:p>
        </w:tc>
        <w:tc>
          <w:tcPr>
            <w:tcW w:w="8363" w:type="dxa"/>
            <w:shd w:val="clear" w:color="auto" w:fill="auto"/>
          </w:tcPr>
          <w:p w14:paraId="7AE94FB7" w14:textId="77777777" w:rsidR="002E2B11" w:rsidRPr="009A2E19" w:rsidRDefault="002E2B11" w:rsidP="009A2E19">
            <w:pPr>
              <w:spacing w:before="0" w:after="0"/>
              <w:contextualSpacing/>
              <w:rPr>
                <w:rFonts w:eastAsia="Times New Roman" w:cs="Open Sans"/>
                <w:color w:val="000000"/>
                <w:sz w:val="20"/>
                <w:szCs w:val="18"/>
              </w:rPr>
            </w:pPr>
            <w:r w:rsidRPr="009A2E19">
              <w:rPr>
                <w:rFonts w:eastAsia="Times New Roman" w:cs="Open Sans"/>
                <w:color w:val="000000"/>
                <w:sz w:val="20"/>
                <w:szCs w:val="18"/>
              </w:rPr>
              <w:t>Instances of changed Federal and state government policy, practice and legislative change that reflect our advice.</w:t>
            </w:r>
          </w:p>
        </w:tc>
        <w:tc>
          <w:tcPr>
            <w:tcW w:w="3544" w:type="dxa"/>
            <w:shd w:val="clear" w:color="auto" w:fill="auto"/>
          </w:tcPr>
          <w:p w14:paraId="63A42753" w14:textId="40EBB29C" w:rsidR="002E2B11" w:rsidRPr="006F7E8F" w:rsidRDefault="0083599B" w:rsidP="00981730">
            <w:pPr>
              <w:spacing w:before="0" w:after="0"/>
              <w:ind w:left="-37"/>
              <w:contextualSpacing/>
              <w:rPr>
                <w:rFonts w:eastAsia="Times New Roman" w:cs="Open Sans"/>
                <w:sz w:val="20"/>
                <w:szCs w:val="18"/>
              </w:rPr>
            </w:pPr>
            <w:r>
              <w:rPr>
                <w:rFonts w:eastAsia="Times New Roman" w:cs="Open Sans"/>
                <w:sz w:val="20"/>
                <w:szCs w:val="18"/>
              </w:rPr>
              <w:t>Dependent on stage of individual project and/or Commissioner term</w:t>
            </w:r>
          </w:p>
        </w:tc>
      </w:tr>
      <w:tr w:rsidR="002E2B11" w:rsidRPr="006F7E8F" w14:paraId="40C9F35C" w14:textId="77777777" w:rsidTr="00625841">
        <w:trPr>
          <w:trHeight w:val="942"/>
        </w:trPr>
        <w:tc>
          <w:tcPr>
            <w:tcW w:w="1559" w:type="dxa"/>
            <w:vMerge/>
            <w:shd w:val="clear" w:color="auto" w:fill="B5C434"/>
          </w:tcPr>
          <w:p w14:paraId="110DF098" w14:textId="77777777" w:rsidR="002E2B11" w:rsidRPr="006F7E8F" w:rsidRDefault="002E2B11" w:rsidP="00981730">
            <w:pPr>
              <w:spacing w:before="120" w:after="120"/>
              <w:ind w:left="360"/>
              <w:rPr>
                <w:rFonts w:eastAsia="Times New Roman" w:cs="Open Sans"/>
                <w:sz w:val="20"/>
                <w:szCs w:val="18"/>
              </w:rPr>
            </w:pPr>
          </w:p>
        </w:tc>
        <w:tc>
          <w:tcPr>
            <w:tcW w:w="2977" w:type="dxa"/>
            <w:vMerge/>
            <w:shd w:val="clear" w:color="auto" w:fill="auto"/>
          </w:tcPr>
          <w:p w14:paraId="5ED3B568" w14:textId="77777777" w:rsidR="002E2B11" w:rsidRPr="006F4734" w:rsidRDefault="002E2B11" w:rsidP="00981730">
            <w:pPr>
              <w:spacing w:before="120" w:after="0"/>
              <w:rPr>
                <w:rFonts w:eastAsia="Times New Roman" w:cs="Open Sans"/>
                <w:color w:val="FF0000"/>
                <w:sz w:val="20"/>
                <w:szCs w:val="18"/>
              </w:rPr>
            </w:pPr>
          </w:p>
        </w:tc>
        <w:tc>
          <w:tcPr>
            <w:tcW w:w="5103" w:type="dxa"/>
            <w:shd w:val="clear" w:color="auto" w:fill="auto"/>
          </w:tcPr>
          <w:p w14:paraId="7AE34DD7" w14:textId="5B04B6C5" w:rsidR="002E2B11" w:rsidRPr="006F4734" w:rsidRDefault="002E2B11" w:rsidP="00981730">
            <w:pPr>
              <w:spacing w:before="0" w:after="0"/>
              <w:contextualSpacing/>
              <w:rPr>
                <w:rFonts w:eastAsia="Times New Roman" w:cs="Open Sans"/>
                <w:color w:val="FF0000"/>
                <w:sz w:val="20"/>
                <w:szCs w:val="18"/>
              </w:rPr>
            </w:pPr>
            <w:r w:rsidRPr="009A2E19">
              <w:rPr>
                <w:rFonts w:eastAsia="Times New Roman" w:cs="Open Sans"/>
                <w:color w:val="000000"/>
                <w:sz w:val="20"/>
                <w:szCs w:val="18"/>
              </w:rPr>
              <w:t xml:space="preserve">Parliamentary committee inquiry reports adopt the human rights </w:t>
            </w:r>
            <w:r w:rsidRPr="009A2E19">
              <w:rPr>
                <w:rFonts w:eastAsia="Times New Roman" w:cs="Open Sans"/>
                <w:sz w:val="20"/>
                <w:szCs w:val="18"/>
              </w:rPr>
              <w:t>issues raised in our submissions and recommendations.</w:t>
            </w:r>
          </w:p>
        </w:tc>
        <w:tc>
          <w:tcPr>
            <w:tcW w:w="8363" w:type="dxa"/>
            <w:shd w:val="clear" w:color="auto" w:fill="auto"/>
          </w:tcPr>
          <w:p w14:paraId="7D2E22FE" w14:textId="667A6B93" w:rsidR="002E2B11" w:rsidRPr="009A2E19" w:rsidRDefault="004A219E" w:rsidP="00625841">
            <w:pPr>
              <w:spacing w:before="0" w:after="120"/>
              <w:rPr>
                <w:rFonts w:eastAsia="Times New Roman" w:cs="Open Sans"/>
                <w:color w:val="000000"/>
                <w:sz w:val="20"/>
                <w:szCs w:val="18"/>
              </w:rPr>
            </w:pPr>
            <w:r>
              <w:rPr>
                <w:rFonts w:eastAsia="Times New Roman" w:cs="Open Sans"/>
                <w:color w:val="000000"/>
                <w:sz w:val="20"/>
                <w:szCs w:val="18"/>
              </w:rPr>
              <w:t>H</w:t>
            </w:r>
            <w:r w:rsidR="002E2B11" w:rsidRPr="009A2E19">
              <w:rPr>
                <w:rFonts w:eastAsia="Times New Roman" w:cs="Open Sans"/>
                <w:color w:val="000000"/>
                <w:sz w:val="20"/>
                <w:szCs w:val="18"/>
              </w:rPr>
              <w:t>igh proportion of Committee inquiry reports reflect and cite the Commission’s advice.</w:t>
            </w:r>
            <w:r w:rsidR="00625841">
              <w:rPr>
                <w:rFonts w:eastAsia="Times New Roman" w:cs="Open Sans"/>
                <w:color w:val="000000"/>
                <w:sz w:val="20"/>
                <w:szCs w:val="18"/>
              </w:rPr>
              <w:t xml:space="preserve"> </w:t>
            </w:r>
            <w:r w:rsidR="00625841" w:rsidRPr="00625841">
              <w:rPr>
                <w:rFonts w:eastAsia="Times New Roman" w:cs="Open Sans"/>
                <w:b/>
                <w:bCs/>
                <w:color w:val="073145"/>
                <w:sz w:val="20"/>
                <w:szCs w:val="18"/>
              </w:rPr>
              <w:t xml:space="preserve">[PBS </w:t>
            </w:r>
            <w:r w:rsidR="00625841">
              <w:rPr>
                <w:rFonts w:eastAsia="Times New Roman" w:cs="Open Sans"/>
                <w:b/>
                <w:bCs/>
                <w:color w:val="073145"/>
                <w:sz w:val="20"/>
                <w:szCs w:val="18"/>
              </w:rPr>
              <w:t>target</w:t>
            </w:r>
            <w:r w:rsidR="00625841" w:rsidRPr="00625841">
              <w:rPr>
                <w:rFonts w:eastAsia="Times New Roman" w:cs="Open Sans"/>
                <w:b/>
                <w:bCs/>
                <w:color w:val="073145"/>
                <w:sz w:val="20"/>
                <w:szCs w:val="18"/>
              </w:rPr>
              <w:t>]</w:t>
            </w:r>
          </w:p>
        </w:tc>
        <w:tc>
          <w:tcPr>
            <w:tcW w:w="3544" w:type="dxa"/>
            <w:shd w:val="clear" w:color="auto" w:fill="auto"/>
          </w:tcPr>
          <w:p w14:paraId="6E016E12" w14:textId="77777777" w:rsidR="002E2B11" w:rsidRPr="006F7E8F" w:rsidRDefault="002E2B11" w:rsidP="00981730">
            <w:pPr>
              <w:spacing w:before="0" w:after="0"/>
              <w:contextualSpacing/>
              <w:rPr>
                <w:rFonts w:eastAsia="Times New Roman" w:cs="Open Sans"/>
                <w:color w:val="000000"/>
                <w:sz w:val="20"/>
                <w:szCs w:val="18"/>
              </w:rPr>
            </w:pPr>
            <w:r>
              <w:rPr>
                <w:rFonts w:eastAsia="Times New Roman" w:cs="Open Sans"/>
                <w:color w:val="000000"/>
                <w:sz w:val="20"/>
                <w:szCs w:val="18"/>
              </w:rPr>
              <w:t>Annual</w:t>
            </w:r>
          </w:p>
        </w:tc>
      </w:tr>
      <w:tr w:rsidR="002E2B11" w:rsidRPr="006F7E8F" w14:paraId="3422DB2C" w14:textId="77777777" w:rsidTr="00625841">
        <w:trPr>
          <w:trHeight w:val="742"/>
        </w:trPr>
        <w:tc>
          <w:tcPr>
            <w:tcW w:w="1559" w:type="dxa"/>
            <w:vMerge/>
            <w:shd w:val="clear" w:color="auto" w:fill="B5C434"/>
          </w:tcPr>
          <w:p w14:paraId="1E89F37B" w14:textId="77777777" w:rsidR="002E2B11" w:rsidRPr="006F7E8F" w:rsidRDefault="002E2B11" w:rsidP="00981730">
            <w:pPr>
              <w:spacing w:before="120" w:after="120"/>
              <w:ind w:left="360"/>
              <w:rPr>
                <w:rFonts w:eastAsia="Times New Roman" w:cs="Open Sans"/>
                <w:sz w:val="20"/>
                <w:szCs w:val="18"/>
              </w:rPr>
            </w:pPr>
          </w:p>
        </w:tc>
        <w:tc>
          <w:tcPr>
            <w:tcW w:w="2977" w:type="dxa"/>
            <w:vMerge/>
            <w:shd w:val="clear" w:color="auto" w:fill="auto"/>
          </w:tcPr>
          <w:p w14:paraId="2D4E6E1B" w14:textId="77777777" w:rsidR="002E2B11" w:rsidRPr="006F4734" w:rsidRDefault="002E2B11" w:rsidP="00981730">
            <w:pPr>
              <w:spacing w:before="120" w:after="0"/>
              <w:rPr>
                <w:rFonts w:eastAsia="Times New Roman" w:cs="Open Sans"/>
                <w:sz w:val="20"/>
                <w:szCs w:val="18"/>
              </w:rPr>
            </w:pPr>
          </w:p>
        </w:tc>
        <w:tc>
          <w:tcPr>
            <w:tcW w:w="5103" w:type="dxa"/>
            <w:shd w:val="clear" w:color="auto" w:fill="auto"/>
          </w:tcPr>
          <w:p w14:paraId="34E2D308" w14:textId="48E6D1DF" w:rsidR="002E2B11" w:rsidRPr="006F4734" w:rsidRDefault="002E2B11" w:rsidP="00981730">
            <w:pPr>
              <w:spacing w:before="0" w:after="0"/>
              <w:ind w:left="-37"/>
              <w:contextualSpacing/>
              <w:rPr>
                <w:rFonts w:eastAsia="Times New Roman" w:cs="Open Sans"/>
                <w:sz w:val="20"/>
                <w:szCs w:val="18"/>
              </w:rPr>
            </w:pPr>
            <w:r w:rsidRPr="006F4734">
              <w:rPr>
                <w:rFonts w:eastAsia="Times New Roman" w:cs="Open Sans"/>
                <w:color w:val="000000"/>
                <w:sz w:val="20"/>
                <w:szCs w:val="18"/>
              </w:rPr>
              <w:t>UN treaty body concluding observations</w:t>
            </w:r>
            <w:r w:rsidR="009A2E19">
              <w:rPr>
                <w:rFonts w:eastAsia="Times New Roman" w:cs="Open Sans"/>
                <w:color w:val="000000"/>
                <w:sz w:val="20"/>
                <w:szCs w:val="18"/>
              </w:rPr>
              <w:t xml:space="preserve"> and other recommendations</w:t>
            </w:r>
            <w:r w:rsidRPr="006F4734">
              <w:rPr>
                <w:rFonts w:eastAsia="Times New Roman" w:cs="Open Sans"/>
                <w:color w:val="000000"/>
                <w:sz w:val="20"/>
                <w:szCs w:val="18"/>
              </w:rPr>
              <w:t xml:space="preserve"> are adopted by Government</w:t>
            </w:r>
            <w:r w:rsidRPr="006F4734">
              <w:rPr>
                <w:rFonts w:eastAsia="Times New Roman" w:cs="Open Sans"/>
                <w:sz w:val="20"/>
                <w:szCs w:val="18"/>
              </w:rPr>
              <w:t xml:space="preserve"> and implemented.</w:t>
            </w:r>
          </w:p>
        </w:tc>
        <w:tc>
          <w:tcPr>
            <w:tcW w:w="8363" w:type="dxa"/>
            <w:shd w:val="clear" w:color="auto" w:fill="auto"/>
          </w:tcPr>
          <w:p w14:paraId="6D54FEC8" w14:textId="73636874" w:rsidR="002E2B11" w:rsidRPr="009A2E19" w:rsidRDefault="002E2B11" w:rsidP="009A2E19">
            <w:pPr>
              <w:spacing w:before="0" w:after="0"/>
              <w:contextualSpacing/>
              <w:rPr>
                <w:rFonts w:eastAsia="Times New Roman" w:cs="Open Sans"/>
                <w:color w:val="000000"/>
                <w:sz w:val="20"/>
                <w:szCs w:val="18"/>
              </w:rPr>
            </w:pPr>
            <w:r w:rsidRPr="009A2E19">
              <w:rPr>
                <w:rFonts w:eastAsia="Times New Roman" w:cs="Open Sans"/>
                <w:color w:val="000000"/>
                <w:sz w:val="20"/>
                <w:szCs w:val="18"/>
              </w:rPr>
              <w:t xml:space="preserve">Instances of our recommendations to UN </w:t>
            </w:r>
            <w:r w:rsidR="009A2E19" w:rsidRPr="009A2E19">
              <w:rPr>
                <w:rFonts w:eastAsia="Times New Roman" w:cs="Open Sans"/>
                <w:color w:val="000000"/>
                <w:sz w:val="20"/>
                <w:szCs w:val="18"/>
              </w:rPr>
              <w:t>mechanisms</w:t>
            </w:r>
            <w:r w:rsidRPr="009A2E19">
              <w:rPr>
                <w:rFonts w:eastAsia="Times New Roman" w:cs="Open Sans"/>
                <w:color w:val="000000"/>
                <w:sz w:val="20"/>
                <w:szCs w:val="18"/>
              </w:rPr>
              <w:t xml:space="preserve"> being reflected in treaty body concluding observations</w:t>
            </w:r>
            <w:r w:rsidR="00E453B7">
              <w:rPr>
                <w:rFonts w:eastAsia="Times New Roman" w:cs="Open Sans"/>
                <w:color w:val="000000"/>
                <w:sz w:val="20"/>
                <w:szCs w:val="18"/>
              </w:rPr>
              <w:t xml:space="preserve"> and other reports</w:t>
            </w:r>
            <w:r w:rsidRPr="009A2E19">
              <w:rPr>
                <w:rFonts w:eastAsia="Times New Roman" w:cs="Open Sans"/>
                <w:color w:val="000000"/>
                <w:sz w:val="20"/>
                <w:szCs w:val="18"/>
              </w:rPr>
              <w:t>.</w:t>
            </w:r>
          </w:p>
        </w:tc>
        <w:tc>
          <w:tcPr>
            <w:tcW w:w="3544" w:type="dxa"/>
            <w:shd w:val="clear" w:color="auto" w:fill="auto"/>
          </w:tcPr>
          <w:p w14:paraId="70BF2EAC" w14:textId="7B5379D3" w:rsidR="002E2B11" w:rsidRPr="006F7E8F" w:rsidRDefault="001B7432" w:rsidP="00981730">
            <w:pPr>
              <w:spacing w:before="0" w:after="0"/>
              <w:ind w:left="-37"/>
              <w:contextualSpacing/>
              <w:rPr>
                <w:rFonts w:eastAsia="Times New Roman" w:cs="Open Sans"/>
                <w:sz w:val="20"/>
                <w:szCs w:val="18"/>
              </w:rPr>
            </w:pPr>
            <w:r>
              <w:rPr>
                <w:rFonts w:eastAsia="Times New Roman" w:cs="Open Sans"/>
                <w:sz w:val="20"/>
                <w:szCs w:val="18"/>
              </w:rPr>
              <w:t xml:space="preserve">Dependent on </w:t>
            </w:r>
            <w:r w:rsidR="00E453B7">
              <w:rPr>
                <w:rFonts w:eastAsia="Times New Roman" w:cs="Open Sans"/>
                <w:sz w:val="20"/>
                <w:szCs w:val="18"/>
              </w:rPr>
              <w:t xml:space="preserve">UN </w:t>
            </w:r>
            <w:r w:rsidR="002E2B11">
              <w:rPr>
                <w:rFonts w:eastAsia="Times New Roman" w:cs="Open Sans"/>
                <w:sz w:val="20"/>
                <w:szCs w:val="18"/>
              </w:rPr>
              <w:t>schedule</w:t>
            </w:r>
            <w:r w:rsidR="00E453B7">
              <w:rPr>
                <w:rFonts w:eastAsia="Times New Roman" w:cs="Open Sans"/>
                <w:sz w:val="20"/>
                <w:szCs w:val="18"/>
              </w:rPr>
              <w:t>s</w:t>
            </w:r>
          </w:p>
        </w:tc>
      </w:tr>
      <w:tr w:rsidR="002E2B11" w:rsidRPr="006F7E8F" w14:paraId="3A53894A" w14:textId="77777777" w:rsidTr="00625841">
        <w:trPr>
          <w:trHeight w:val="383"/>
        </w:trPr>
        <w:tc>
          <w:tcPr>
            <w:tcW w:w="1559" w:type="dxa"/>
            <w:vMerge/>
            <w:shd w:val="clear" w:color="auto" w:fill="B5C434"/>
          </w:tcPr>
          <w:p w14:paraId="383EF3F0" w14:textId="77777777" w:rsidR="002E2B11" w:rsidRPr="006F7E8F" w:rsidRDefault="002E2B11" w:rsidP="00981730">
            <w:pPr>
              <w:spacing w:before="120" w:after="120"/>
              <w:ind w:left="360"/>
              <w:rPr>
                <w:rFonts w:eastAsia="Times New Roman" w:cs="Open Sans"/>
                <w:sz w:val="20"/>
                <w:szCs w:val="18"/>
              </w:rPr>
            </w:pPr>
            <w:bookmarkStart w:id="7" w:name="_Hlk14172663"/>
          </w:p>
        </w:tc>
        <w:tc>
          <w:tcPr>
            <w:tcW w:w="2977" w:type="dxa"/>
            <w:vMerge/>
            <w:shd w:val="clear" w:color="auto" w:fill="auto"/>
          </w:tcPr>
          <w:p w14:paraId="62210691" w14:textId="77777777" w:rsidR="002E2B11" w:rsidRPr="006F4734" w:rsidRDefault="002E2B11" w:rsidP="00981730">
            <w:pPr>
              <w:spacing w:before="120" w:after="0"/>
              <w:rPr>
                <w:rFonts w:eastAsia="Times New Roman" w:cs="Open Sans"/>
                <w:sz w:val="20"/>
                <w:szCs w:val="18"/>
              </w:rPr>
            </w:pPr>
          </w:p>
        </w:tc>
        <w:tc>
          <w:tcPr>
            <w:tcW w:w="5103" w:type="dxa"/>
            <w:vMerge w:val="restart"/>
            <w:shd w:val="clear" w:color="auto" w:fill="auto"/>
          </w:tcPr>
          <w:p w14:paraId="2805D459" w14:textId="28CB4CBF" w:rsidR="002E2B11" w:rsidRPr="006F4734" w:rsidRDefault="002E2B11" w:rsidP="00981730">
            <w:pPr>
              <w:spacing w:before="0" w:after="0"/>
              <w:ind w:left="-37"/>
              <w:contextualSpacing/>
              <w:rPr>
                <w:rFonts w:eastAsia="Times New Roman" w:cs="Open Sans"/>
                <w:sz w:val="20"/>
                <w:szCs w:val="18"/>
              </w:rPr>
            </w:pPr>
            <w:r>
              <w:rPr>
                <w:color w:val="000000"/>
                <w:sz w:val="20"/>
                <w:szCs w:val="20"/>
              </w:rPr>
              <w:t>Arguments presented in our submissions to courts influence outcomes for parties and non-parties in a way that is consistent with human rights.</w:t>
            </w:r>
          </w:p>
        </w:tc>
        <w:tc>
          <w:tcPr>
            <w:tcW w:w="8363" w:type="dxa"/>
            <w:shd w:val="clear" w:color="auto" w:fill="auto"/>
          </w:tcPr>
          <w:p w14:paraId="02B034D9" w14:textId="025159DB" w:rsidR="002E2B11" w:rsidRPr="009A2E19" w:rsidRDefault="002E2B11" w:rsidP="009A2E19">
            <w:pPr>
              <w:spacing w:before="0" w:after="0"/>
              <w:contextualSpacing/>
              <w:rPr>
                <w:rFonts w:eastAsia="Times New Roman" w:cs="Open Sans"/>
                <w:color w:val="000000"/>
                <w:sz w:val="20"/>
                <w:szCs w:val="18"/>
              </w:rPr>
            </w:pPr>
            <w:r w:rsidRPr="009A2E19">
              <w:rPr>
                <w:rFonts w:eastAsia="Times New Roman" w:cs="Open Sans"/>
                <w:sz w:val="20"/>
                <w:szCs w:val="18"/>
              </w:rPr>
              <w:t xml:space="preserve">Majority of our applications to the courts for leave to appear are accepted. </w:t>
            </w:r>
            <w:r w:rsidR="00625841" w:rsidRPr="00625841">
              <w:rPr>
                <w:rFonts w:eastAsia="Times New Roman" w:cs="Open Sans"/>
                <w:b/>
                <w:bCs/>
                <w:color w:val="073145"/>
                <w:sz w:val="20"/>
                <w:szCs w:val="18"/>
              </w:rPr>
              <w:t xml:space="preserve">[PBS </w:t>
            </w:r>
            <w:r w:rsidR="00625841">
              <w:rPr>
                <w:rFonts w:eastAsia="Times New Roman" w:cs="Open Sans"/>
                <w:b/>
                <w:bCs/>
                <w:color w:val="073145"/>
                <w:sz w:val="20"/>
                <w:szCs w:val="18"/>
              </w:rPr>
              <w:t>target</w:t>
            </w:r>
            <w:r w:rsidR="00625841" w:rsidRPr="00625841">
              <w:rPr>
                <w:rFonts w:eastAsia="Times New Roman" w:cs="Open Sans"/>
                <w:b/>
                <w:bCs/>
                <w:color w:val="073145"/>
                <w:sz w:val="20"/>
                <w:szCs w:val="18"/>
              </w:rPr>
              <w:t>]</w:t>
            </w:r>
          </w:p>
        </w:tc>
        <w:tc>
          <w:tcPr>
            <w:tcW w:w="3544" w:type="dxa"/>
            <w:vMerge w:val="restart"/>
            <w:shd w:val="clear" w:color="auto" w:fill="auto"/>
          </w:tcPr>
          <w:p w14:paraId="3CE82C7E" w14:textId="4C891969" w:rsidR="002E2B11" w:rsidRPr="006F7E8F" w:rsidRDefault="001B7432" w:rsidP="00981730">
            <w:pPr>
              <w:spacing w:before="0" w:after="0"/>
              <w:ind w:left="-37"/>
              <w:contextualSpacing/>
              <w:rPr>
                <w:rFonts w:eastAsia="Times New Roman" w:cs="Open Sans"/>
                <w:sz w:val="20"/>
                <w:szCs w:val="18"/>
              </w:rPr>
            </w:pPr>
            <w:r>
              <w:rPr>
                <w:rFonts w:eastAsia="Times New Roman" w:cs="Open Sans"/>
                <w:sz w:val="20"/>
                <w:szCs w:val="18"/>
              </w:rPr>
              <w:t>Annual</w:t>
            </w:r>
          </w:p>
        </w:tc>
      </w:tr>
      <w:tr w:rsidR="002E2B11" w:rsidRPr="006F7E8F" w14:paraId="0B28F57C" w14:textId="77777777" w:rsidTr="00625841">
        <w:trPr>
          <w:trHeight w:val="151"/>
        </w:trPr>
        <w:tc>
          <w:tcPr>
            <w:tcW w:w="1559" w:type="dxa"/>
            <w:vMerge/>
            <w:tcBorders>
              <w:bottom w:val="single" w:sz="4" w:space="0" w:color="auto"/>
            </w:tcBorders>
            <w:shd w:val="clear" w:color="auto" w:fill="B5C434"/>
          </w:tcPr>
          <w:p w14:paraId="31C6A53D" w14:textId="77777777" w:rsidR="002E2B11" w:rsidRPr="006F7E8F" w:rsidRDefault="002E2B11" w:rsidP="00981730">
            <w:pPr>
              <w:spacing w:before="120" w:after="120"/>
              <w:ind w:left="360"/>
              <w:rPr>
                <w:rFonts w:eastAsia="Times New Roman" w:cs="Open Sans"/>
                <w:sz w:val="20"/>
                <w:szCs w:val="18"/>
              </w:rPr>
            </w:pPr>
          </w:p>
        </w:tc>
        <w:tc>
          <w:tcPr>
            <w:tcW w:w="2977" w:type="dxa"/>
            <w:vMerge/>
            <w:tcBorders>
              <w:bottom w:val="single" w:sz="4" w:space="0" w:color="auto"/>
            </w:tcBorders>
            <w:shd w:val="clear" w:color="auto" w:fill="auto"/>
          </w:tcPr>
          <w:p w14:paraId="2CBDE855" w14:textId="77777777" w:rsidR="002E2B11" w:rsidRPr="006F7E8F" w:rsidRDefault="002E2B11" w:rsidP="00981730">
            <w:pPr>
              <w:spacing w:before="120" w:after="0"/>
              <w:rPr>
                <w:rFonts w:eastAsia="Times New Roman" w:cs="Open Sans"/>
                <w:sz w:val="20"/>
                <w:szCs w:val="18"/>
              </w:rPr>
            </w:pPr>
          </w:p>
        </w:tc>
        <w:tc>
          <w:tcPr>
            <w:tcW w:w="5103" w:type="dxa"/>
            <w:vMerge/>
            <w:tcBorders>
              <w:bottom w:val="single" w:sz="4" w:space="0" w:color="auto"/>
            </w:tcBorders>
            <w:shd w:val="clear" w:color="auto" w:fill="auto"/>
          </w:tcPr>
          <w:p w14:paraId="0C86D02F" w14:textId="77777777" w:rsidR="002E2B11" w:rsidRPr="00E64E82" w:rsidRDefault="002E2B11" w:rsidP="00981730">
            <w:pPr>
              <w:spacing w:before="0" w:after="0"/>
              <w:ind w:left="-37"/>
              <w:contextualSpacing/>
              <w:rPr>
                <w:rFonts w:eastAsia="Times New Roman" w:cs="Open Sans"/>
                <w:sz w:val="20"/>
                <w:szCs w:val="18"/>
              </w:rPr>
            </w:pPr>
          </w:p>
        </w:tc>
        <w:tc>
          <w:tcPr>
            <w:tcW w:w="8363" w:type="dxa"/>
            <w:tcBorders>
              <w:bottom w:val="single" w:sz="4" w:space="0" w:color="auto"/>
            </w:tcBorders>
            <w:shd w:val="clear" w:color="auto" w:fill="auto"/>
          </w:tcPr>
          <w:p w14:paraId="2AED639B" w14:textId="1DFB29CB"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Instances of our court submissions reflected in the final judgment of the matter.</w:t>
            </w:r>
          </w:p>
        </w:tc>
        <w:tc>
          <w:tcPr>
            <w:tcW w:w="3544" w:type="dxa"/>
            <w:vMerge/>
            <w:tcBorders>
              <w:bottom w:val="single" w:sz="4" w:space="0" w:color="auto"/>
            </w:tcBorders>
            <w:shd w:val="clear" w:color="auto" w:fill="auto"/>
          </w:tcPr>
          <w:p w14:paraId="7013048D" w14:textId="77777777" w:rsidR="002E2B11" w:rsidRPr="006F7E8F" w:rsidRDefault="002E2B11" w:rsidP="00981730">
            <w:pPr>
              <w:spacing w:before="0" w:after="0"/>
              <w:ind w:left="-37"/>
              <w:contextualSpacing/>
              <w:rPr>
                <w:rFonts w:eastAsia="Times New Roman" w:cs="Open Sans"/>
                <w:sz w:val="20"/>
                <w:szCs w:val="18"/>
              </w:rPr>
            </w:pPr>
          </w:p>
        </w:tc>
      </w:tr>
      <w:tr w:rsidR="00625841" w:rsidRPr="006F7E8F" w14:paraId="2347B621" w14:textId="77777777" w:rsidTr="00625841">
        <w:trPr>
          <w:trHeight w:val="117"/>
        </w:trPr>
        <w:tc>
          <w:tcPr>
            <w:tcW w:w="1559" w:type="dxa"/>
            <w:tcBorders>
              <w:left w:val="nil"/>
              <w:right w:val="nil"/>
            </w:tcBorders>
            <w:shd w:val="clear" w:color="auto" w:fill="auto"/>
          </w:tcPr>
          <w:p w14:paraId="783A6A5A" w14:textId="77777777" w:rsidR="00625841" w:rsidRPr="006F7E8F" w:rsidRDefault="00625841" w:rsidP="00981730">
            <w:pPr>
              <w:spacing w:before="120" w:after="120"/>
              <w:contextualSpacing/>
              <w:rPr>
                <w:rFonts w:eastAsia="Times New Roman" w:cs="Open Sans"/>
                <w:sz w:val="20"/>
                <w:szCs w:val="18"/>
              </w:rPr>
            </w:pPr>
          </w:p>
        </w:tc>
        <w:tc>
          <w:tcPr>
            <w:tcW w:w="2977" w:type="dxa"/>
            <w:tcBorders>
              <w:left w:val="nil"/>
              <w:right w:val="nil"/>
            </w:tcBorders>
            <w:shd w:val="clear" w:color="auto" w:fill="auto"/>
          </w:tcPr>
          <w:p w14:paraId="740EFEAC" w14:textId="77777777" w:rsidR="00625841" w:rsidRPr="0087086E" w:rsidRDefault="00625841" w:rsidP="00981730">
            <w:pPr>
              <w:spacing w:before="120" w:after="120"/>
              <w:rPr>
                <w:rFonts w:eastAsia="Times New Roman" w:cs="Open Sans"/>
                <w:sz w:val="20"/>
                <w:szCs w:val="18"/>
              </w:rPr>
            </w:pPr>
          </w:p>
        </w:tc>
        <w:tc>
          <w:tcPr>
            <w:tcW w:w="5103" w:type="dxa"/>
            <w:tcBorders>
              <w:left w:val="nil"/>
              <w:right w:val="nil"/>
            </w:tcBorders>
            <w:shd w:val="clear" w:color="auto" w:fill="auto"/>
          </w:tcPr>
          <w:p w14:paraId="7E4CEF9C" w14:textId="77777777" w:rsidR="00625841" w:rsidRPr="0083599B" w:rsidRDefault="00625841" w:rsidP="009E0284">
            <w:pPr>
              <w:spacing w:before="0" w:after="0"/>
              <w:ind w:left="-37"/>
              <w:contextualSpacing/>
              <w:rPr>
                <w:rFonts w:eastAsia="Times New Roman" w:cs="Open Sans"/>
                <w:sz w:val="20"/>
                <w:szCs w:val="18"/>
              </w:rPr>
            </w:pPr>
          </w:p>
        </w:tc>
        <w:tc>
          <w:tcPr>
            <w:tcW w:w="8363" w:type="dxa"/>
            <w:tcBorders>
              <w:left w:val="nil"/>
              <w:right w:val="nil"/>
            </w:tcBorders>
            <w:shd w:val="clear" w:color="auto" w:fill="auto"/>
          </w:tcPr>
          <w:p w14:paraId="68913FDC" w14:textId="77777777" w:rsidR="00625841" w:rsidRPr="009A2E19" w:rsidRDefault="00625841" w:rsidP="009A2E19">
            <w:pPr>
              <w:spacing w:before="0" w:after="0"/>
              <w:contextualSpacing/>
              <w:rPr>
                <w:rFonts w:eastAsia="Times New Roman" w:cs="Open Sans"/>
                <w:sz w:val="20"/>
                <w:szCs w:val="18"/>
              </w:rPr>
            </w:pPr>
          </w:p>
        </w:tc>
        <w:tc>
          <w:tcPr>
            <w:tcW w:w="3544" w:type="dxa"/>
            <w:tcBorders>
              <w:left w:val="nil"/>
              <w:right w:val="nil"/>
            </w:tcBorders>
            <w:shd w:val="clear" w:color="auto" w:fill="auto"/>
          </w:tcPr>
          <w:p w14:paraId="274BD56E" w14:textId="77777777" w:rsidR="00625841" w:rsidRDefault="00625841" w:rsidP="00981730">
            <w:pPr>
              <w:spacing w:before="0" w:after="0"/>
              <w:ind w:left="-37"/>
              <w:contextualSpacing/>
              <w:rPr>
                <w:rFonts w:eastAsia="Times New Roman" w:cs="Open Sans"/>
                <w:sz w:val="20"/>
                <w:szCs w:val="18"/>
              </w:rPr>
            </w:pPr>
          </w:p>
        </w:tc>
      </w:tr>
      <w:bookmarkEnd w:id="7"/>
      <w:tr w:rsidR="0083599B" w:rsidRPr="006F7E8F" w14:paraId="66D98C3C" w14:textId="77777777" w:rsidTr="00C96664">
        <w:trPr>
          <w:trHeight w:val="954"/>
        </w:trPr>
        <w:tc>
          <w:tcPr>
            <w:tcW w:w="1559" w:type="dxa"/>
            <w:vMerge w:val="restart"/>
            <w:shd w:val="clear" w:color="auto" w:fill="00A3A4"/>
          </w:tcPr>
          <w:p w14:paraId="417C65A6" w14:textId="0AD9DFE4" w:rsidR="0083599B" w:rsidRPr="006F7E8F" w:rsidRDefault="0083599B" w:rsidP="00CE3F83">
            <w:pPr>
              <w:spacing w:after="120"/>
              <w:rPr>
                <w:rFonts w:eastAsia="Times New Roman" w:cs="Open Sans"/>
                <w:sz w:val="20"/>
                <w:szCs w:val="18"/>
              </w:rPr>
            </w:pPr>
            <w:r w:rsidRPr="00EB4334">
              <w:rPr>
                <w:rFonts w:eastAsia="Times New Roman" w:cs="Open Sans"/>
                <w:color w:val="FFFFFF" w:themeColor="background1"/>
                <w:sz w:val="20"/>
                <w:szCs w:val="18"/>
              </w:rPr>
              <w:t>More people, communities, and organisations respect and understand human rights</w:t>
            </w:r>
          </w:p>
        </w:tc>
        <w:tc>
          <w:tcPr>
            <w:tcW w:w="2977" w:type="dxa"/>
            <w:vMerge w:val="restart"/>
            <w:shd w:val="clear" w:color="auto" w:fill="auto"/>
          </w:tcPr>
          <w:p w14:paraId="5C547A0E" w14:textId="0A0D3D6B" w:rsidR="0083599B" w:rsidRPr="0087086E" w:rsidRDefault="0083599B" w:rsidP="00981730">
            <w:pPr>
              <w:spacing w:before="120" w:after="120"/>
              <w:rPr>
                <w:rFonts w:eastAsia="Times New Roman" w:cs="Open Sans"/>
                <w:color w:val="FF0000"/>
                <w:sz w:val="20"/>
                <w:szCs w:val="18"/>
              </w:rPr>
            </w:pPr>
            <w:r w:rsidRPr="0087086E">
              <w:rPr>
                <w:rFonts w:eastAsia="Times New Roman" w:cs="Open Sans"/>
                <w:sz w:val="20"/>
                <w:szCs w:val="18"/>
              </w:rPr>
              <w:t>Our e</w:t>
            </w:r>
            <w:r w:rsidRPr="0087086E">
              <w:rPr>
                <w:rFonts w:eastAsia="Times New Roman" w:cs="Open Sans"/>
                <w:color w:val="000000"/>
                <w:sz w:val="20"/>
                <w:szCs w:val="18"/>
              </w:rPr>
              <w:t xml:space="preserve">ducation activities </w:t>
            </w:r>
            <w:r w:rsidRPr="0087086E">
              <w:rPr>
                <w:rFonts w:eastAsia="Times New Roman" w:cs="Open Sans"/>
                <w:sz w:val="20"/>
                <w:szCs w:val="18"/>
              </w:rPr>
              <w:t xml:space="preserve">increase capability among individuals, communities and organisations to promote and protect human </w:t>
            </w:r>
            <w:r w:rsidRPr="0087086E">
              <w:rPr>
                <w:rFonts w:eastAsia="Times New Roman" w:cs="Open Sans"/>
                <w:color w:val="000000"/>
                <w:sz w:val="20"/>
                <w:szCs w:val="18"/>
              </w:rPr>
              <w:t xml:space="preserve">rights and address discrimination. </w:t>
            </w:r>
            <w:r w:rsidR="00EB4334" w:rsidRPr="00625841">
              <w:rPr>
                <w:rFonts w:eastAsia="Times New Roman" w:cs="Open Sans"/>
                <w:b/>
                <w:bCs/>
                <w:color w:val="073145"/>
                <w:sz w:val="20"/>
                <w:szCs w:val="18"/>
              </w:rPr>
              <w:t>[PBS criteria]</w:t>
            </w:r>
          </w:p>
          <w:p w14:paraId="2FDB4261" w14:textId="644B0B3D" w:rsidR="0083599B" w:rsidRPr="0087086E" w:rsidRDefault="0083599B" w:rsidP="00981730">
            <w:pPr>
              <w:spacing w:before="120" w:after="120"/>
              <w:rPr>
                <w:rFonts w:eastAsia="Times New Roman" w:cs="Open Sans"/>
                <w:color w:val="FF0000"/>
                <w:sz w:val="20"/>
                <w:szCs w:val="18"/>
              </w:rPr>
            </w:pPr>
            <w:r w:rsidRPr="0087086E">
              <w:rPr>
                <w:rFonts w:eastAsia="Times New Roman" w:cs="Open Sans"/>
                <w:color w:val="000000"/>
                <w:sz w:val="20"/>
                <w:szCs w:val="18"/>
              </w:rPr>
              <w:t xml:space="preserve">Our information resources, services, events and campaigns reach, inform and influence users and audiences. </w:t>
            </w:r>
            <w:r w:rsidR="00EB4334" w:rsidRPr="00625841">
              <w:rPr>
                <w:rFonts w:eastAsia="Times New Roman" w:cs="Open Sans"/>
                <w:b/>
                <w:bCs/>
                <w:color w:val="073145"/>
                <w:sz w:val="20"/>
                <w:szCs w:val="18"/>
              </w:rPr>
              <w:t>[PBS criteria]</w:t>
            </w:r>
          </w:p>
        </w:tc>
        <w:tc>
          <w:tcPr>
            <w:tcW w:w="5103" w:type="dxa"/>
            <w:vMerge w:val="restart"/>
            <w:shd w:val="clear" w:color="auto" w:fill="auto"/>
          </w:tcPr>
          <w:p w14:paraId="0E831557" w14:textId="5EE478E8" w:rsidR="0083599B" w:rsidRPr="009E0284" w:rsidRDefault="0083599B" w:rsidP="009E0284">
            <w:pPr>
              <w:spacing w:before="0" w:after="0"/>
              <w:ind w:left="-37"/>
              <w:contextualSpacing/>
              <w:rPr>
                <w:rFonts w:eastAsia="Times New Roman" w:cs="Open Sans"/>
                <w:color w:val="FF0000"/>
                <w:sz w:val="20"/>
                <w:szCs w:val="18"/>
              </w:rPr>
            </w:pPr>
            <w:r w:rsidRPr="0083599B">
              <w:rPr>
                <w:rFonts w:eastAsia="Times New Roman" w:cs="Open Sans"/>
                <w:sz w:val="20"/>
                <w:szCs w:val="18"/>
              </w:rPr>
              <w:t xml:space="preserve">Participants in education activities benefit through </w:t>
            </w:r>
            <w:r w:rsidRPr="0083599B">
              <w:rPr>
                <w:rFonts w:eastAsia="Times New Roman" w:cs="Open Sans"/>
                <w:iCs/>
                <w:sz w:val="20"/>
                <w:szCs w:val="18"/>
              </w:rPr>
              <w:t>achieving the stated human rights learning and capability objectives</w:t>
            </w:r>
            <w:r w:rsidRPr="0083599B">
              <w:rPr>
                <w:rFonts w:eastAsia="Times New Roman" w:cs="Open Sans"/>
                <w:sz w:val="20"/>
                <w:szCs w:val="18"/>
              </w:rPr>
              <w:t>.</w:t>
            </w:r>
          </w:p>
        </w:tc>
        <w:tc>
          <w:tcPr>
            <w:tcW w:w="8363" w:type="dxa"/>
            <w:shd w:val="clear" w:color="auto" w:fill="auto"/>
          </w:tcPr>
          <w:p w14:paraId="55D654A4" w14:textId="038F47AA" w:rsidR="0083599B" w:rsidRPr="009A2E19" w:rsidRDefault="0083599B" w:rsidP="009A2E19">
            <w:pPr>
              <w:spacing w:before="0" w:after="0"/>
              <w:contextualSpacing/>
              <w:rPr>
                <w:rFonts w:eastAsia="Times New Roman" w:cs="Open Sans"/>
                <w:sz w:val="20"/>
                <w:szCs w:val="18"/>
              </w:rPr>
            </w:pPr>
            <w:r w:rsidRPr="009A2E19">
              <w:rPr>
                <w:rFonts w:eastAsia="Times New Roman" w:cs="Open Sans"/>
                <w:sz w:val="20"/>
                <w:szCs w:val="18"/>
              </w:rPr>
              <w:t>Most participants in our adult training programs report</w:t>
            </w:r>
            <w:r w:rsidR="001B7432" w:rsidRPr="009A2E19">
              <w:rPr>
                <w:rFonts w:eastAsia="Times New Roman" w:cs="Open Sans"/>
                <w:sz w:val="20"/>
                <w:szCs w:val="18"/>
              </w:rPr>
              <w:t>:</w:t>
            </w:r>
          </w:p>
          <w:p w14:paraId="1A79ED99" w14:textId="2F7A7CBC" w:rsidR="0083599B" w:rsidRPr="00AF33CF" w:rsidRDefault="001B7432" w:rsidP="00981730">
            <w:pPr>
              <w:pStyle w:val="Paragrafoelenco"/>
              <w:numPr>
                <w:ilvl w:val="0"/>
                <w:numId w:val="21"/>
              </w:numPr>
              <w:spacing w:before="0" w:after="0"/>
              <w:contextualSpacing/>
              <w:rPr>
                <w:rFonts w:eastAsia="Times New Roman" w:cs="Open Sans"/>
                <w:sz w:val="20"/>
                <w:szCs w:val="18"/>
              </w:rPr>
            </w:pPr>
            <w:r>
              <w:rPr>
                <w:rFonts w:eastAsia="Times New Roman" w:cs="Open Sans"/>
                <w:sz w:val="20"/>
                <w:szCs w:val="18"/>
              </w:rPr>
              <w:t>s</w:t>
            </w:r>
            <w:r w:rsidR="0083599B" w:rsidRPr="00AF33CF">
              <w:rPr>
                <w:rFonts w:eastAsia="Times New Roman" w:cs="Open Sans"/>
                <w:sz w:val="20"/>
                <w:szCs w:val="18"/>
              </w:rPr>
              <w:t xml:space="preserve">atisfaction with the quality and relevance of the training; </w:t>
            </w:r>
          </w:p>
          <w:p w14:paraId="529CCE23" w14:textId="014B9B15" w:rsidR="0083599B" w:rsidRPr="00AF33CF" w:rsidRDefault="001B7432" w:rsidP="00981730">
            <w:pPr>
              <w:pStyle w:val="Paragrafoelenco"/>
              <w:numPr>
                <w:ilvl w:val="0"/>
                <w:numId w:val="21"/>
              </w:numPr>
              <w:spacing w:before="0" w:after="0"/>
              <w:contextualSpacing/>
              <w:rPr>
                <w:rFonts w:eastAsia="Times New Roman" w:cs="Open Sans"/>
                <w:sz w:val="20"/>
                <w:szCs w:val="18"/>
              </w:rPr>
            </w:pPr>
            <w:r>
              <w:rPr>
                <w:rFonts w:eastAsia="Times New Roman" w:cs="Open Sans"/>
                <w:sz w:val="20"/>
                <w:szCs w:val="18"/>
              </w:rPr>
              <w:t>i</w:t>
            </w:r>
            <w:r w:rsidR="0083599B" w:rsidRPr="00AF33CF">
              <w:rPr>
                <w:rFonts w:eastAsia="Times New Roman" w:cs="Open Sans"/>
                <w:sz w:val="20"/>
                <w:szCs w:val="18"/>
              </w:rPr>
              <w:t>ncreased</w:t>
            </w:r>
            <w:r w:rsidR="0083599B" w:rsidRPr="00AF33CF">
              <w:rPr>
                <w:rFonts w:eastAsia="Times New Roman" w:cs="Open Sans"/>
                <w:sz w:val="20"/>
                <w:szCs w:val="18"/>
                <w:lang w:val="en"/>
              </w:rPr>
              <w:t xml:space="preserve"> understanding, expertise, reframed attitudes</w:t>
            </w:r>
            <w:r>
              <w:rPr>
                <w:rFonts w:eastAsia="Times New Roman" w:cs="Open Sans"/>
                <w:sz w:val="20"/>
                <w:szCs w:val="18"/>
                <w:lang w:val="en"/>
              </w:rPr>
              <w:t>.</w:t>
            </w:r>
            <w:r w:rsidR="0083599B" w:rsidRPr="00AF33CF">
              <w:rPr>
                <w:rFonts w:eastAsia="Times New Roman" w:cs="Open Sans"/>
                <w:sz w:val="20"/>
                <w:szCs w:val="18"/>
                <w:lang w:val="en"/>
              </w:rPr>
              <w:t xml:space="preserve"> </w:t>
            </w:r>
            <w:r w:rsidR="00625841" w:rsidRPr="00625841">
              <w:rPr>
                <w:rFonts w:eastAsia="Times New Roman" w:cs="Open Sans"/>
                <w:b/>
                <w:bCs/>
                <w:color w:val="073145"/>
                <w:sz w:val="20"/>
                <w:szCs w:val="18"/>
              </w:rPr>
              <w:t xml:space="preserve">[PBS </w:t>
            </w:r>
            <w:r w:rsidR="00625841">
              <w:rPr>
                <w:rFonts w:eastAsia="Times New Roman" w:cs="Open Sans"/>
                <w:b/>
                <w:bCs/>
                <w:color w:val="073145"/>
                <w:sz w:val="20"/>
                <w:szCs w:val="18"/>
              </w:rPr>
              <w:t>target</w:t>
            </w:r>
            <w:r w:rsidR="00625841" w:rsidRPr="00625841">
              <w:rPr>
                <w:rFonts w:eastAsia="Times New Roman" w:cs="Open Sans"/>
                <w:b/>
                <w:bCs/>
                <w:color w:val="073145"/>
                <w:sz w:val="20"/>
                <w:szCs w:val="18"/>
              </w:rPr>
              <w:t>]</w:t>
            </w:r>
          </w:p>
        </w:tc>
        <w:tc>
          <w:tcPr>
            <w:tcW w:w="3544" w:type="dxa"/>
            <w:shd w:val="clear" w:color="auto" w:fill="auto"/>
          </w:tcPr>
          <w:p w14:paraId="649D0076" w14:textId="16BFF811" w:rsidR="0083599B" w:rsidRPr="006F7E8F" w:rsidRDefault="0083599B" w:rsidP="00981730">
            <w:pPr>
              <w:spacing w:before="0" w:after="0"/>
              <w:ind w:left="-37"/>
              <w:contextualSpacing/>
              <w:rPr>
                <w:rFonts w:eastAsia="Times New Roman" w:cs="Open Sans"/>
                <w:sz w:val="20"/>
                <w:szCs w:val="18"/>
              </w:rPr>
            </w:pPr>
            <w:r>
              <w:rPr>
                <w:rFonts w:eastAsia="Times New Roman" w:cs="Open Sans"/>
                <w:sz w:val="20"/>
                <w:szCs w:val="18"/>
              </w:rPr>
              <w:t>Annual</w:t>
            </w:r>
          </w:p>
        </w:tc>
      </w:tr>
      <w:tr w:rsidR="0083599B" w:rsidRPr="006F7E8F" w14:paraId="5E698F5A" w14:textId="77777777" w:rsidTr="00C96664">
        <w:trPr>
          <w:trHeight w:val="549"/>
        </w:trPr>
        <w:tc>
          <w:tcPr>
            <w:tcW w:w="1559" w:type="dxa"/>
            <w:vMerge/>
            <w:shd w:val="clear" w:color="auto" w:fill="00A3A4"/>
          </w:tcPr>
          <w:p w14:paraId="42E5B4D6" w14:textId="77777777" w:rsidR="0083599B" w:rsidRPr="006F7E8F" w:rsidRDefault="0083599B" w:rsidP="00981730">
            <w:pPr>
              <w:spacing w:before="120" w:after="120"/>
              <w:contextualSpacing/>
              <w:rPr>
                <w:rFonts w:eastAsia="Times New Roman" w:cs="Open Sans"/>
                <w:sz w:val="20"/>
                <w:szCs w:val="18"/>
              </w:rPr>
            </w:pPr>
          </w:p>
        </w:tc>
        <w:tc>
          <w:tcPr>
            <w:tcW w:w="2977" w:type="dxa"/>
            <w:vMerge/>
            <w:shd w:val="clear" w:color="auto" w:fill="auto"/>
          </w:tcPr>
          <w:p w14:paraId="015743D2" w14:textId="77777777" w:rsidR="0083599B" w:rsidRPr="0087086E" w:rsidRDefault="0083599B" w:rsidP="00981730">
            <w:pPr>
              <w:spacing w:before="120" w:after="120"/>
              <w:rPr>
                <w:rFonts w:eastAsia="Times New Roman" w:cs="Open Sans"/>
                <w:color w:val="000000"/>
                <w:sz w:val="20"/>
                <w:szCs w:val="18"/>
              </w:rPr>
            </w:pPr>
          </w:p>
        </w:tc>
        <w:tc>
          <w:tcPr>
            <w:tcW w:w="5103" w:type="dxa"/>
            <w:vMerge/>
            <w:shd w:val="clear" w:color="auto" w:fill="auto"/>
          </w:tcPr>
          <w:p w14:paraId="0BD18D1C" w14:textId="77777777" w:rsidR="0083599B" w:rsidRPr="0083599B" w:rsidRDefault="0083599B" w:rsidP="00981730">
            <w:pPr>
              <w:spacing w:before="0" w:after="0"/>
              <w:ind w:left="-37"/>
              <w:contextualSpacing/>
              <w:rPr>
                <w:rFonts w:eastAsia="Times New Roman" w:cs="Open Sans"/>
                <w:sz w:val="20"/>
                <w:szCs w:val="18"/>
              </w:rPr>
            </w:pPr>
          </w:p>
        </w:tc>
        <w:tc>
          <w:tcPr>
            <w:tcW w:w="8363" w:type="dxa"/>
            <w:shd w:val="clear" w:color="auto" w:fill="auto"/>
          </w:tcPr>
          <w:p w14:paraId="011F1909" w14:textId="063BD17E" w:rsidR="0083599B" w:rsidRPr="009A2E19" w:rsidRDefault="0083599B" w:rsidP="009A2E19">
            <w:pPr>
              <w:spacing w:before="0" w:after="0"/>
              <w:contextualSpacing/>
              <w:rPr>
                <w:rFonts w:eastAsia="Times New Roman" w:cs="Open Sans"/>
                <w:sz w:val="20"/>
                <w:szCs w:val="18"/>
              </w:rPr>
            </w:pPr>
            <w:r w:rsidRPr="009A2E19">
              <w:rPr>
                <w:rFonts w:eastAsia="Times New Roman" w:cs="Open Sans"/>
                <w:sz w:val="20"/>
                <w:szCs w:val="18"/>
              </w:rPr>
              <w:t xml:space="preserve">Instances of organisations </w:t>
            </w:r>
            <w:r w:rsidR="00AF33CF" w:rsidRPr="009A2E19">
              <w:rPr>
                <w:rFonts w:eastAsia="Times New Roman" w:cs="Open Sans"/>
                <w:sz w:val="20"/>
                <w:szCs w:val="18"/>
              </w:rPr>
              <w:t>working with the</w:t>
            </w:r>
            <w:r w:rsidRPr="009A2E19">
              <w:rPr>
                <w:rFonts w:eastAsia="Times New Roman" w:cs="Open Sans"/>
                <w:sz w:val="20"/>
                <w:szCs w:val="18"/>
              </w:rPr>
              <w:t xml:space="preserve"> Commission</w:t>
            </w:r>
            <w:r w:rsidR="00AF33CF" w:rsidRPr="009A2E19">
              <w:rPr>
                <w:rFonts w:eastAsia="Times New Roman" w:cs="Open Sans"/>
                <w:sz w:val="20"/>
                <w:szCs w:val="18"/>
              </w:rPr>
              <w:t xml:space="preserve"> to develop human rights education/training </w:t>
            </w:r>
            <w:r w:rsidR="009A2E19" w:rsidRPr="009A2E19">
              <w:rPr>
                <w:rFonts w:eastAsia="Times New Roman" w:cs="Open Sans"/>
                <w:sz w:val="20"/>
                <w:szCs w:val="18"/>
              </w:rPr>
              <w:t>activities.</w:t>
            </w:r>
            <w:r w:rsidR="00AF33CF" w:rsidRPr="009A2E19">
              <w:rPr>
                <w:rFonts w:eastAsia="Times New Roman" w:cs="Open Sans"/>
                <w:sz w:val="20"/>
                <w:szCs w:val="18"/>
              </w:rPr>
              <w:t xml:space="preserve"> </w:t>
            </w:r>
          </w:p>
        </w:tc>
        <w:tc>
          <w:tcPr>
            <w:tcW w:w="3544" w:type="dxa"/>
            <w:shd w:val="clear" w:color="auto" w:fill="auto"/>
          </w:tcPr>
          <w:p w14:paraId="21100D2E" w14:textId="77777777" w:rsidR="0083599B" w:rsidRPr="006F7E8F" w:rsidRDefault="0083599B" w:rsidP="00981730">
            <w:pPr>
              <w:spacing w:before="0" w:after="0"/>
              <w:ind w:left="-37"/>
              <w:contextualSpacing/>
              <w:rPr>
                <w:rFonts w:eastAsia="Times New Roman" w:cs="Open Sans"/>
                <w:sz w:val="20"/>
                <w:szCs w:val="18"/>
              </w:rPr>
            </w:pPr>
            <w:r>
              <w:rPr>
                <w:rFonts w:eastAsia="Times New Roman" w:cs="Open Sans"/>
                <w:sz w:val="20"/>
                <w:szCs w:val="18"/>
              </w:rPr>
              <w:t>Annual</w:t>
            </w:r>
          </w:p>
        </w:tc>
      </w:tr>
      <w:tr w:rsidR="002E2B11" w:rsidRPr="006F7E8F" w14:paraId="1D83714B" w14:textId="77777777" w:rsidTr="00C96664">
        <w:trPr>
          <w:trHeight w:val="841"/>
        </w:trPr>
        <w:tc>
          <w:tcPr>
            <w:tcW w:w="1559" w:type="dxa"/>
            <w:vMerge/>
            <w:shd w:val="clear" w:color="auto" w:fill="00A3A4"/>
          </w:tcPr>
          <w:p w14:paraId="61D648F5"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74B9BA57" w14:textId="77777777" w:rsidR="002E2B11" w:rsidRPr="0087086E" w:rsidRDefault="002E2B11" w:rsidP="00981730">
            <w:pPr>
              <w:spacing w:before="120" w:after="120"/>
              <w:rPr>
                <w:rFonts w:eastAsia="Times New Roman" w:cs="Open Sans"/>
                <w:color w:val="000000"/>
                <w:sz w:val="20"/>
                <w:szCs w:val="18"/>
              </w:rPr>
            </w:pPr>
          </w:p>
        </w:tc>
        <w:tc>
          <w:tcPr>
            <w:tcW w:w="5103" w:type="dxa"/>
            <w:vMerge w:val="restart"/>
            <w:shd w:val="clear" w:color="auto" w:fill="auto"/>
          </w:tcPr>
          <w:p w14:paraId="142E858F" w14:textId="142EFE12" w:rsidR="002E2B11" w:rsidRPr="0017285E" w:rsidRDefault="0017285E" w:rsidP="00981730">
            <w:pPr>
              <w:spacing w:before="0" w:after="0"/>
              <w:contextualSpacing/>
              <w:rPr>
                <w:rFonts w:eastAsia="Times New Roman" w:cs="Open Sans"/>
                <w:sz w:val="20"/>
                <w:szCs w:val="20"/>
              </w:rPr>
            </w:pPr>
            <w:r w:rsidRPr="0017285E">
              <w:rPr>
                <w:rFonts w:eastAsia="Times New Roman" w:cs="Open Sans"/>
                <w:color w:val="000000"/>
                <w:sz w:val="20"/>
                <w:szCs w:val="20"/>
                <w:lang w:val="en-US"/>
              </w:rPr>
              <w:t>Target audiences</w:t>
            </w:r>
            <w:r w:rsidR="002E2B11" w:rsidRPr="0017285E">
              <w:rPr>
                <w:rFonts w:eastAsia="Times New Roman" w:cs="Open Sans"/>
                <w:sz w:val="20"/>
                <w:szCs w:val="20"/>
              </w:rPr>
              <w:t xml:space="preserve"> </w:t>
            </w:r>
            <w:r w:rsidR="002E2B11" w:rsidRPr="0017285E">
              <w:rPr>
                <w:rFonts w:eastAsia="Times New Roman" w:cs="Open Sans"/>
                <w:color w:val="000000"/>
                <w:sz w:val="20"/>
                <w:szCs w:val="20"/>
              </w:rPr>
              <w:t>benefit from our information</w:t>
            </w:r>
            <w:r w:rsidR="002E2B11" w:rsidRPr="0017285E">
              <w:rPr>
                <w:rFonts w:eastAsia="Times New Roman" w:cs="Open Sans"/>
                <w:sz w:val="20"/>
                <w:szCs w:val="20"/>
              </w:rPr>
              <w:t xml:space="preserve"> resources, services, campaigns and events.</w:t>
            </w:r>
          </w:p>
        </w:tc>
        <w:tc>
          <w:tcPr>
            <w:tcW w:w="8363" w:type="dxa"/>
            <w:shd w:val="clear" w:color="auto" w:fill="auto"/>
          </w:tcPr>
          <w:p w14:paraId="57C66C6E" w14:textId="20A3BBAD" w:rsidR="002E2B11" w:rsidRPr="0017285E" w:rsidRDefault="0017285E" w:rsidP="00941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Times New Roman" w:cs="Open Sans"/>
                <w:color w:val="000000"/>
                <w:sz w:val="20"/>
                <w:szCs w:val="20"/>
                <w:lang w:val="en-US"/>
              </w:rPr>
            </w:pPr>
            <w:r w:rsidRPr="0017285E">
              <w:rPr>
                <w:rFonts w:eastAsia="Times New Roman" w:cs="Open Sans"/>
                <w:color w:val="000000"/>
                <w:sz w:val="20"/>
                <w:szCs w:val="20"/>
                <w:lang w:val="en-US"/>
              </w:rPr>
              <w:t xml:space="preserve">Targeted audiences are reached, access our information resources and services, and participate in our events and campaigns. </w:t>
            </w:r>
            <w:proofErr w:type="spellStart"/>
            <w:r w:rsidRPr="0017285E">
              <w:rPr>
                <w:rFonts w:eastAsia="Times New Roman" w:cs="Open Sans"/>
                <w:color w:val="000000"/>
                <w:sz w:val="20"/>
                <w:szCs w:val="20"/>
                <w:lang w:val="it-IT"/>
              </w:rPr>
              <w:t>Demonstrated</w:t>
            </w:r>
            <w:proofErr w:type="spellEnd"/>
            <w:r w:rsidRPr="0017285E">
              <w:rPr>
                <w:rFonts w:eastAsia="Times New Roman" w:cs="Open Sans"/>
                <w:color w:val="000000"/>
                <w:sz w:val="20"/>
                <w:szCs w:val="20"/>
                <w:lang w:val="it-IT"/>
              </w:rPr>
              <w:t xml:space="preserve"> by:</w:t>
            </w:r>
          </w:p>
          <w:p w14:paraId="723A9B9D" w14:textId="7170B82F" w:rsidR="002E2B11" w:rsidRPr="00941B79" w:rsidRDefault="00941B79" w:rsidP="00981730">
            <w:pPr>
              <w:pStyle w:val="Paragrafoelenco"/>
              <w:numPr>
                <w:ilvl w:val="0"/>
                <w:numId w:val="22"/>
              </w:numPr>
              <w:spacing w:before="0" w:after="0"/>
              <w:contextualSpacing/>
              <w:rPr>
                <w:rFonts w:eastAsia="Times New Roman" w:cs="Open Sans"/>
                <w:sz w:val="20"/>
                <w:szCs w:val="18"/>
              </w:rPr>
            </w:pPr>
            <w:r w:rsidRPr="00941B79">
              <w:rPr>
                <w:rFonts w:eastAsia="Times New Roman" w:cs="Open Sans"/>
                <w:color w:val="000000"/>
                <w:sz w:val="20"/>
                <w:szCs w:val="20"/>
                <w:lang w:val="en-US"/>
              </w:rPr>
              <w:t>digital engagement analytics exceeding the previous year’s benchmark by 5%</w:t>
            </w:r>
          </w:p>
          <w:p w14:paraId="4D70C634" w14:textId="1505AA55" w:rsidR="002E2B11" w:rsidRPr="00AF33CF" w:rsidRDefault="00941B79" w:rsidP="00981730">
            <w:pPr>
              <w:pStyle w:val="Paragrafoelenco"/>
              <w:numPr>
                <w:ilvl w:val="0"/>
                <w:numId w:val="22"/>
              </w:numPr>
              <w:spacing w:before="0" w:after="0"/>
              <w:contextualSpacing/>
              <w:rPr>
                <w:rFonts w:eastAsia="Times New Roman" w:cs="Open Sans"/>
                <w:sz w:val="20"/>
                <w:szCs w:val="18"/>
              </w:rPr>
            </w:pPr>
            <w:r w:rsidRPr="00941B79">
              <w:rPr>
                <w:rFonts w:eastAsia="Times New Roman" w:cs="Open Sans"/>
                <w:color w:val="000000"/>
                <w:sz w:val="20"/>
                <w:szCs w:val="20"/>
                <w:lang w:val="en-US"/>
              </w:rPr>
              <w:t>high rates of users report them engaging and relevant.</w:t>
            </w:r>
            <w:r w:rsidR="002E2B11" w:rsidRPr="00AF33CF">
              <w:rPr>
                <w:rFonts w:eastAsia="Times New Roman" w:cs="Open Sans"/>
                <w:sz w:val="20"/>
                <w:szCs w:val="18"/>
              </w:rPr>
              <w:t xml:space="preserve"> </w:t>
            </w:r>
            <w:r w:rsidR="00625841" w:rsidRPr="00625841">
              <w:rPr>
                <w:rFonts w:eastAsia="Times New Roman" w:cs="Open Sans"/>
                <w:b/>
                <w:bCs/>
                <w:color w:val="073145"/>
                <w:sz w:val="20"/>
                <w:szCs w:val="18"/>
              </w:rPr>
              <w:t xml:space="preserve">[PBS </w:t>
            </w:r>
            <w:r w:rsidR="00625841">
              <w:rPr>
                <w:rFonts w:eastAsia="Times New Roman" w:cs="Open Sans"/>
                <w:b/>
                <w:bCs/>
                <w:color w:val="073145"/>
                <w:sz w:val="20"/>
                <w:szCs w:val="18"/>
              </w:rPr>
              <w:t>target</w:t>
            </w:r>
            <w:r w:rsidR="00625841" w:rsidRPr="00625841">
              <w:rPr>
                <w:rFonts w:eastAsia="Times New Roman" w:cs="Open Sans"/>
                <w:b/>
                <w:bCs/>
                <w:color w:val="073145"/>
                <w:sz w:val="20"/>
                <w:szCs w:val="18"/>
              </w:rPr>
              <w:t>]</w:t>
            </w:r>
          </w:p>
        </w:tc>
        <w:tc>
          <w:tcPr>
            <w:tcW w:w="3544" w:type="dxa"/>
            <w:shd w:val="clear" w:color="auto" w:fill="auto"/>
          </w:tcPr>
          <w:p w14:paraId="7A708F94"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Annual</w:t>
            </w:r>
          </w:p>
        </w:tc>
      </w:tr>
      <w:tr w:rsidR="002E2B11" w:rsidRPr="006F7E8F" w14:paraId="696E7604" w14:textId="77777777" w:rsidTr="00C96664">
        <w:trPr>
          <w:trHeight w:val="820"/>
        </w:trPr>
        <w:tc>
          <w:tcPr>
            <w:tcW w:w="1559" w:type="dxa"/>
            <w:vMerge/>
            <w:shd w:val="clear" w:color="auto" w:fill="00A3A4"/>
          </w:tcPr>
          <w:p w14:paraId="569E08BC"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07C200DF" w14:textId="77777777" w:rsidR="002E2B11" w:rsidRPr="0087086E" w:rsidRDefault="002E2B11" w:rsidP="00981730">
            <w:pPr>
              <w:spacing w:before="120" w:after="120"/>
              <w:rPr>
                <w:rFonts w:eastAsia="Times New Roman" w:cs="Open Sans"/>
                <w:color w:val="000000"/>
                <w:sz w:val="20"/>
                <w:szCs w:val="18"/>
              </w:rPr>
            </w:pPr>
          </w:p>
        </w:tc>
        <w:tc>
          <w:tcPr>
            <w:tcW w:w="5103" w:type="dxa"/>
            <w:vMerge/>
            <w:shd w:val="clear" w:color="auto" w:fill="auto"/>
          </w:tcPr>
          <w:p w14:paraId="38A8260E" w14:textId="77777777" w:rsidR="002E2B11" w:rsidRPr="0087086E" w:rsidRDefault="002E2B11" w:rsidP="00981730">
            <w:pPr>
              <w:spacing w:before="0" w:after="0"/>
              <w:contextualSpacing/>
              <w:rPr>
                <w:rFonts w:eastAsia="Times New Roman" w:cs="Open Sans"/>
                <w:sz w:val="20"/>
                <w:szCs w:val="18"/>
              </w:rPr>
            </w:pPr>
          </w:p>
        </w:tc>
        <w:tc>
          <w:tcPr>
            <w:tcW w:w="8363" w:type="dxa"/>
            <w:shd w:val="clear" w:color="auto" w:fill="auto"/>
          </w:tcPr>
          <w:p w14:paraId="25C8C606" w14:textId="77777777"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Instances of legal information, resources, guidelines and exemption processes helping employers and organisations to comply with Australian discrimination and human rights law.</w:t>
            </w:r>
          </w:p>
        </w:tc>
        <w:tc>
          <w:tcPr>
            <w:tcW w:w="3544" w:type="dxa"/>
            <w:shd w:val="clear" w:color="auto" w:fill="auto"/>
          </w:tcPr>
          <w:p w14:paraId="22618CFA"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Annual</w:t>
            </w:r>
          </w:p>
        </w:tc>
      </w:tr>
      <w:tr w:rsidR="00625841" w:rsidRPr="006F7E8F" w14:paraId="7ADD1296" w14:textId="77777777" w:rsidTr="00EB4334">
        <w:trPr>
          <w:trHeight w:val="117"/>
        </w:trPr>
        <w:tc>
          <w:tcPr>
            <w:tcW w:w="1559" w:type="dxa"/>
            <w:tcBorders>
              <w:left w:val="nil"/>
              <w:right w:val="nil"/>
            </w:tcBorders>
            <w:shd w:val="clear" w:color="auto" w:fill="auto"/>
          </w:tcPr>
          <w:p w14:paraId="2498035F" w14:textId="77777777" w:rsidR="00625841" w:rsidRDefault="00625841" w:rsidP="00AD259E">
            <w:pPr>
              <w:spacing w:before="120" w:after="120"/>
              <w:contextualSpacing/>
              <w:rPr>
                <w:rFonts w:eastAsia="Times New Roman" w:cs="Open Sans"/>
                <w:sz w:val="20"/>
                <w:szCs w:val="18"/>
              </w:rPr>
            </w:pPr>
          </w:p>
          <w:p w14:paraId="29D83D9D" w14:textId="77777777" w:rsidR="00CE3F83" w:rsidRDefault="00CE3F83" w:rsidP="00AD259E">
            <w:pPr>
              <w:spacing w:before="120" w:after="120"/>
              <w:contextualSpacing/>
              <w:rPr>
                <w:rFonts w:eastAsia="Times New Roman" w:cs="Open Sans"/>
                <w:sz w:val="20"/>
                <w:szCs w:val="18"/>
              </w:rPr>
            </w:pPr>
          </w:p>
          <w:p w14:paraId="5D684B39" w14:textId="77777777" w:rsidR="00CE3F83" w:rsidRDefault="00CE3F83" w:rsidP="00AD259E">
            <w:pPr>
              <w:spacing w:before="120" w:after="120"/>
              <w:contextualSpacing/>
              <w:rPr>
                <w:rFonts w:eastAsia="Times New Roman" w:cs="Open Sans"/>
                <w:sz w:val="20"/>
                <w:szCs w:val="18"/>
              </w:rPr>
            </w:pPr>
          </w:p>
          <w:p w14:paraId="6B31B5D2" w14:textId="77777777" w:rsidR="00CE3F83" w:rsidRDefault="00CE3F83" w:rsidP="00AD259E">
            <w:pPr>
              <w:spacing w:before="120" w:after="120"/>
              <w:contextualSpacing/>
              <w:rPr>
                <w:rFonts w:eastAsia="Times New Roman" w:cs="Open Sans"/>
                <w:sz w:val="20"/>
                <w:szCs w:val="18"/>
              </w:rPr>
            </w:pPr>
          </w:p>
          <w:p w14:paraId="3D4B2B21" w14:textId="051AAB7E" w:rsidR="00CE3F83" w:rsidRPr="006F7E8F" w:rsidRDefault="00CE3F83" w:rsidP="00AD259E">
            <w:pPr>
              <w:spacing w:before="120" w:after="120"/>
              <w:contextualSpacing/>
              <w:rPr>
                <w:rFonts w:eastAsia="Times New Roman" w:cs="Open Sans"/>
                <w:sz w:val="20"/>
                <w:szCs w:val="18"/>
              </w:rPr>
            </w:pPr>
          </w:p>
        </w:tc>
        <w:tc>
          <w:tcPr>
            <w:tcW w:w="2977" w:type="dxa"/>
            <w:tcBorders>
              <w:left w:val="nil"/>
              <w:right w:val="nil"/>
            </w:tcBorders>
            <w:shd w:val="clear" w:color="auto" w:fill="auto"/>
          </w:tcPr>
          <w:p w14:paraId="07C266EF" w14:textId="77777777" w:rsidR="00625841" w:rsidRPr="0087086E" w:rsidRDefault="00625841" w:rsidP="00AD259E">
            <w:pPr>
              <w:spacing w:before="120" w:after="120"/>
              <w:rPr>
                <w:rFonts w:eastAsia="Times New Roman" w:cs="Open Sans"/>
                <w:sz w:val="20"/>
                <w:szCs w:val="18"/>
              </w:rPr>
            </w:pPr>
          </w:p>
        </w:tc>
        <w:tc>
          <w:tcPr>
            <w:tcW w:w="5103" w:type="dxa"/>
            <w:tcBorders>
              <w:left w:val="nil"/>
              <w:right w:val="nil"/>
            </w:tcBorders>
            <w:shd w:val="clear" w:color="auto" w:fill="auto"/>
          </w:tcPr>
          <w:p w14:paraId="47F39F6A" w14:textId="77777777" w:rsidR="00625841" w:rsidRPr="0083599B" w:rsidRDefault="00625841" w:rsidP="00AD259E">
            <w:pPr>
              <w:spacing w:before="0" w:after="0"/>
              <w:ind w:left="-37"/>
              <w:contextualSpacing/>
              <w:rPr>
                <w:rFonts w:eastAsia="Times New Roman" w:cs="Open Sans"/>
                <w:sz w:val="20"/>
                <w:szCs w:val="18"/>
              </w:rPr>
            </w:pPr>
          </w:p>
        </w:tc>
        <w:tc>
          <w:tcPr>
            <w:tcW w:w="8363" w:type="dxa"/>
            <w:tcBorders>
              <w:left w:val="nil"/>
              <w:right w:val="nil"/>
            </w:tcBorders>
            <w:shd w:val="clear" w:color="auto" w:fill="auto"/>
          </w:tcPr>
          <w:p w14:paraId="68376F03" w14:textId="77777777" w:rsidR="00625841" w:rsidRPr="009A2E19" w:rsidRDefault="00625841" w:rsidP="00AD259E">
            <w:pPr>
              <w:spacing w:before="0" w:after="0"/>
              <w:contextualSpacing/>
              <w:rPr>
                <w:rFonts w:eastAsia="Times New Roman" w:cs="Open Sans"/>
                <w:sz w:val="20"/>
                <w:szCs w:val="18"/>
              </w:rPr>
            </w:pPr>
          </w:p>
        </w:tc>
        <w:tc>
          <w:tcPr>
            <w:tcW w:w="3544" w:type="dxa"/>
            <w:tcBorders>
              <w:left w:val="nil"/>
              <w:right w:val="nil"/>
            </w:tcBorders>
            <w:shd w:val="clear" w:color="auto" w:fill="auto"/>
          </w:tcPr>
          <w:p w14:paraId="31AAA733" w14:textId="77777777" w:rsidR="00625841" w:rsidRDefault="00625841" w:rsidP="00AD259E">
            <w:pPr>
              <w:spacing w:before="0" w:after="0"/>
              <w:ind w:left="-37"/>
              <w:contextualSpacing/>
              <w:rPr>
                <w:rFonts w:eastAsia="Times New Roman" w:cs="Open Sans"/>
                <w:sz w:val="20"/>
                <w:szCs w:val="18"/>
              </w:rPr>
            </w:pPr>
          </w:p>
        </w:tc>
      </w:tr>
      <w:tr w:rsidR="002E2B11" w:rsidRPr="006F7E8F" w14:paraId="71B4482A" w14:textId="77777777" w:rsidTr="00CE3F83">
        <w:trPr>
          <w:trHeight w:val="460"/>
        </w:trPr>
        <w:tc>
          <w:tcPr>
            <w:tcW w:w="1559" w:type="dxa"/>
            <w:vMerge w:val="restart"/>
            <w:shd w:val="clear" w:color="auto" w:fill="1E7B95"/>
          </w:tcPr>
          <w:p w14:paraId="4FA077F4" w14:textId="636EF4B5" w:rsidR="002E2B11" w:rsidRPr="00CE3F83" w:rsidRDefault="002E2B11" w:rsidP="00CE3F83">
            <w:pPr>
              <w:spacing w:after="120"/>
              <w:rPr>
                <w:rFonts w:eastAsia="Times New Roman" w:cs="Open Sans"/>
                <w:color w:val="FFFFFF" w:themeColor="background1"/>
                <w:sz w:val="20"/>
                <w:szCs w:val="18"/>
              </w:rPr>
            </w:pPr>
            <w:bookmarkStart w:id="8" w:name="_Hlk14167822"/>
            <w:r w:rsidRPr="00CE3F83">
              <w:rPr>
                <w:rFonts w:eastAsia="Times New Roman" w:cs="Open Sans"/>
                <w:color w:val="FFFFFF" w:themeColor="background1"/>
                <w:sz w:val="20"/>
                <w:szCs w:val="18"/>
              </w:rPr>
              <w:lastRenderedPageBreak/>
              <w:t>More people, communities, and organisations take action to respect protect and promote human rights in their own contexts</w:t>
            </w:r>
          </w:p>
        </w:tc>
        <w:tc>
          <w:tcPr>
            <w:tcW w:w="2977" w:type="dxa"/>
            <w:shd w:val="clear" w:color="auto" w:fill="auto"/>
          </w:tcPr>
          <w:p w14:paraId="5A26B3DD" w14:textId="78975552" w:rsidR="002E2B11" w:rsidRPr="00E21C99" w:rsidRDefault="002E2B11" w:rsidP="00981730">
            <w:pPr>
              <w:spacing w:before="120" w:after="0"/>
              <w:rPr>
                <w:rFonts w:eastAsia="Times New Roman" w:cs="Open Sans"/>
                <w:sz w:val="20"/>
                <w:szCs w:val="18"/>
              </w:rPr>
            </w:pPr>
            <w:r w:rsidRPr="00E21C99">
              <w:rPr>
                <w:rFonts w:eastAsia="Times New Roman" w:cs="Open Sans"/>
                <w:sz w:val="20"/>
                <w:szCs w:val="18"/>
              </w:rPr>
              <w:t>Our activities increase the capacity of vulnerable groups, communities and their advocates to understand and advocate for their rights.</w:t>
            </w:r>
            <w:r w:rsidRPr="00E21C99">
              <w:rPr>
                <w:rFonts w:eastAsia="Times New Roman" w:cs="Open Sans"/>
                <w:color w:val="FF0000"/>
                <w:sz w:val="20"/>
                <w:szCs w:val="18"/>
              </w:rPr>
              <w:t xml:space="preserve"> </w:t>
            </w:r>
            <w:r w:rsidR="00CE3F83" w:rsidRPr="00625841">
              <w:rPr>
                <w:rFonts w:eastAsia="Times New Roman" w:cs="Open Sans"/>
                <w:b/>
                <w:bCs/>
                <w:color w:val="073145"/>
                <w:sz w:val="20"/>
                <w:szCs w:val="18"/>
              </w:rPr>
              <w:t>[PBS criteria]</w:t>
            </w:r>
          </w:p>
        </w:tc>
        <w:tc>
          <w:tcPr>
            <w:tcW w:w="5103" w:type="dxa"/>
            <w:shd w:val="clear" w:color="auto" w:fill="auto"/>
          </w:tcPr>
          <w:p w14:paraId="19CF1887" w14:textId="5ABAC3C6" w:rsidR="002E2B11" w:rsidRPr="00E21C99" w:rsidRDefault="002E2B11" w:rsidP="00981730">
            <w:pPr>
              <w:spacing w:before="0" w:after="0"/>
              <w:contextualSpacing/>
              <w:rPr>
                <w:rFonts w:eastAsia="Times New Roman" w:cs="Open Sans"/>
                <w:color w:val="FF0000"/>
                <w:sz w:val="20"/>
                <w:szCs w:val="18"/>
              </w:rPr>
            </w:pPr>
            <w:r w:rsidRPr="00E21C99">
              <w:rPr>
                <w:rFonts w:eastAsia="Times New Roman" w:cs="Open Sans"/>
                <w:sz w:val="20"/>
                <w:szCs w:val="18"/>
              </w:rPr>
              <w:t xml:space="preserve">Participants and stakeholders, in our consultations, </w:t>
            </w:r>
            <w:r w:rsidRPr="00E21C99">
              <w:rPr>
                <w:rFonts w:eastAsia="Times New Roman" w:cs="Open Sans"/>
                <w:color w:val="000000"/>
                <w:sz w:val="20"/>
                <w:szCs w:val="18"/>
              </w:rPr>
              <w:t>research and education and informing activities experience</w:t>
            </w:r>
            <w:r w:rsidRPr="00E21C99">
              <w:rPr>
                <w:rFonts w:eastAsia="Times New Roman" w:cs="Open Sans"/>
                <w:sz w:val="20"/>
                <w:szCs w:val="18"/>
              </w:rPr>
              <w:t xml:space="preserve"> participation, empowerment and benefit.</w:t>
            </w:r>
            <w:r w:rsidRPr="00E21C99">
              <w:rPr>
                <w:rFonts w:eastAsia="Times New Roman" w:cs="Open Sans"/>
                <w:color w:val="FF0000"/>
                <w:sz w:val="20"/>
                <w:szCs w:val="18"/>
              </w:rPr>
              <w:t xml:space="preser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p w14:paraId="38ECB475" w14:textId="77777777" w:rsidR="002E2B11" w:rsidRPr="00E21C99" w:rsidRDefault="002E2B11" w:rsidP="00981730">
            <w:pPr>
              <w:spacing w:before="0" w:after="0"/>
              <w:contextualSpacing/>
              <w:rPr>
                <w:rFonts w:eastAsia="Times New Roman" w:cs="Open Sans"/>
                <w:sz w:val="20"/>
                <w:szCs w:val="18"/>
              </w:rPr>
            </w:pPr>
          </w:p>
        </w:tc>
        <w:tc>
          <w:tcPr>
            <w:tcW w:w="8363" w:type="dxa"/>
            <w:shd w:val="clear" w:color="auto" w:fill="auto"/>
          </w:tcPr>
          <w:p w14:paraId="6BD3B5EE" w14:textId="08DB695A"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Instances of participants/community stakeholders reporting</w:t>
            </w:r>
            <w:r w:rsidR="00941B79">
              <w:rPr>
                <w:rFonts w:eastAsia="Times New Roman" w:cs="Open Sans"/>
                <w:sz w:val="20"/>
                <w:szCs w:val="18"/>
              </w:rPr>
              <w:t>:</w:t>
            </w:r>
          </w:p>
          <w:p w14:paraId="33F76BF7" w14:textId="518721C0" w:rsidR="002E2B11" w:rsidRPr="00E21C99" w:rsidRDefault="002E2B11" w:rsidP="00981730">
            <w:pPr>
              <w:pStyle w:val="Paragrafoelenco"/>
              <w:numPr>
                <w:ilvl w:val="0"/>
                <w:numId w:val="22"/>
              </w:numPr>
              <w:spacing w:before="0" w:after="0"/>
              <w:contextualSpacing/>
              <w:rPr>
                <w:rFonts w:eastAsia="Times New Roman" w:cs="Open Sans"/>
                <w:sz w:val="20"/>
                <w:szCs w:val="18"/>
              </w:rPr>
            </w:pPr>
            <w:r w:rsidRPr="00E21C99">
              <w:rPr>
                <w:rFonts w:eastAsia="Times New Roman" w:cs="Open Sans"/>
                <w:sz w:val="20"/>
                <w:szCs w:val="18"/>
              </w:rPr>
              <w:t xml:space="preserve">robust processes that facilitate </w:t>
            </w:r>
            <w:r w:rsidR="00941B79">
              <w:rPr>
                <w:rFonts w:eastAsia="Times New Roman" w:cs="Open Sans"/>
                <w:sz w:val="20"/>
                <w:szCs w:val="18"/>
              </w:rPr>
              <w:t xml:space="preserve">their </w:t>
            </w:r>
            <w:r w:rsidRPr="00E21C99">
              <w:rPr>
                <w:rFonts w:eastAsia="Times New Roman" w:cs="Open Sans"/>
                <w:sz w:val="20"/>
                <w:szCs w:val="18"/>
              </w:rPr>
              <w:t>access and participation</w:t>
            </w:r>
          </w:p>
          <w:p w14:paraId="35F5A9FD" w14:textId="40D16119" w:rsidR="002E2B11" w:rsidRPr="00E21C99" w:rsidRDefault="002E2B11" w:rsidP="00981730">
            <w:pPr>
              <w:pStyle w:val="Paragrafoelenco"/>
              <w:numPr>
                <w:ilvl w:val="0"/>
                <w:numId w:val="22"/>
              </w:numPr>
              <w:spacing w:before="0" w:after="0"/>
              <w:contextualSpacing/>
              <w:rPr>
                <w:rFonts w:eastAsia="Times New Roman" w:cs="Open Sans"/>
                <w:sz w:val="20"/>
                <w:szCs w:val="18"/>
              </w:rPr>
            </w:pPr>
            <w:r w:rsidRPr="00E21C99">
              <w:rPr>
                <w:rFonts w:eastAsia="Times New Roman" w:cs="Open Sans"/>
                <w:sz w:val="20"/>
                <w:szCs w:val="18"/>
              </w:rPr>
              <w:t>experiences</w:t>
            </w:r>
            <w:r>
              <w:rPr>
                <w:rFonts w:eastAsia="Times New Roman" w:cs="Open Sans"/>
                <w:sz w:val="20"/>
                <w:szCs w:val="18"/>
              </w:rPr>
              <w:t xml:space="preserve"> of meaningful participation</w:t>
            </w:r>
            <w:r w:rsidRPr="00E21C99">
              <w:rPr>
                <w:rFonts w:eastAsia="Times New Roman" w:cs="Open Sans"/>
                <w:sz w:val="20"/>
                <w:szCs w:val="18"/>
              </w:rPr>
              <w:t xml:space="preserve"> that are beneficial and empowering</w:t>
            </w:r>
            <w:r w:rsidR="00625841">
              <w:rPr>
                <w:rFonts w:eastAsia="Times New Roman" w:cs="Open Sans"/>
                <w:sz w:val="20"/>
                <w:szCs w:val="18"/>
              </w:rPr>
              <w:t>.</w:t>
            </w:r>
            <w:r w:rsidRPr="00E21C99">
              <w:rPr>
                <w:rFonts w:eastAsia="Times New Roman" w:cs="Open Sans"/>
                <w:sz w:val="20"/>
                <w:szCs w:val="18"/>
              </w:rPr>
              <w:t xml:space="preserve"> </w:t>
            </w:r>
            <w:r w:rsidR="00625841" w:rsidRPr="00625841">
              <w:rPr>
                <w:rFonts w:eastAsia="Times New Roman" w:cs="Open Sans"/>
                <w:b/>
                <w:bCs/>
                <w:color w:val="073145"/>
                <w:sz w:val="20"/>
                <w:szCs w:val="18"/>
              </w:rPr>
              <w:t xml:space="preserve">[PBS </w:t>
            </w:r>
            <w:r w:rsidR="00625841">
              <w:rPr>
                <w:rFonts w:eastAsia="Times New Roman" w:cs="Open Sans"/>
                <w:b/>
                <w:bCs/>
                <w:color w:val="073145"/>
                <w:sz w:val="20"/>
                <w:szCs w:val="18"/>
              </w:rPr>
              <w:t>target</w:t>
            </w:r>
            <w:r w:rsidR="00625841" w:rsidRPr="00625841">
              <w:rPr>
                <w:rFonts w:eastAsia="Times New Roman" w:cs="Open Sans"/>
                <w:b/>
                <w:bCs/>
                <w:color w:val="073145"/>
                <w:sz w:val="20"/>
                <w:szCs w:val="18"/>
              </w:rPr>
              <w:t>]</w:t>
            </w:r>
          </w:p>
        </w:tc>
        <w:tc>
          <w:tcPr>
            <w:tcW w:w="3544" w:type="dxa"/>
            <w:shd w:val="clear" w:color="auto" w:fill="auto"/>
          </w:tcPr>
          <w:p w14:paraId="2C871EC9" w14:textId="20B4AEE5" w:rsidR="002E2B11" w:rsidRPr="00CE3F83" w:rsidRDefault="0083599B" w:rsidP="00981730">
            <w:pPr>
              <w:spacing w:before="0" w:after="0"/>
              <w:contextualSpacing/>
              <w:rPr>
                <w:rFonts w:eastAsia="Times New Roman" w:cs="Open Sans"/>
                <w:sz w:val="20"/>
                <w:szCs w:val="18"/>
              </w:rPr>
            </w:pPr>
            <w:r w:rsidRPr="00CE3F83">
              <w:rPr>
                <w:rFonts w:eastAsia="Times New Roman" w:cs="Open Sans"/>
                <w:sz w:val="20"/>
                <w:szCs w:val="18"/>
              </w:rPr>
              <w:t>Dependent on stage of individual project and/or Commissioner term</w:t>
            </w:r>
          </w:p>
        </w:tc>
      </w:tr>
      <w:tr w:rsidR="002E2B11" w:rsidRPr="006F7E8F" w14:paraId="63C4421A" w14:textId="77777777" w:rsidTr="00CE3F83">
        <w:trPr>
          <w:trHeight w:val="751"/>
        </w:trPr>
        <w:tc>
          <w:tcPr>
            <w:tcW w:w="1559" w:type="dxa"/>
            <w:vMerge/>
            <w:shd w:val="clear" w:color="auto" w:fill="1E7B95"/>
          </w:tcPr>
          <w:p w14:paraId="2C415C62" w14:textId="77777777" w:rsidR="002E2B11" w:rsidRPr="00E21C99" w:rsidRDefault="002E2B11" w:rsidP="00981730">
            <w:pPr>
              <w:spacing w:before="120" w:after="120"/>
              <w:contextualSpacing/>
              <w:rPr>
                <w:rFonts w:eastAsia="Times New Roman" w:cs="Open Sans"/>
                <w:sz w:val="20"/>
                <w:szCs w:val="18"/>
              </w:rPr>
            </w:pPr>
          </w:p>
        </w:tc>
        <w:tc>
          <w:tcPr>
            <w:tcW w:w="2977" w:type="dxa"/>
            <w:vMerge w:val="restart"/>
            <w:shd w:val="clear" w:color="auto" w:fill="auto"/>
          </w:tcPr>
          <w:p w14:paraId="6281EF72" w14:textId="0760C8E2" w:rsidR="002E2B11" w:rsidRPr="00E21C99" w:rsidRDefault="002E2B11" w:rsidP="00981730">
            <w:pPr>
              <w:spacing w:before="120" w:after="0"/>
              <w:rPr>
                <w:rFonts w:eastAsia="Times New Roman" w:cs="Open Sans"/>
                <w:color w:val="000000"/>
                <w:sz w:val="20"/>
                <w:szCs w:val="18"/>
              </w:rPr>
            </w:pPr>
            <w:r w:rsidRPr="00E21C99">
              <w:rPr>
                <w:rFonts w:eastAsia="Times New Roman" w:cs="Open Sans"/>
                <w:sz w:val="20"/>
                <w:szCs w:val="18"/>
              </w:rPr>
              <w:t xml:space="preserve">Our activities increase the capacity of Governments, organisations, other groups and services to understand and address the human rights impact of their actions, particularly when working with vulnerable groups and communities. </w:t>
            </w:r>
            <w:r w:rsidR="00CE3F83" w:rsidRPr="00625841">
              <w:rPr>
                <w:rFonts w:eastAsia="Times New Roman" w:cs="Open Sans"/>
                <w:b/>
                <w:bCs/>
                <w:color w:val="073145"/>
                <w:sz w:val="20"/>
                <w:szCs w:val="18"/>
              </w:rPr>
              <w:t>[PBS criteria]</w:t>
            </w:r>
          </w:p>
        </w:tc>
        <w:tc>
          <w:tcPr>
            <w:tcW w:w="5103" w:type="dxa"/>
            <w:vMerge w:val="restart"/>
            <w:shd w:val="clear" w:color="auto" w:fill="auto"/>
          </w:tcPr>
          <w:p w14:paraId="2DCBCC12" w14:textId="69696AC7" w:rsidR="002E2B11" w:rsidRPr="00E21C99" w:rsidRDefault="002E2B11" w:rsidP="00981730">
            <w:pPr>
              <w:spacing w:before="0" w:after="0"/>
              <w:contextualSpacing/>
              <w:rPr>
                <w:rFonts w:eastAsia="Times New Roman" w:cs="Open Sans"/>
                <w:color w:val="FF0000"/>
                <w:sz w:val="20"/>
                <w:szCs w:val="18"/>
              </w:rPr>
            </w:pPr>
            <w:r w:rsidRPr="00E21C99">
              <w:rPr>
                <w:rFonts w:eastAsia="Times New Roman" w:cs="Open Sans"/>
                <w:sz w:val="20"/>
                <w:szCs w:val="18"/>
              </w:rPr>
              <w:t xml:space="preserve">Our activities with stakeholder </w:t>
            </w:r>
            <w:r w:rsidR="0083599B" w:rsidRPr="00E21C99">
              <w:rPr>
                <w:rFonts w:eastAsia="Times New Roman" w:cs="Open Sans"/>
                <w:sz w:val="20"/>
                <w:szCs w:val="18"/>
              </w:rPr>
              <w:t>organisations</w:t>
            </w:r>
            <w:r w:rsidRPr="00E21C99">
              <w:rPr>
                <w:rFonts w:eastAsia="Times New Roman" w:cs="Open Sans"/>
                <w:sz w:val="20"/>
                <w:szCs w:val="18"/>
              </w:rPr>
              <w:t xml:space="preserve"> lead to systemic and sustained action, including changes to organisational policy and practice, to protect and promote human rights in their context.</w:t>
            </w:r>
          </w:p>
        </w:tc>
        <w:tc>
          <w:tcPr>
            <w:tcW w:w="8363" w:type="dxa"/>
            <w:shd w:val="clear" w:color="auto" w:fill="auto"/>
          </w:tcPr>
          <w:p w14:paraId="7E609857" w14:textId="6955D0CD"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Instances of stakeholders in our activities with organisations reporting that our work has contributed to increased understanding of the impact of their systems and operations on human rights</w:t>
            </w:r>
            <w:r w:rsidR="006C7A82">
              <w:rPr>
                <w:rFonts w:eastAsia="Times New Roman" w:cs="Open Sans"/>
                <w:sz w:val="20"/>
                <w:szCs w:val="18"/>
              </w:rPr>
              <w:t>.</w:t>
            </w:r>
            <w:r w:rsidRPr="009A2E19">
              <w:rPr>
                <w:rFonts w:eastAsia="Times New Roman" w:cs="Open Sans"/>
                <w:sz w:val="20"/>
                <w:szCs w:val="18"/>
              </w:rPr>
              <w:t xml:space="preser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tc>
        <w:tc>
          <w:tcPr>
            <w:tcW w:w="3544" w:type="dxa"/>
            <w:shd w:val="clear" w:color="auto" w:fill="auto"/>
          </w:tcPr>
          <w:p w14:paraId="5AC13E96" w14:textId="46457EB0" w:rsidR="002E2B11" w:rsidRPr="00CE3F83" w:rsidRDefault="0083599B" w:rsidP="00981730">
            <w:pPr>
              <w:spacing w:before="0" w:after="0"/>
              <w:contextualSpacing/>
              <w:rPr>
                <w:rFonts w:eastAsia="Times New Roman" w:cs="Open Sans"/>
                <w:sz w:val="20"/>
                <w:szCs w:val="18"/>
              </w:rPr>
            </w:pPr>
            <w:r w:rsidRPr="00CE3F83">
              <w:rPr>
                <w:rFonts w:eastAsia="Times New Roman" w:cs="Open Sans"/>
                <w:sz w:val="20"/>
                <w:szCs w:val="18"/>
              </w:rPr>
              <w:t>Dependent on stage of individual project and/or Commissioner term</w:t>
            </w:r>
          </w:p>
        </w:tc>
      </w:tr>
      <w:tr w:rsidR="002E2B11" w:rsidRPr="006F7E8F" w14:paraId="5A54DA16" w14:textId="77777777" w:rsidTr="00CE3F83">
        <w:trPr>
          <w:trHeight w:val="818"/>
        </w:trPr>
        <w:tc>
          <w:tcPr>
            <w:tcW w:w="1559" w:type="dxa"/>
            <w:vMerge/>
            <w:shd w:val="clear" w:color="auto" w:fill="1E7B95"/>
          </w:tcPr>
          <w:p w14:paraId="7B28C3EC" w14:textId="77777777" w:rsidR="002E2B11" w:rsidRPr="00E21C99" w:rsidRDefault="002E2B11" w:rsidP="00981730">
            <w:pPr>
              <w:spacing w:before="120" w:after="120"/>
              <w:contextualSpacing/>
              <w:rPr>
                <w:rFonts w:eastAsia="Times New Roman" w:cs="Open Sans"/>
                <w:sz w:val="20"/>
                <w:szCs w:val="18"/>
              </w:rPr>
            </w:pPr>
          </w:p>
        </w:tc>
        <w:tc>
          <w:tcPr>
            <w:tcW w:w="2977" w:type="dxa"/>
            <w:vMerge/>
            <w:shd w:val="clear" w:color="auto" w:fill="auto"/>
          </w:tcPr>
          <w:p w14:paraId="65F124D3" w14:textId="77777777" w:rsidR="002E2B11" w:rsidRPr="00E21C99" w:rsidRDefault="002E2B11" w:rsidP="00981730">
            <w:pPr>
              <w:spacing w:before="120" w:after="0"/>
              <w:rPr>
                <w:rFonts w:eastAsia="Times New Roman" w:cs="Open Sans"/>
                <w:sz w:val="20"/>
                <w:szCs w:val="18"/>
              </w:rPr>
            </w:pPr>
          </w:p>
        </w:tc>
        <w:tc>
          <w:tcPr>
            <w:tcW w:w="5103" w:type="dxa"/>
            <w:vMerge/>
            <w:shd w:val="clear" w:color="auto" w:fill="auto"/>
          </w:tcPr>
          <w:p w14:paraId="6F1EA8A9" w14:textId="77777777" w:rsidR="002E2B11" w:rsidRPr="00E21C99" w:rsidRDefault="002E2B11" w:rsidP="00981730">
            <w:pPr>
              <w:pStyle w:val="Paragrafoelenco"/>
              <w:spacing w:before="0" w:after="0"/>
              <w:ind w:left="420"/>
              <w:contextualSpacing/>
              <w:rPr>
                <w:rFonts w:eastAsia="Times New Roman" w:cs="Open Sans"/>
                <w:sz w:val="20"/>
                <w:szCs w:val="18"/>
              </w:rPr>
            </w:pPr>
          </w:p>
        </w:tc>
        <w:tc>
          <w:tcPr>
            <w:tcW w:w="8363" w:type="dxa"/>
            <w:shd w:val="clear" w:color="auto" w:fill="auto"/>
          </w:tcPr>
          <w:p w14:paraId="06395ED3" w14:textId="31132287" w:rsidR="002E2B11" w:rsidRPr="009A2E19" w:rsidRDefault="002E2B11" w:rsidP="009A2E19">
            <w:pPr>
              <w:spacing w:before="0" w:after="0"/>
              <w:rPr>
                <w:rFonts w:eastAsia="Times New Roman" w:cs="Open Sans"/>
                <w:sz w:val="20"/>
                <w:szCs w:val="18"/>
              </w:rPr>
            </w:pPr>
            <w:r w:rsidRPr="009A2E19">
              <w:rPr>
                <w:rFonts w:eastAsia="Times New Roman" w:cs="Open Sans"/>
                <w:sz w:val="20"/>
                <w:szCs w:val="18"/>
              </w:rPr>
              <w:t>Instances of stakeholders in our activities with organisations making changes to organisational policy and practice, to protect and promote human rights in their context.</w:t>
            </w:r>
            <w:r w:rsidR="006C7A82">
              <w:rPr>
                <w:rFonts w:eastAsia="Times New Roman" w:cs="Open Sans"/>
                <w:sz w:val="20"/>
                <w:szCs w:val="18"/>
              </w:rPr>
              <w:t xml:space="preser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tc>
        <w:tc>
          <w:tcPr>
            <w:tcW w:w="3544" w:type="dxa"/>
            <w:shd w:val="clear" w:color="auto" w:fill="auto"/>
          </w:tcPr>
          <w:p w14:paraId="61F768D7" w14:textId="42FB4ACD" w:rsidR="002E2B11" w:rsidRPr="00CE3F83" w:rsidRDefault="0083599B" w:rsidP="00981730">
            <w:pPr>
              <w:spacing w:before="0" w:after="0"/>
              <w:contextualSpacing/>
              <w:rPr>
                <w:rFonts w:eastAsia="Times New Roman" w:cs="Open Sans"/>
                <w:sz w:val="20"/>
                <w:szCs w:val="18"/>
              </w:rPr>
            </w:pPr>
            <w:r w:rsidRPr="00CE3F83">
              <w:rPr>
                <w:rFonts w:eastAsia="Times New Roman" w:cs="Open Sans"/>
                <w:sz w:val="20"/>
                <w:szCs w:val="18"/>
              </w:rPr>
              <w:t>Dependent on stage of individual project and/or Commissioner term</w:t>
            </w:r>
          </w:p>
        </w:tc>
      </w:tr>
      <w:tr w:rsidR="002E2B11" w:rsidRPr="006F7E8F" w14:paraId="592E0CEE" w14:textId="77777777" w:rsidTr="00CE3F83">
        <w:trPr>
          <w:trHeight w:val="549"/>
        </w:trPr>
        <w:tc>
          <w:tcPr>
            <w:tcW w:w="1559" w:type="dxa"/>
            <w:vMerge/>
            <w:shd w:val="clear" w:color="auto" w:fill="1E7B95"/>
          </w:tcPr>
          <w:p w14:paraId="043F72F6" w14:textId="77777777" w:rsidR="002E2B11" w:rsidRPr="00E21C99" w:rsidRDefault="002E2B11" w:rsidP="00981730">
            <w:pPr>
              <w:spacing w:before="120" w:after="120"/>
              <w:contextualSpacing/>
              <w:rPr>
                <w:rFonts w:eastAsia="Times New Roman" w:cs="Open Sans"/>
                <w:sz w:val="20"/>
                <w:szCs w:val="18"/>
              </w:rPr>
            </w:pPr>
          </w:p>
        </w:tc>
        <w:tc>
          <w:tcPr>
            <w:tcW w:w="2977" w:type="dxa"/>
            <w:vMerge/>
            <w:shd w:val="clear" w:color="auto" w:fill="auto"/>
          </w:tcPr>
          <w:p w14:paraId="1129E93D" w14:textId="77777777" w:rsidR="002E2B11" w:rsidRPr="00E21C99" w:rsidRDefault="002E2B11" w:rsidP="00981730">
            <w:pPr>
              <w:spacing w:before="120" w:after="0"/>
              <w:rPr>
                <w:rFonts w:eastAsia="Times New Roman" w:cs="Open Sans"/>
                <w:sz w:val="20"/>
                <w:szCs w:val="18"/>
              </w:rPr>
            </w:pPr>
          </w:p>
        </w:tc>
        <w:tc>
          <w:tcPr>
            <w:tcW w:w="5103" w:type="dxa"/>
            <w:shd w:val="clear" w:color="auto" w:fill="auto"/>
          </w:tcPr>
          <w:p w14:paraId="0FE58089" w14:textId="77777777" w:rsidR="002E2B11" w:rsidRPr="00E21C99" w:rsidRDefault="002E2B11" w:rsidP="00981730">
            <w:pPr>
              <w:spacing w:before="0" w:after="0"/>
              <w:contextualSpacing/>
              <w:rPr>
                <w:rFonts w:eastAsia="Times New Roman" w:cs="Open Sans"/>
                <w:sz w:val="20"/>
                <w:szCs w:val="18"/>
              </w:rPr>
            </w:pPr>
            <w:r w:rsidRPr="00E21C99">
              <w:rPr>
                <w:rFonts w:eastAsia="Times New Roman" w:cs="Open Sans"/>
                <w:sz w:val="20"/>
                <w:szCs w:val="18"/>
              </w:rPr>
              <w:t>Our activities with Australian business increase their capability to identify, prevent and address modern slavery in their operations and supply chains.</w:t>
            </w:r>
          </w:p>
        </w:tc>
        <w:tc>
          <w:tcPr>
            <w:tcW w:w="8363" w:type="dxa"/>
            <w:shd w:val="clear" w:color="auto" w:fill="auto"/>
          </w:tcPr>
          <w:p w14:paraId="7280C429" w14:textId="77777777" w:rsidR="002E2B11" w:rsidRPr="009A2E19" w:rsidRDefault="002E2B11" w:rsidP="009A2E19">
            <w:pPr>
              <w:spacing w:before="0" w:after="0"/>
              <w:contextualSpacing/>
              <w:rPr>
                <w:rFonts w:eastAsia="Times New Roman" w:cs="Open Sans"/>
                <w:color w:val="000000"/>
                <w:sz w:val="20"/>
                <w:szCs w:val="18"/>
              </w:rPr>
            </w:pPr>
            <w:r w:rsidRPr="009A2E19">
              <w:rPr>
                <w:rFonts w:eastAsia="Times New Roman" w:cs="Open Sans"/>
                <w:color w:val="000000"/>
                <w:sz w:val="20"/>
                <w:szCs w:val="18"/>
              </w:rPr>
              <w:t xml:space="preserve">Instances of business </w:t>
            </w:r>
            <w:r w:rsidRPr="009A2E19">
              <w:rPr>
                <w:rFonts w:eastAsia="Times New Roman" w:cs="Open Sans"/>
                <w:sz w:val="20"/>
                <w:szCs w:val="18"/>
              </w:rPr>
              <w:t>stakeholders reporting that our work has contributed to increased understanding and awareness of their role to prevent modern slavery in their supply chains and operations, and how to address it.</w:t>
            </w:r>
          </w:p>
        </w:tc>
        <w:tc>
          <w:tcPr>
            <w:tcW w:w="3544" w:type="dxa"/>
            <w:shd w:val="clear" w:color="auto" w:fill="auto"/>
          </w:tcPr>
          <w:p w14:paraId="50F2422B" w14:textId="0F1452E2" w:rsidR="002E2B11" w:rsidRPr="00CE3F83" w:rsidRDefault="002E2B11" w:rsidP="00981730">
            <w:pPr>
              <w:spacing w:before="0" w:after="0"/>
              <w:contextualSpacing/>
              <w:rPr>
                <w:rFonts w:eastAsia="Times New Roman" w:cs="Open Sans"/>
                <w:sz w:val="20"/>
                <w:szCs w:val="18"/>
              </w:rPr>
            </w:pPr>
            <w:r w:rsidRPr="00CE3F83">
              <w:rPr>
                <w:rFonts w:eastAsia="Times New Roman" w:cs="Open Sans"/>
                <w:sz w:val="20"/>
                <w:szCs w:val="18"/>
              </w:rPr>
              <w:t>2019</w:t>
            </w:r>
            <w:r w:rsidR="00992229" w:rsidRPr="00CE3F83">
              <w:rPr>
                <w:rFonts w:eastAsia="Times New Roman" w:cs="Open Sans"/>
                <w:sz w:val="20"/>
                <w:szCs w:val="18"/>
              </w:rPr>
              <w:t>–</w:t>
            </w:r>
            <w:r w:rsidRPr="00CE3F83">
              <w:rPr>
                <w:rFonts w:eastAsia="Times New Roman" w:cs="Open Sans"/>
                <w:sz w:val="20"/>
                <w:szCs w:val="18"/>
              </w:rPr>
              <w:t>2022</w:t>
            </w:r>
          </w:p>
          <w:p w14:paraId="78E14D66" w14:textId="5173F7FF" w:rsidR="002E2B11" w:rsidRPr="00CE3F83" w:rsidRDefault="002E2B11" w:rsidP="00981730">
            <w:pPr>
              <w:spacing w:before="0" w:after="0"/>
              <w:contextualSpacing/>
              <w:rPr>
                <w:rFonts w:eastAsia="Times New Roman" w:cs="Open Sans"/>
                <w:sz w:val="20"/>
                <w:szCs w:val="18"/>
              </w:rPr>
            </w:pPr>
            <w:r w:rsidRPr="00CE3F83">
              <w:rPr>
                <w:rFonts w:eastAsia="Times New Roman" w:cs="Open Sans"/>
                <w:sz w:val="20"/>
                <w:szCs w:val="18"/>
              </w:rPr>
              <w:t>(3-year strategy)</w:t>
            </w:r>
          </w:p>
        </w:tc>
      </w:tr>
      <w:tr w:rsidR="002E2B11" w:rsidRPr="006F7E8F" w14:paraId="2404B9D8" w14:textId="77777777" w:rsidTr="00CE3F83">
        <w:trPr>
          <w:trHeight w:val="549"/>
        </w:trPr>
        <w:tc>
          <w:tcPr>
            <w:tcW w:w="1559" w:type="dxa"/>
            <w:vMerge/>
            <w:shd w:val="clear" w:color="auto" w:fill="1E7B95"/>
          </w:tcPr>
          <w:p w14:paraId="56B2FC79"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2B8C8B05" w14:textId="77777777" w:rsidR="002E2B11" w:rsidRPr="006F7E8F" w:rsidRDefault="002E2B11" w:rsidP="00981730">
            <w:pPr>
              <w:spacing w:before="120" w:after="0"/>
              <w:rPr>
                <w:rFonts w:eastAsia="Times New Roman" w:cs="Open Sans"/>
                <w:sz w:val="20"/>
                <w:szCs w:val="18"/>
              </w:rPr>
            </w:pPr>
          </w:p>
        </w:tc>
        <w:tc>
          <w:tcPr>
            <w:tcW w:w="5103" w:type="dxa"/>
            <w:shd w:val="clear" w:color="auto" w:fill="auto"/>
          </w:tcPr>
          <w:p w14:paraId="49BE0938" w14:textId="77777777" w:rsidR="002E2B11" w:rsidRPr="006F7E8F" w:rsidRDefault="002E2B11" w:rsidP="00981730">
            <w:pPr>
              <w:spacing w:before="0" w:after="0"/>
              <w:contextualSpacing/>
              <w:rPr>
                <w:rFonts w:eastAsia="Times New Roman" w:cs="Open Sans"/>
                <w:sz w:val="20"/>
                <w:szCs w:val="18"/>
              </w:rPr>
            </w:pPr>
            <w:r w:rsidRPr="006F7E8F">
              <w:rPr>
                <w:rFonts w:eastAsia="Times New Roman" w:cs="Open Sans"/>
                <w:sz w:val="20"/>
                <w:szCs w:val="18"/>
              </w:rPr>
              <w:t>Our regional technical cooperation activities increase stakeholder capacity to advance national reform in partner states</w:t>
            </w:r>
          </w:p>
        </w:tc>
        <w:tc>
          <w:tcPr>
            <w:tcW w:w="8363" w:type="dxa"/>
            <w:shd w:val="clear" w:color="auto" w:fill="auto"/>
          </w:tcPr>
          <w:p w14:paraId="0425520A" w14:textId="35609E8F" w:rsidR="002E2B11" w:rsidRDefault="002E2B11" w:rsidP="00141C2A">
            <w:pPr>
              <w:spacing w:before="0" w:after="0"/>
              <w:contextualSpacing/>
              <w:rPr>
                <w:rFonts w:eastAsia="Times New Roman" w:cs="Open Sans"/>
                <w:color w:val="000000"/>
                <w:sz w:val="20"/>
                <w:szCs w:val="18"/>
              </w:rPr>
            </w:pPr>
            <w:r w:rsidRPr="00141C2A">
              <w:rPr>
                <w:rFonts w:eastAsia="Times New Roman" w:cs="Open Sans"/>
                <w:color w:val="000000"/>
                <w:sz w:val="20"/>
                <w:szCs w:val="18"/>
              </w:rPr>
              <w:t xml:space="preserve">Instances </w:t>
            </w:r>
            <w:r>
              <w:rPr>
                <w:rFonts w:eastAsia="Times New Roman" w:cs="Open Sans"/>
                <w:color w:val="000000"/>
                <w:sz w:val="20"/>
                <w:szCs w:val="18"/>
              </w:rPr>
              <w:t>of</w:t>
            </w:r>
            <w:r w:rsidR="000C1BD0">
              <w:rPr>
                <w:rFonts w:eastAsia="Times New Roman" w:cs="Open Sans"/>
                <w:color w:val="000000"/>
                <w:sz w:val="20"/>
                <w:szCs w:val="18"/>
              </w:rPr>
              <w:t>:</w:t>
            </w:r>
          </w:p>
          <w:p w14:paraId="2669227E" w14:textId="350B65D0" w:rsidR="002E2B11" w:rsidRPr="00B22873" w:rsidRDefault="00B22873" w:rsidP="009A2E19">
            <w:pPr>
              <w:pStyle w:val="Paragrafoelenco"/>
              <w:numPr>
                <w:ilvl w:val="0"/>
                <w:numId w:val="28"/>
              </w:numPr>
              <w:spacing w:before="0" w:after="0"/>
              <w:contextualSpacing/>
              <w:rPr>
                <w:rFonts w:eastAsia="Times New Roman" w:cs="Open Sans"/>
                <w:color w:val="000000"/>
                <w:sz w:val="20"/>
                <w:szCs w:val="20"/>
              </w:rPr>
            </w:pPr>
            <w:proofErr w:type="gramStart"/>
            <w:r w:rsidRPr="00B22873">
              <w:rPr>
                <w:rFonts w:eastAsia="Times New Roman" w:cs="Open Sans"/>
                <w:color w:val="000000"/>
                <w:sz w:val="20"/>
                <w:szCs w:val="20"/>
                <w:lang w:val="en-US"/>
              </w:rPr>
              <w:t>partners</w:t>
            </w:r>
            <w:r>
              <w:rPr>
                <w:rFonts w:eastAsia="Times New Roman" w:cs="Open Sans"/>
                <w:color w:val="000000"/>
                <w:sz w:val="20"/>
                <w:szCs w:val="20"/>
                <w:lang w:val="en-US"/>
              </w:rPr>
              <w:t>‘</w:t>
            </w:r>
            <w:r w:rsidRPr="00B22873">
              <w:rPr>
                <w:rFonts w:eastAsia="Times New Roman" w:cs="Open Sans"/>
                <w:color w:val="000000"/>
                <w:sz w:val="20"/>
                <w:szCs w:val="20"/>
                <w:lang w:val="en-US"/>
              </w:rPr>
              <w:t xml:space="preserve"> increased</w:t>
            </w:r>
            <w:proofErr w:type="gramEnd"/>
            <w:r w:rsidRPr="00B22873">
              <w:rPr>
                <w:rFonts w:eastAsia="Times New Roman" w:cs="Open Sans"/>
                <w:color w:val="000000"/>
                <w:sz w:val="20"/>
                <w:szCs w:val="20"/>
                <w:lang w:val="en-US"/>
              </w:rPr>
              <w:t xml:space="preserve"> knowledge and application of </w:t>
            </w:r>
            <w:bookmarkStart w:id="9" w:name="_GoBack"/>
            <w:bookmarkEnd w:id="9"/>
            <w:r w:rsidRPr="00B22873">
              <w:rPr>
                <w:rFonts w:eastAsia="Times New Roman" w:cs="Open Sans"/>
                <w:color w:val="000000"/>
                <w:sz w:val="20"/>
                <w:szCs w:val="20"/>
                <w:lang w:val="en-US"/>
              </w:rPr>
              <w:t>human rights frameworks, principles and practices to advance human rights reform</w:t>
            </w:r>
          </w:p>
          <w:p w14:paraId="1A749159" w14:textId="630D29E9" w:rsidR="002E2B11" w:rsidRPr="00EE14C6" w:rsidRDefault="00EE14C6" w:rsidP="009A2E19">
            <w:pPr>
              <w:pStyle w:val="Paragrafoelenco"/>
              <w:numPr>
                <w:ilvl w:val="0"/>
                <w:numId w:val="28"/>
              </w:numPr>
              <w:spacing w:before="0" w:after="0"/>
              <w:contextualSpacing/>
              <w:rPr>
                <w:rFonts w:eastAsia="Times New Roman" w:cs="Open Sans"/>
                <w:color w:val="000000"/>
                <w:sz w:val="20"/>
                <w:szCs w:val="18"/>
              </w:rPr>
            </w:pPr>
            <w:r w:rsidRPr="00EE14C6">
              <w:rPr>
                <w:rFonts w:eastAsia="Times New Roman" w:cs="Open Sans"/>
                <w:color w:val="000000"/>
                <w:sz w:val="21"/>
                <w:szCs w:val="21"/>
                <w:lang w:val="en-US"/>
              </w:rPr>
              <w:t>practice/policy reform relating to human rights principles, which are reviewed or developed as a result of technical cooperation activities</w:t>
            </w:r>
            <w:r w:rsidR="001B7432" w:rsidRPr="00EE14C6">
              <w:rPr>
                <w:rFonts w:eastAsia="Times New Roman" w:cs="Open Sans"/>
                <w:color w:val="000000"/>
                <w:sz w:val="20"/>
                <w:szCs w:val="18"/>
              </w:rPr>
              <w:t>.</w:t>
            </w:r>
          </w:p>
        </w:tc>
        <w:tc>
          <w:tcPr>
            <w:tcW w:w="3544" w:type="dxa"/>
            <w:shd w:val="clear" w:color="auto" w:fill="auto"/>
          </w:tcPr>
          <w:p w14:paraId="04F8BB4F" w14:textId="5C058E32" w:rsidR="002E2B11" w:rsidRPr="00CE3F83" w:rsidRDefault="0083599B" w:rsidP="00981730">
            <w:pPr>
              <w:spacing w:before="0" w:after="0"/>
              <w:contextualSpacing/>
              <w:rPr>
                <w:rFonts w:eastAsia="Times New Roman" w:cs="Open Sans"/>
                <w:sz w:val="20"/>
                <w:szCs w:val="18"/>
              </w:rPr>
            </w:pPr>
            <w:r w:rsidRPr="00CE3F83">
              <w:rPr>
                <w:rFonts w:eastAsia="Times New Roman" w:cs="Open Sans"/>
                <w:sz w:val="20"/>
                <w:szCs w:val="18"/>
              </w:rPr>
              <w:t>Dependent on stage of individual project and/or Commissioner term</w:t>
            </w:r>
          </w:p>
        </w:tc>
      </w:tr>
      <w:tr w:rsidR="00625841" w:rsidRPr="006F7E8F" w14:paraId="55A405AE" w14:textId="77777777" w:rsidTr="00CE3F83">
        <w:trPr>
          <w:trHeight w:val="117"/>
        </w:trPr>
        <w:tc>
          <w:tcPr>
            <w:tcW w:w="1559" w:type="dxa"/>
            <w:tcBorders>
              <w:left w:val="nil"/>
              <w:right w:val="nil"/>
            </w:tcBorders>
            <w:shd w:val="clear" w:color="auto" w:fill="auto"/>
          </w:tcPr>
          <w:p w14:paraId="39E8D5F9" w14:textId="77777777" w:rsidR="00625841" w:rsidRPr="006F7E8F" w:rsidRDefault="00625841" w:rsidP="00AD259E">
            <w:pPr>
              <w:spacing w:before="120" w:after="120"/>
              <w:contextualSpacing/>
              <w:rPr>
                <w:rFonts w:eastAsia="Times New Roman" w:cs="Open Sans"/>
                <w:sz w:val="20"/>
                <w:szCs w:val="18"/>
              </w:rPr>
            </w:pPr>
          </w:p>
        </w:tc>
        <w:tc>
          <w:tcPr>
            <w:tcW w:w="2977" w:type="dxa"/>
            <w:tcBorders>
              <w:left w:val="nil"/>
              <w:right w:val="nil"/>
            </w:tcBorders>
            <w:shd w:val="clear" w:color="auto" w:fill="auto"/>
          </w:tcPr>
          <w:p w14:paraId="346590C4" w14:textId="77777777" w:rsidR="00625841" w:rsidRPr="0087086E" w:rsidRDefault="00625841" w:rsidP="00AD259E">
            <w:pPr>
              <w:spacing w:before="120" w:after="120"/>
              <w:rPr>
                <w:rFonts w:eastAsia="Times New Roman" w:cs="Open Sans"/>
                <w:sz w:val="20"/>
                <w:szCs w:val="18"/>
              </w:rPr>
            </w:pPr>
          </w:p>
        </w:tc>
        <w:tc>
          <w:tcPr>
            <w:tcW w:w="5103" w:type="dxa"/>
            <w:tcBorders>
              <w:left w:val="nil"/>
              <w:right w:val="nil"/>
            </w:tcBorders>
            <w:shd w:val="clear" w:color="auto" w:fill="auto"/>
          </w:tcPr>
          <w:p w14:paraId="376F8AD7" w14:textId="77777777" w:rsidR="00625841" w:rsidRPr="0083599B" w:rsidRDefault="00625841" w:rsidP="00AD259E">
            <w:pPr>
              <w:spacing w:before="0" w:after="0"/>
              <w:ind w:left="-37"/>
              <w:contextualSpacing/>
              <w:rPr>
                <w:rFonts w:eastAsia="Times New Roman" w:cs="Open Sans"/>
                <w:sz w:val="20"/>
                <w:szCs w:val="18"/>
              </w:rPr>
            </w:pPr>
          </w:p>
        </w:tc>
        <w:tc>
          <w:tcPr>
            <w:tcW w:w="8363" w:type="dxa"/>
            <w:tcBorders>
              <w:left w:val="nil"/>
              <w:right w:val="nil"/>
            </w:tcBorders>
            <w:shd w:val="clear" w:color="auto" w:fill="auto"/>
          </w:tcPr>
          <w:p w14:paraId="4D2E3990" w14:textId="77777777" w:rsidR="00625841" w:rsidRPr="009A2E19" w:rsidRDefault="00625841" w:rsidP="00AD259E">
            <w:pPr>
              <w:spacing w:before="0" w:after="0"/>
              <w:contextualSpacing/>
              <w:rPr>
                <w:rFonts w:eastAsia="Times New Roman" w:cs="Open Sans"/>
                <w:sz w:val="20"/>
                <w:szCs w:val="18"/>
              </w:rPr>
            </w:pPr>
          </w:p>
        </w:tc>
        <w:tc>
          <w:tcPr>
            <w:tcW w:w="3544" w:type="dxa"/>
            <w:tcBorders>
              <w:left w:val="nil"/>
              <w:right w:val="nil"/>
            </w:tcBorders>
            <w:shd w:val="clear" w:color="auto" w:fill="auto"/>
          </w:tcPr>
          <w:p w14:paraId="016332E4" w14:textId="77777777" w:rsidR="00625841" w:rsidRDefault="00625841" w:rsidP="00AD259E">
            <w:pPr>
              <w:spacing w:before="0" w:after="0"/>
              <w:ind w:left="-37"/>
              <w:contextualSpacing/>
              <w:rPr>
                <w:rFonts w:eastAsia="Times New Roman" w:cs="Open Sans"/>
                <w:sz w:val="20"/>
                <w:szCs w:val="18"/>
              </w:rPr>
            </w:pPr>
          </w:p>
        </w:tc>
      </w:tr>
      <w:bookmarkEnd w:id="8"/>
      <w:tr w:rsidR="002E2B11" w:rsidRPr="006F7E8F" w14:paraId="7974396B" w14:textId="77777777" w:rsidTr="00CE3F83">
        <w:trPr>
          <w:trHeight w:val="1072"/>
        </w:trPr>
        <w:tc>
          <w:tcPr>
            <w:tcW w:w="1559" w:type="dxa"/>
            <w:vMerge w:val="restart"/>
            <w:shd w:val="clear" w:color="auto" w:fill="014B61"/>
          </w:tcPr>
          <w:p w14:paraId="40B1B6D4" w14:textId="32AEBD83" w:rsidR="002E2B11" w:rsidRPr="006F7E8F" w:rsidRDefault="002E2B11" w:rsidP="00CE3F83">
            <w:pPr>
              <w:rPr>
                <w:rFonts w:eastAsia="Times New Roman" w:cs="Open Sans"/>
                <w:sz w:val="20"/>
                <w:szCs w:val="18"/>
              </w:rPr>
            </w:pPr>
            <w:r w:rsidRPr="006F7E8F">
              <w:rPr>
                <w:rFonts w:eastAsia="Times New Roman" w:cs="Open Sans"/>
                <w:sz w:val="20"/>
                <w:szCs w:val="18"/>
              </w:rPr>
              <w:t>Effective access to justice and remedy for people and communities whose rights are breached</w:t>
            </w:r>
          </w:p>
        </w:tc>
        <w:tc>
          <w:tcPr>
            <w:tcW w:w="2977" w:type="dxa"/>
            <w:vMerge w:val="restart"/>
            <w:shd w:val="clear" w:color="auto" w:fill="auto"/>
          </w:tcPr>
          <w:p w14:paraId="7CBFACD1" w14:textId="5D18BED7" w:rsidR="002E2B11" w:rsidRPr="00E21C99" w:rsidRDefault="002E2B11" w:rsidP="00981730">
            <w:pPr>
              <w:spacing w:before="0" w:after="0"/>
              <w:rPr>
                <w:rFonts w:eastAsia="Times New Roman" w:cs="Open Sans"/>
                <w:color w:val="FF0000"/>
                <w:sz w:val="20"/>
                <w:szCs w:val="18"/>
              </w:rPr>
            </w:pPr>
            <w:r w:rsidRPr="00E21C99">
              <w:rPr>
                <w:rFonts w:eastAsia="Times New Roman" w:cs="Open Sans"/>
                <w:sz w:val="20"/>
                <w:szCs w:val="18"/>
              </w:rPr>
              <w:t xml:space="preserve">We deliver a fair and effective investigation and conciliation of complaints service. </w:t>
            </w:r>
            <w:r w:rsidR="00CE3F83" w:rsidRPr="00625841">
              <w:rPr>
                <w:rFonts w:eastAsia="Times New Roman" w:cs="Open Sans"/>
                <w:b/>
                <w:bCs/>
                <w:color w:val="073145"/>
                <w:sz w:val="20"/>
                <w:szCs w:val="18"/>
              </w:rPr>
              <w:t>[PBS criteria]</w:t>
            </w:r>
          </w:p>
          <w:p w14:paraId="6055CAE8" w14:textId="77777777" w:rsidR="002E2B11" w:rsidRPr="00E21C99" w:rsidRDefault="002E2B11" w:rsidP="00981730">
            <w:pPr>
              <w:spacing w:before="0" w:after="0"/>
              <w:rPr>
                <w:rFonts w:eastAsia="Times New Roman" w:cs="Open Sans"/>
                <w:sz w:val="20"/>
                <w:szCs w:val="18"/>
              </w:rPr>
            </w:pPr>
          </w:p>
        </w:tc>
        <w:tc>
          <w:tcPr>
            <w:tcW w:w="5103" w:type="dxa"/>
            <w:shd w:val="clear" w:color="auto" w:fill="auto"/>
          </w:tcPr>
          <w:p w14:paraId="5655FF38" w14:textId="77777777" w:rsidR="002E2B11" w:rsidRPr="00E21C99" w:rsidRDefault="002E2B11" w:rsidP="00981730">
            <w:pPr>
              <w:spacing w:before="0" w:after="0"/>
              <w:contextualSpacing/>
              <w:rPr>
                <w:rFonts w:eastAsia="Times New Roman" w:cs="Open Sans"/>
                <w:sz w:val="20"/>
                <w:szCs w:val="18"/>
              </w:rPr>
            </w:pPr>
            <w:r w:rsidRPr="00E21C99">
              <w:rPr>
                <w:rFonts w:eastAsia="Times New Roman" w:cs="Open Sans"/>
                <w:sz w:val="20"/>
                <w:szCs w:val="18"/>
              </w:rPr>
              <w:t>Our investigation and conciliation of complaints and dispute resolution meet performance indicators on timeliness, efficiency and service user satisfaction.</w:t>
            </w:r>
          </w:p>
        </w:tc>
        <w:tc>
          <w:tcPr>
            <w:tcW w:w="8363" w:type="dxa"/>
            <w:shd w:val="clear" w:color="auto" w:fill="auto"/>
          </w:tcPr>
          <w:p w14:paraId="1BECB1C6" w14:textId="645370E5"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85% of complaints are finalised in under 12 months; 40% of complaints are resolved by conciliation; 85%</w:t>
            </w:r>
            <w:r w:rsidRPr="009A2E19">
              <w:rPr>
                <w:rFonts w:eastAsia="Times New Roman" w:cs="Open Sans"/>
                <w:iCs/>
                <w:sz w:val="20"/>
                <w:szCs w:val="18"/>
              </w:rPr>
              <w:t xml:space="preserve"> of parties to complaints are satisfied with the service</w:t>
            </w:r>
            <w:r w:rsidRPr="009A2E19">
              <w:rPr>
                <w:rFonts w:eastAsia="Times New Roman" w:cs="Open Sans"/>
                <w:sz w:val="20"/>
                <w:szCs w:val="18"/>
              </w:rPr>
              <w:t xml:space="preserve"> they receive.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tc>
        <w:tc>
          <w:tcPr>
            <w:tcW w:w="3544" w:type="dxa"/>
            <w:shd w:val="clear" w:color="auto" w:fill="auto"/>
          </w:tcPr>
          <w:p w14:paraId="626CC894"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 xml:space="preserve">Annual </w:t>
            </w:r>
          </w:p>
        </w:tc>
      </w:tr>
      <w:tr w:rsidR="002E2B11" w:rsidRPr="006F7E8F" w14:paraId="71D3FCC8" w14:textId="77777777" w:rsidTr="00CE3F83">
        <w:trPr>
          <w:trHeight w:val="267"/>
        </w:trPr>
        <w:tc>
          <w:tcPr>
            <w:tcW w:w="1559" w:type="dxa"/>
            <w:vMerge/>
            <w:shd w:val="clear" w:color="auto" w:fill="014B61"/>
          </w:tcPr>
          <w:p w14:paraId="7ACBA5DF"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71A7516C" w14:textId="77777777" w:rsidR="002E2B11" w:rsidRPr="00E21C99" w:rsidRDefault="002E2B11" w:rsidP="00981730">
            <w:pPr>
              <w:spacing w:before="0" w:after="0"/>
              <w:rPr>
                <w:rFonts w:eastAsia="Times New Roman" w:cs="Open Sans"/>
                <w:sz w:val="20"/>
                <w:szCs w:val="18"/>
              </w:rPr>
            </w:pPr>
          </w:p>
        </w:tc>
        <w:tc>
          <w:tcPr>
            <w:tcW w:w="5103" w:type="dxa"/>
            <w:vMerge w:val="restart"/>
            <w:shd w:val="clear" w:color="auto" w:fill="auto"/>
          </w:tcPr>
          <w:p w14:paraId="3AEB8E5A" w14:textId="77777777" w:rsidR="002E2B11" w:rsidRPr="00E21C99" w:rsidRDefault="002E2B11" w:rsidP="00981730">
            <w:pPr>
              <w:spacing w:before="0" w:after="0"/>
              <w:contextualSpacing/>
              <w:rPr>
                <w:rFonts w:eastAsia="Times New Roman" w:cs="Open Sans"/>
                <w:sz w:val="20"/>
                <w:szCs w:val="18"/>
              </w:rPr>
            </w:pPr>
            <w:r w:rsidRPr="00E21C99">
              <w:rPr>
                <w:rFonts w:eastAsia="Times New Roman" w:cs="Open Sans"/>
                <w:sz w:val="20"/>
                <w:szCs w:val="18"/>
              </w:rPr>
              <w:t>Our investigation and conciliation of complaints and dispute resolution processes have systemic and educational outcomes.</w:t>
            </w:r>
          </w:p>
        </w:tc>
        <w:tc>
          <w:tcPr>
            <w:tcW w:w="8363" w:type="dxa"/>
            <w:shd w:val="clear" w:color="auto" w:fill="auto"/>
          </w:tcPr>
          <w:p w14:paraId="79C0DEBF" w14:textId="6C130493"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w:t>
            </w:r>
            <w:r w:rsidR="009A2E19">
              <w:rPr>
                <w:rFonts w:eastAsia="Times New Roman" w:cs="Open Sans"/>
                <w:sz w:val="20"/>
                <w:szCs w:val="18"/>
              </w:rPr>
              <w:t>s</w:t>
            </w:r>
            <w:r w:rsidRPr="009A2E19">
              <w:rPr>
                <w:rFonts w:eastAsia="Times New Roman" w:cs="Open Sans"/>
                <w:sz w:val="20"/>
                <w:szCs w:val="18"/>
              </w:rPr>
              <w:t xml:space="preserve"> where the terms on which investigation and conciliation disputes are resolved include systemic outcomes that accord with the objectives of the law.</w:t>
            </w:r>
            <w:r w:rsidRPr="009A2E19">
              <w:rPr>
                <w:rFonts w:eastAsia="Times New Roman" w:cs="Open Sans"/>
                <w:color w:val="FF0000"/>
                <w:sz w:val="20"/>
                <w:szCs w:val="18"/>
              </w:rPr>
              <w:t xml:space="preser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tc>
        <w:tc>
          <w:tcPr>
            <w:tcW w:w="3544" w:type="dxa"/>
            <w:shd w:val="clear" w:color="auto" w:fill="auto"/>
          </w:tcPr>
          <w:p w14:paraId="772E2D3C"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 xml:space="preserve">Annual </w:t>
            </w:r>
          </w:p>
        </w:tc>
      </w:tr>
      <w:tr w:rsidR="002E2B11" w:rsidRPr="006F7E8F" w14:paraId="107E0A62" w14:textId="77777777" w:rsidTr="00CE3F83">
        <w:trPr>
          <w:trHeight w:val="267"/>
        </w:trPr>
        <w:tc>
          <w:tcPr>
            <w:tcW w:w="1559" w:type="dxa"/>
            <w:vMerge/>
            <w:shd w:val="clear" w:color="auto" w:fill="014B61"/>
          </w:tcPr>
          <w:p w14:paraId="6C95714D" w14:textId="77777777" w:rsidR="002E2B11" w:rsidRPr="006F7E8F" w:rsidRDefault="002E2B11" w:rsidP="00981730">
            <w:pPr>
              <w:spacing w:before="120" w:after="120"/>
              <w:contextualSpacing/>
              <w:rPr>
                <w:rFonts w:eastAsia="Times New Roman" w:cs="Open Sans"/>
                <w:sz w:val="20"/>
                <w:szCs w:val="18"/>
              </w:rPr>
            </w:pPr>
          </w:p>
        </w:tc>
        <w:tc>
          <w:tcPr>
            <w:tcW w:w="2977" w:type="dxa"/>
            <w:vMerge/>
            <w:shd w:val="clear" w:color="auto" w:fill="auto"/>
          </w:tcPr>
          <w:p w14:paraId="3C287F80" w14:textId="77777777" w:rsidR="002E2B11" w:rsidRPr="00E21C99" w:rsidRDefault="002E2B11" w:rsidP="00981730">
            <w:pPr>
              <w:spacing w:before="0" w:after="0"/>
              <w:rPr>
                <w:rFonts w:eastAsia="Times New Roman" w:cs="Open Sans"/>
                <w:sz w:val="20"/>
                <w:szCs w:val="18"/>
              </w:rPr>
            </w:pPr>
          </w:p>
        </w:tc>
        <w:tc>
          <w:tcPr>
            <w:tcW w:w="5103" w:type="dxa"/>
            <w:vMerge/>
            <w:shd w:val="clear" w:color="auto" w:fill="auto"/>
          </w:tcPr>
          <w:p w14:paraId="78B013F5" w14:textId="77777777" w:rsidR="002E2B11" w:rsidRPr="00E21C99" w:rsidRDefault="002E2B11" w:rsidP="00981730">
            <w:pPr>
              <w:spacing w:before="0" w:after="0"/>
              <w:contextualSpacing/>
              <w:rPr>
                <w:rFonts w:eastAsia="Times New Roman" w:cs="Open Sans"/>
                <w:sz w:val="20"/>
                <w:szCs w:val="18"/>
              </w:rPr>
            </w:pPr>
          </w:p>
        </w:tc>
        <w:tc>
          <w:tcPr>
            <w:tcW w:w="8363" w:type="dxa"/>
            <w:shd w:val="clear" w:color="auto" w:fill="auto"/>
          </w:tcPr>
          <w:p w14:paraId="15FAA2A1" w14:textId="0817DA19" w:rsidR="002E2B11" w:rsidRPr="009A2E19" w:rsidRDefault="002E2B11" w:rsidP="009A2E19">
            <w:pPr>
              <w:spacing w:before="0" w:after="0"/>
              <w:contextualSpacing/>
              <w:rPr>
                <w:rFonts w:eastAsia="Times New Roman" w:cs="Open Sans"/>
                <w:sz w:val="20"/>
                <w:szCs w:val="18"/>
              </w:rPr>
            </w:pPr>
            <w:r w:rsidRPr="009A2E19">
              <w:rPr>
                <w:rFonts w:eastAsia="Times New Roman" w:cs="Open Sans"/>
                <w:sz w:val="20"/>
                <w:szCs w:val="18"/>
              </w:rPr>
              <w:t>Instances where participation in the investigation and conciliation process results in increased understanding of rights and responsibilities in the law.</w:t>
            </w:r>
            <w:r w:rsidRPr="009A2E19">
              <w:rPr>
                <w:rFonts w:eastAsia="Times New Roman" w:cs="Open Sans"/>
                <w:color w:val="FF0000"/>
                <w:sz w:val="20"/>
                <w:szCs w:val="18"/>
              </w:rPr>
              <w:t xml:space="preserve"> </w:t>
            </w:r>
            <w:r w:rsidR="00CE3F83" w:rsidRPr="00625841">
              <w:rPr>
                <w:rFonts w:eastAsia="Times New Roman" w:cs="Open Sans"/>
                <w:b/>
                <w:bCs/>
                <w:color w:val="073145"/>
                <w:sz w:val="20"/>
                <w:szCs w:val="18"/>
              </w:rPr>
              <w:t xml:space="preserve">[PBS </w:t>
            </w:r>
            <w:r w:rsidR="00CE3F83">
              <w:rPr>
                <w:rFonts w:eastAsia="Times New Roman" w:cs="Open Sans"/>
                <w:b/>
                <w:bCs/>
                <w:color w:val="073145"/>
                <w:sz w:val="20"/>
                <w:szCs w:val="18"/>
              </w:rPr>
              <w:t>target</w:t>
            </w:r>
            <w:r w:rsidR="00CE3F83" w:rsidRPr="00625841">
              <w:rPr>
                <w:rFonts w:eastAsia="Times New Roman" w:cs="Open Sans"/>
                <w:b/>
                <w:bCs/>
                <w:color w:val="073145"/>
                <w:sz w:val="20"/>
                <w:szCs w:val="18"/>
              </w:rPr>
              <w:t>]</w:t>
            </w:r>
          </w:p>
        </w:tc>
        <w:tc>
          <w:tcPr>
            <w:tcW w:w="3544" w:type="dxa"/>
            <w:shd w:val="clear" w:color="auto" w:fill="auto"/>
          </w:tcPr>
          <w:p w14:paraId="4B3DC172" w14:textId="77777777" w:rsidR="002E2B11" w:rsidRPr="006F7E8F" w:rsidRDefault="002E2B11" w:rsidP="00981730">
            <w:pPr>
              <w:spacing w:before="0" w:after="0"/>
              <w:contextualSpacing/>
              <w:rPr>
                <w:rFonts w:eastAsia="Times New Roman" w:cs="Open Sans"/>
                <w:sz w:val="20"/>
                <w:szCs w:val="18"/>
              </w:rPr>
            </w:pPr>
            <w:r>
              <w:rPr>
                <w:rFonts w:eastAsia="Times New Roman" w:cs="Open Sans"/>
                <w:sz w:val="20"/>
                <w:szCs w:val="18"/>
              </w:rPr>
              <w:t>Annual</w:t>
            </w:r>
          </w:p>
        </w:tc>
      </w:tr>
    </w:tbl>
    <w:p w14:paraId="0A71CAF2" w14:textId="77777777" w:rsidR="00981730" w:rsidRDefault="00981730" w:rsidP="004F46F1"/>
    <w:p w14:paraId="629D5430" w14:textId="77777777" w:rsidR="00981730" w:rsidRDefault="00981730" w:rsidP="00E524F9"/>
    <w:p w14:paraId="3C189AE6" w14:textId="2EEE8FC7" w:rsidR="00E524F9" w:rsidRDefault="00E524F9" w:rsidP="00E524F9">
      <w:pPr>
        <w:sectPr w:rsidR="00E524F9" w:rsidSect="00981730">
          <w:endnotePr>
            <w:numFmt w:val="decimal"/>
          </w:endnotePr>
          <w:pgSz w:w="23811" w:h="16838" w:orient="landscape" w:code="8"/>
          <w:pgMar w:top="720" w:right="720" w:bottom="720" w:left="720" w:header="907" w:footer="283" w:gutter="0"/>
          <w:cols w:space="708"/>
          <w:titlePg/>
          <w:docGrid w:linePitch="360"/>
        </w:sectPr>
      </w:pPr>
    </w:p>
    <w:bookmarkEnd w:id="1"/>
    <w:bookmarkEnd w:id="2"/>
    <w:bookmarkEnd w:id="3"/>
    <w:p w14:paraId="5DF5E36D" w14:textId="77777777" w:rsidR="00503794" w:rsidRPr="004F4461" w:rsidRDefault="00503794" w:rsidP="00CE3F83">
      <w:pPr>
        <w:rPr>
          <w:color w:val="03565F"/>
        </w:rPr>
      </w:pPr>
    </w:p>
    <w:sectPr w:rsidR="00503794" w:rsidRPr="004F4461" w:rsidSect="00E13A53">
      <w:endnotePr>
        <w:numFmt w:val="decimal"/>
      </w:endnotePr>
      <w:pgSz w:w="11906" w:h="16838" w:code="9"/>
      <w:pgMar w:top="1134" w:right="1418" w:bottom="1134" w:left="1418" w:header="90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0C38" w14:textId="77777777" w:rsidR="00205067" w:rsidRDefault="00205067" w:rsidP="00F14C6D">
      <w:r>
        <w:separator/>
      </w:r>
    </w:p>
  </w:endnote>
  <w:endnote w:type="continuationSeparator" w:id="0">
    <w:p w14:paraId="09630086" w14:textId="77777777" w:rsidR="00205067" w:rsidRDefault="0020506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6BFF" w14:textId="77777777" w:rsidR="00981730" w:rsidRDefault="00981730">
    <w:pPr>
      <w:pStyle w:val="Pidipagina"/>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1FA8" w14:textId="2FF03385" w:rsidR="006C7A82" w:rsidRDefault="006C7A82" w:rsidP="006C7A82">
    <w:pPr>
      <w:pStyle w:val="FooterOddPageNumber"/>
    </w:pPr>
    <w:r>
      <w:t xml:space="preserve">THIS MATERIAL SHOULD BE VEIWED IN THE CONTEXT OF THE COMMISSION’S 2019–20 CORPORATE PLAN • </w:t>
    </w:r>
    <w:r w:rsidRPr="00AB7C8F">
      <w:fldChar w:fldCharType="begin"/>
    </w:r>
    <w:r>
      <w:instrText xml:space="preserve"> PAGE   \* MERGEFORMAT </w:instrText>
    </w:r>
    <w:r w:rsidRPr="00AB7C8F">
      <w:fldChar w:fldCharType="separate"/>
    </w:r>
    <w:r>
      <w:t>2</w:t>
    </w:r>
    <w:r w:rsidRPr="00AB7C8F">
      <w:fldChar w:fldCharType="end"/>
    </w:r>
  </w:p>
  <w:p w14:paraId="167ECD11" w14:textId="77777777" w:rsidR="006C7A82" w:rsidRDefault="006C7A82" w:rsidP="006C7A82">
    <w:pPr>
      <w:pStyle w:val="FooterOdd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08966591"/>
      <w:docPartObj>
        <w:docPartGallery w:val="Page Numbers (Bottom of Page)"/>
        <w:docPartUnique/>
      </w:docPartObj>
    </w:sdtPr>
    <w:sdtEndPr>
      <w:rPr>
        <w:rStyle w:val="Numeropagina"/>
      </w:rPr>
    </w:sdtEndPr>
    <w:sdtContent>
      <w:p w14:paraId="1ABA74F5" w14:textId="68C1378E" w:rsidR="006C7A82" w:rsidRDefault="006C7A82" w:rsidP="006C7A8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47343B4" w14:textId="77777777" w:rsidR="004F4461" w:rsidRDefault="004F4461" w:rsidP="004F4461">
    <w:pPr>
      <w:pStyle w:val="FooterOddPageNumber"/>
    </w:pPr>
    <w:r>
      <w:t xml:space="preserve">THIS MATERIAL SHOULD BE VEIWED IN THE CONTEXT OF THE COMMISSION’S 2019–20 CORPORATE PLAN • </w:t>
    </w:r>
    <w:r w:rsidRPr="00AB7C8F">
      <w:fldChar w:fldCharType="begin"/>
    </w:r>
    <w:r>
      <w:instrText xml:space="preserve"> PAGE   \* MERGEFORMAT </w:instrText>
    </w:r>
    <w:r w:rsidRPr="00AB7C8F">
      <w:fldChar w:fldCharType="separate"/>
    </w:r>
    <w:r>
      <w:t>1</w:t>
    </w:r>
    <w:r w:rsidRPr="00AB7C8F">
      <w:fldChar w:fldCharType="end"/>
    </w:r>
  </w:p>
  <w:p w14:paraId="4888FE7E" w14:textId="40AFCCBE" w:rsidR="00981730" w:rsidRDefault="00981730" w:rsidP="006C7A82">
    <w:pPr>
      <w:pStyle w:val="FooterEvenPageNumb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C4BC" w14:textId="77777777" w:rsidR="00205067" w:rsidRDefault="00205067" w:rsidP="00F14C6D">
      <w:r>
        <w:separator/>
      </w:r>
    </w:p>
  </w:footnote>
  <w:footnote w:type="continuationSeparator" w:id="0">
    <w:p w14:paraId="5E93BFFC" w14:textId="77777777" w:rsidR="00205067" w:rsidRDefault="00205067" w:rsidP="00F14C6D">
      <w:r>
        <w:continuationSeparator/>
      </w:r>
    </w:p>
  </w:footnote>
  <w:footnote w:id="1">
    <w:p w14:paraId="681FE38D" w14:textId="77777777" w:rsidR="00981730" w:rsidRPr="0026406F" w:rsidRDefault="00981730" w:rsidP="00EF46D2">
      <w:pPr>
        <w:pStyle w:val="Testonotaapidipagina"/>
        <w:rPr>
          <w:rFonts w:ascii="Open Sans" w:hAnsi="Open Sans" w:cs="Open Sans"/>
          <w:sz w:val="18"/>
          <w:szCs w:val="18"/>
        </w:rPr>
      </w:pPr>
      <w:r w:rsidRPr="0026406F">
        <w:rPr>
          <w:rStyle w:val="Rimandonotaapidipagina"/>
          <w:rFonts w:ascii="Open Sans" w:hAnsi="Open Sans" w:cs="Open Sans"/>
          <w:sz w:val="18"/>
          <w:szCs w:val="18"/>
        </w:rPr>
        <w:footnoteRef/>
      </w:r>
      <w:r w:rsidRPr="0026406F">
        <w:rPr>
          <w:rFonts w:ascii="Open Sans" w:hAnsi="Open Sans" w:cs="Open Sans"/>
          <w:sz w:val="18"/>
          <w:szCs w:val="18"/>
        </w:rPr>
        <w:t xml:space="preserve"> </w:t>
      </w:r>
      <w:hyperlink r:id="rId1" w:anchor="ECPFTools" w:history="1">
        <w:r w:rsidRPr="0026406F">
          <w:rPr>
            <w:rStyle w:val="Collegamentoipertestuale"/>
            <w:rFonts w:cs="Open Sans"/>
            <w:sz w:val="18"/>
            <w:szCs w:val="18"/>
          </w:rPr>
          <w:t>https://www.finance.gov.au/resource-management/pmra/performance/#ECPFTools</w:t>
        </w:r>
      </w:hyperlink>
    </w:p>
  </w:footnote>
  <w:footnote w:id="2">
    <w:p w14:paraId="14F002CA" w14:textId="47D5A4E8" w:rsidR="00981730" w:rsidRDefault="00981730">
      <w:pPr>
        <w:pStyle w:val="Testonotaapidipagina"/>
      </w:pPr>
      <w:r>
        <w:rPr>
          <w:rStyle w:val="Rimandonotaapidipagina"/>
        </w:rPr>
        <w:footnoteRef/>
      </w:r>
      <w:r>
        <w:t xml:space="preserve"> </w:t>
      </w:r>
      <w:r w:rsidRPr="00D12C2E">
        <w:rPr>
          <w:rFonts w:ascii="Open Sans" w:hAnsi="Open Sans" w:cs="Open Sans"/>
        </w:rPr>
        <w:t>The Commission</w:t>
      </w:r>
      <w:r w:rsidR="00D44F3F">
        <w:rPr>
          <w:rFonts w:ascii="Open Sans" w:hAnsi="Open Sans" w:cs="Open Sans"/>
        </w:rPr>
        <w:t>’</w:t>
      </w:r>
      <w:r w:rsidRPr="00D12C2E">
        <w:rPr>
          <w:rFonts w:ascii="Open Sans" w:hAnsi="Open Sans" w:cs="Open Sans"/>
        </w:rPr>
        <w:t xml:space="preserve">s PBS budget statement can be viewed here: </w:t>
      </w:r>
      <w:hyperlink r:id="rId2" w:history="1">
        <w:r w:rsidRPr="004F4461">
          <w:rPr>
            <w:rStyle w:val="Collegamentoipertestuale"/>
            <w:rFonts w:cs="Open Sans"/>
          </w:rPr>
          <w:t>https://www.ag.gov.au/Publications/Budgets/Budget2019-20/Documents/PBS-australian-human-rights-commission-2019-20.PDF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4D6C" w14:textId="77777777" w:rsidR="00981730" w:rsidRPr="000465F1" w:rsidRDefault="00981730" w:rsidP="0015239E">
    <w:pPr>
      <w:pStyle w:val="Intestazione"/>
    </w:pPr>
    <w:r w:rsidRPr="000465F1">
      <w:t>Australian Human Rights Commission</w:t>
    </w:r>
  </w:p>
  <w:p w14:paraId="5EE6F722" w14:textId="77777777" w:rsidR="00981730" w:rsidRPr="000465F1" w:rsidRDefault="00981730" w:rsidP="0015239E">
    <w:pPr>
      <w:pStyle w:val="HeaderDocumentDate"/>
    </w:pPr>
    <w:r w:rsidRPr="001F62CC">
      <w:rPr>
        <w:rStyle w:val="HeaderDocumentTitle"/>
      </w:rPr>
      <w:t>Short title, report name,</w:t>
    </w:r>
    <w:r>
      <w:t xml:space="preserve"> </w:t>
    </w:r>
    <w:r w:rsidRPr="002850B0">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D0C1" w14:textId="77777777" w:rsidR="00981730" w:rsidRPr="000465F1" w:rsidRDefault="00981730" w:rsidP="00CA5D90">
    <w:pPr>
      <w:pStyle w:val="Intestazione"/>
    </w:pPr>
    <w:bookmarkStart w:id="5" w:name="_Hlk514672172"/>
    <w:bookmarkStart w:id="6" w:name="_Hlk514672173"/>
    <w:r w:rsidRPr="000465F1">
      <w:t>Australian Human Rights Commission</w:t>
    </w:r>
  </w:p>
  <w:bookmarkEnd w:id="5"/>
  <w:bookmarkEnd w:id="6"/>
  <w:p w14:paraId="23BCAF20" w14:textId="1D14A880" w:rsidR="00981730" w:rsidRDefault="00981730" w:rsidP="003F1A17">
    <w:pPr>
      <w:pStyle w:val="HeaderDocumentDate"/>
    </w:pPr>
    <w:r>
      <w:rPr>
        <w:rStyle w:val="HeaderDocumentTitle"/>
      </w:rPr>
      <w:t xml:space="preserve">Performance framework </w:t>
    </w:r>
    <w:r w:rsidR="006C7A82">
      <w:rPr>
        <w:rStyle w:val="HeaderDocumentTitle"/>
      </w:rPr>
      <w:t>•</w:t>
    </w:r>
    <w:r>
      <w:rPr>
        <w:rStyle w:val="HeaderDocumentTitle"/>
      </w:rPr>
      <w:t xml:space="preserve"> </w:t>
    </w:r>
    <w:r>
      <w:fldChar w:fldCharType="begin"/>
    </w:r>
    <w:r>
      <w:instrText xml:space="preserve"> CREATEDATE  \@ "MMMM yyyy"  \* MERGEFORMAT </w:instrText>
    </w:r>
    <w:r>
      <w:fldChar w:fldCharType="separate"/>
    </w:r>
    <w:r w:rsidR="001C0B50">
      <w:rPr>
        <w:noProof/>
      </w:rPr>
      <w:t>July 2019</w:t>
    </w:r>
    <w:r>
      <w:fldChar w:fldCharType="end"/>
    </w:r>
  </w:p>
  <w:p w14:paraId="54FFCB8C" w14:textId="77777777" w:rsidR="00981730" w:rsidRDefault="00981730" w:rsidP="003F1A17">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Puntoelenco"/>
      <w:lvlText w:val=""/>
      <w:lvlJc w:val="left"/>
      <w:pPr>
        <w:tabs>
          <w:tab w:val="num" w:pos="360"/>
        </w:tabs>
        <w:ind w:left="360" w:hanging="3"/>
      </w:pPr>
      <w:rPr>
        <w:rFonts w:ascii="Symbol" w:hAnsi="Symbol" w:hint="default"/>
      </w:rPr>
    </w:lvl>
  </w:abstractNum>
  <w:abstractNum w:abstractNumId="10" w15:restartNumberingAfterBreak="0">
    <w:nsid w:val="162F479E"/>
    <w:multiLevelType w:val="hybridMultilevel"/>
    <w:tmpl w:val="6E4E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C451250"/>
    <w:multiLevelType w:val="hybridMultilevel"/>
    <w:tmpl w:val="9BCC4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3D1375"/>
    <w:multiLevelType w:val="hybridMultilevel"/>
    <w:tmpl w:val="2CC857B6"/>
    <w:lvl w:ilvl="0" w:tplc="F290283E">
      <w:start w:val="1"/>
      <w:numFmt w:val="bullet"/>
      <w:pStyle w:val="VEOHRCListBullet"/>
      <w:lvlText w:val=""/>
      <w:lvlJc w:val="left"/>
      <w:pPr>
        <w:tabs>
          <w:tab w:val="num" w:pos="720"/>
        </w:tabs>
        <w:ind w:left="720" w:hanging="360"/>
      </w:pPr>
      <w:rPr>
        <w:rFonts w:ascii="Symbol" w:hAnsi="Symbol" w:hint="default"/>
      </w:rPr>
    </w:lvl>
    <w:lvl w:ilvl="1" w:tplc="2C6A4A6C">
      <w:start w:val="1"/>
      <w:numFmt w:val="bullet"/>
      <w:lvlText w:val="o"/>
      <w:lvlJc w:val="left"/>
      <w:pPr>
        <w:tabs>
          <w:tab w:val="num" w:pos="1800"/>
        </w:tabs>
        <w:ind w:left="1800" w:hanging="360"/>
      </w:pPr>
      <w:rPr>
        <w:rFonts w:ascii="Courier New" w:hAnsi="Courier New" w:cs="Courier New" w:hint="default"/>
      </w:rPr>
    </w:lvl>
    <w:lvl w:ilvl="2" w:tplc="76BA1B42">
      <w:start w:val="1"/>
      <w:numFmt w:val="bullet"/>
      <w:lvlText w:val=""/>
      <w:lvlJc w:val="left"/>
      <w:pPr>
        <w:tabs>
          <w:tab w:val="num" w:pos="2520"/>
        </w:tabs>
        <w:ind w:left="2520" w:hanging="360"/>
      </w:pPr>
      <w:rPr>
        <w:rFonts w:ascii="Wingdings" w:hAnsi="Wingdings" w:hint="default"/>
      </w:rPr>
    </w:lvl>
    <w:lvl w:ilvl="3" w:tplc="15F0E9EE" w:tentative="1">
      <w:start w:val="1"/>
      <w:numFmt w:val="bullet"/>
      <w:lvlText w:val=""/>
      <w:lvlJc w:val="left"/>
      <w:pPr>
        <w:tabs>
          <w:tab w:val="num" w:pos="3240"/>
        </w:tabs>
        <w:ind w:left="3240" w:hanging="360"/>
      </w:pPr>
      <w:rPr>
        <w:rFonts w:ascii="Symbol" w:hAnsi="Symbol" w:hint="default"/>
      </w:rPr>
    </w:lvl>
    <w:lvl w:ilvl="4" w:tplc="11A2F7D8" w:tentative="1">
      <w:start w:val="1"/>
      <w:numFmt w:val="bullet"/>
      <w:lvlText w:val="o"/>
      <w:lvlJc w:val="left"/>
      <w:pPr>
        <w:tabs>
          <w:tab w:val="num" w:pos="3960"/>
        </w:tabs>
        <w:ind w:left="3960" w:hanging="360"/>
      </w:pPr>
      <w:rPr>
        <w:rFonts w:ascii="Courier New" w:hAnsi="Courier New" w:cs="Courier New" w:hint="default"/>
      </w:rPr>
    </w:lvl>
    <w:lvl w:ilvl="5" w:tplc="D51E70EE" w:tentative="1">
      <w:start w:val="1"/>
      <w:numFmt w:val="bullet"/>
      <w:lvlText w:val=""/>
      <w:lvlJc w:val="left"/>
      <w:pPr>
        <w:tabs>
          <w:tab w:val="num" w:pos="4680"/>
        </w:tabs>
        <w:ind w:left="4680" w:hanging="360"/>
      </w:pPr>
      <w:rPr>
        <w:rFonts w:ascii="Wingdings" w:hAnsi="Wingdings" w:hint="default"/>
      </w:rPr>
    </w:lvl>
    <w:lvl w:ilvl="6" w:tplc="CC46155A" w:tentative="1">
      <w:start w:val="1"/>
      <w:numFmt w:val="bullet"/>
      <w:lvlText w:val=""/>
      <w:lvlJc w:val="left"/>
      <w:pPr>
        <w:tabs>
          <w:tab w:val="num" w:pos="5400"/>
        </w:tabs>
        <w:ind w:left="5400" w:hanging="360"/>
      </w:pPr>
      <w:rPr>
        <w:rFonts w:ascii="Symbol" w:hAnsi="Symbol" w:hint="default"/>
      </w:rPr>
    </w:lvl>
    <w:lvl w:ilvl="7" w:tplc="715424AC" w:tentative="1">
      <w:start w:val="1"/>
      <w:numFmt w:val="bullet"/>
      <w:lvlText w:val="o"/>
      <w:lvlJc w:val="left"/>
      <w:pPr>
        <w:tabs>
          <w:tab w:val="num" w:pos="6120"/>
        </w:tabs>
        <w:ind w:left="6120" w:hanging="360"/>
      </w:pPr>
      <w:rPr>
        <w:rFonts w:ascii="Courier New" w:hAnsi="Courier New" w:cs="Courier New" w:hint="default"/>
      </w:rPr>
    </w:lvl>
    <w:lvl w:ilvl="8" w:tplc="39CA80F4"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AD6878"/>
    <w:multiLevelType w:val="hybridMultilevel"/>
    <w:tmpl w:val="A1606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D6ACE"/>
    <w:multiLevelType w:val="hybridMultilevel"/>
    <w:tmpl w:val="5784E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811BE8"/>
    <w:multiLevelType w:val="hybridMultilevel"/>
    <w:tmpl w:val="AAF4B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E61D13"/>
    <w:multiLevelType w:val="hybridMultilevel"/>
    <w:tmpl w:val="0BF884F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FF7A73"/>
    <w:multiLevelType w:val="multilevel"/>
    <w:tmpl w:val="8F7C2D86"/>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tabs>
          <w:tab w:val="num" w:pos="851"/>
        </w:tabs>
        <w:ind w:left="851" w:hanging="851"/>
      </w:pPr>
      <w:rPr>
        <w:rFonts w:hint="default"/>
      </w:rPr>
    </w:lvl>
    <w:lvl w:ilvl="3">
      <w:start w:val="1"/>
      <w:numFmt w:val="lowerRoman"/>
      <w:pStyle w:val="Titolo4"/>
      <w:lvlText w:val="(%4)"/>
      <w:lvlJc w:val="left"/>
      <w:pPr>
        <w:tabs>
          <w:tab w:val="num" w:pos="851"/>
        </w:tabs>
        <w:ind w:left="851" w:hanging="851"/>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F9D46B9"/>
    <w:multiLevelType w:val="hybridMultilevel"/>
    <w:tmpl w:val="C89824B8"/>
    <w:lvl w:ilvl="0" w:tplc="BC348696">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20103A"/>
    <w:multiLevelType w:val="hybridMultilevel"/>
    <w:tmpl w:val="6554A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112B1E"/>
    <w:multiLevelType w:val="hybridMultilevel"/>
    <w:tmpl w:val="C394B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B8672D"/>
    <w:multiLevelType w:val="hybridMultilevel"/>
    <w:tmpl w:val="CA4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BC7753"/>
    <w:multiLevelType w:val="hybridMultilevel"/>
    <w:tmpl w:val="57F6CE6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7"/>
  </w:num>
  <w:num w:numId="14">
    <w:abstractNumId w:val="12"/>
  </w:num>
  <w:num w:numId="15">
    <w:abstractNumId w:val="11"/>
  </w:num>
  <w:num w:numId="16">
    <w:abstractNumId w:val="13"/>
  </w:num>
  <w:num w:numId="17">
    <w:abstractNumId w:val="15"/>
  </w:num>
  <w:num w:numId="18">
    <w:abstractNumId w:val="25"/>
  </w:num>
  <w:num w:numId="19">
    <w:abstractNumId w:val="24"/>
  </w:num>
  <w:num w:numId="20">
    <w:abstractNumId w:val="23"/>
  </w:num>
  <w:num w:numId="21">
    <w:abstractNumId w:val="19"/>
  </w:num>
  <w:num w:numId="22">
    <w:abstractNumId w:val="26"/>
  </w:num>
  <w:num w:numId="23">
    <w:abstractNumId w:val="14"/>
  </w:num>
  <w:num w:numId="24">
    <w:abstractNumId w:val="16"/>
  </w:num>
  <w:num w:numId="25">
    <w:abstractNumId w:val="10"/>
  </w:num>
  <w:num w:numId="26">
    <w:abstractNumId w:val="18"/>
  </w:num>
  <w:num w:numId="27">
    <w:abstractNumId w:val="25"/>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formatting="1" w:enforcement="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D8"/>
    <w:rsid w:val="000015EC"/>
    <w:rsid w:val="00003EA5"/>
    <w:rsid w:val="000161C2"/>
    <w:rsid w:val="00021B4E"/>
    <w:rsid w:val="000234EF"/>
    <w:rsid w:val="0002476A"/>
    <w:rsid w:val="00027DD9"/>
    <w:rsid w:val="00035A5A"/>
    <w:rsid w:val="00036BE4"/>
    <w:rsid w:val="0004047A"/>
    <w:rsid w:val="00042CD6"/>
    <w:rsid w:val="000430B8"/>
    <w:rsid w:val="00045712"/>
    <w:rsid w:val="00045C4B"/>
    <w:rsid w:val="000465F1"/>
    <w:rsid w:val="000539B6"/>
    <w:rsid w:val="000579B1"/>
    <w:rsid w:val="00057A48"/>
    <w:rsid w:val="0006063B"/>
    <w:rsid w:val="00061C6C"/>
    <w:rsid w:val="00066C68"/>
    <w:rsid w:val="00072EDA"/>
    <w:rsid w:val="00077D7C"/>
    <w:rsid w:val="00082E9D"/>
    <w:rsid w:val="00083AC7"/>
    <w:rsid w:val="000A1DB8"/>
    <w:rsid w:val="000A48AC"/>
    <w:rsid w:val="000A4F73"/>
    <w:rsid w:val="000A520E"/>
    <w:rsid w:val="000A7934"/>
    <w:rsid w:val="000B0603"/>
    <w:rsid w:val="000B0A5D"/>
    <w:rsid w:val="000B10B4"/>
    <w:rsid w:val="000B5B68"/>
    <w:rsid w:val="000C1BD0"/>
    <w:rsid w:val="000C287D"/>
    <w:rsid w:val="000C5608"/>
    <w:rsid w:val="000C5DA6"/>
    <w:rsid w:val="000C6F8B"/>
    <w:rsid w:val="000D0D11"/>
    <w:rsid w:val="000D6D3E"/>
    <w:rsid w:val="000D7BE8"/>
    <w:rsid w:val="000E130A"/>
    <w:rsid w:val="000F0CE3"/>
    <w:rsid w:val="000F1763"/>
    <w:rsid w:val="00100CAF"/>
    <w:rsid w:val="00100E7F"/>
    <w:rsid w:val="001115A0"/>
    <w:rsid w:val="001251A2"/>
    <w:rsid w:val="0013434F"/>
    <w:rsid w:val="00134774"/>
    <w:rsid w:val="00137272"/>
    <w:rsid w:val="0013786C"/>
    <w:rsid w:val="00140274"/>
    <w:rsid w:val="00141C2A"/>
    <w:rsid w:val="00147395"/>
    <w:rsid w:val="00151263"/>
    <w:rsid w:val="0015239E"/>
    <w:rsid w:val="0016266F"/>
    <w:rsid w:val="00162A8D"/>
    <w:rsid w:val="00164DA7"/>
    <w:rsid w:val="00165E3C"/>
    <w:rsid w:val="0016646D"/>
    <w:rsid w:val="0017285E"/>
    <w:rsid w:val="00173809"/>
    <w:rsid w:val="00173FB5"/>
    <w:rsid w:val="00174D9A"/>
    <w:rsid w:val="001839D6"/>
    <w:rsid w:val="00192EE1"/>
    <w:rsid w:val="00195EDE"/>
    <w:rsid w:val="00196B0C"/>
    <w:rsid w:val="001A46CC"/>
    <w:rsid w:val="001A5755"/>
    <w:rsid w:val="001B0353"/>
    <w:rsid w:val="001B1EFE"/>
    <w:rsid w:val="001B71C2"/>
    <w:rsid w:val="001B7432"/>
    <w:rsid w:val="001C0B50"/>
    <w:rsid w:val="001C165A"/>
    <w:rsid w:val="001C1F8B"/>
    <w:rsid w:val="001D567F"/>
    <w:rsid w:val="001D6095"/>
    <w:rsid w:val="001D65BD"/>
    <w:rsid w:val="001E5676"/>
    <w:rsid w:val="001E6AC4"/>
    <w:rsid w:val="001E7476"/>
    <w:rsid w:val="001E75A4"/>
    <w:rsid w:val="001F2BBB"/>
    <w:rsid w:val="001F52FD"/>
    <w:rsid w:val="001F62CC"/>
    <w:rsid w:val="00200677"/>
    <w:rsid w:val="002012F7"/>
    <w:rsid w:val="002027F6"/>
    <w:rsid w:val="00205067"/>
    <w:rsid w:val="002053AE"/>
    <w:rsid w:val="002068EB"/>
    <w:rsid w:val="00221C66"/>
    <w:rsid w:val="00224076"/>
    <w:rsid w:val="00231ED1"/>
    <w:rsid w:val="002329AE"/>
    <w:rsid w:val="00241523"/>
    <w:rsid w:val="00242624"/>
    <w:rsid w:val="00245513"/>
    <w:rsid w:val="0024557E"/>
    <w:rsid w:val="002471FD"/>
    <w:rsid w:val="00260323"/>
    <w:rsid w:val="002632EA"/>
    <w:rsid w:val="0026406F"/>
    <w:rsid w:val="0027539F"/>
    <w:rsid w:val="0028506A"/>
    <w:rsid w:val="002850B0"/>
    <w:rsid w:val="002863D7"/>
    <w:rsid w:val="002873B4"/>
    <w:rsid w:val="002925C1"/>
    <w:rsid w:val="00292AB5"/>
    <w:rsid w:val="002A43C2"/>
    <w:rsid w:val="002B1B65"/>
    <w:rsid w:val="002B5821"/>
    <w:rsid w:val="002C02DB"/>
    <w:rsid w:val="002C1866"/>
    <w:rsid w:val="002C5943"/>
    <w:rsid w:val="002E1449"/>
    <w:rsid w:val="002E2B11"/>
    <w:rsid w:val="002E5A1B"/>
    <w:rsid w:val="002E5D26"/>
    <w:rsid w:val="002F4CE1"/>
    <w:rsid w:val="002F5E96"/>
    <w:rsid w:val="0030053D"/>
    <w:rsid w:val="00300F22"/>
    <w:rsid w:val="00301B4D"/>
    <w:rsid w:val="00304441"/>
    <w:rsid w:val="00304A37"/>
    <w:rsid w:val="0031040E"/>
    <w:rsid w:val="00310ED4"/>
    <w:rsid w:val="00312301"/>
    <w:rsid w:val="0031492A"/>
    <w:rsid w:val="00316C1A"/>
    <w:rsid w:val="00320630"/>
    <w:rsid w:val="00323C73"/>
    <w:rsid w:val="00331141"/>
    <w:rsid w:val="00333204"/>
    <w:rsid w:val="00336327"/>
    <w:rsid w:val="003423F4"/>
    <w:rsid w:val="00344758"/>
    <w:rsid w:val="00347142"/>
    <w:rsid w:val="00350D1B"/>
    <w:rsid w:val="00353F67"/>
    <w:rsid w:val="0035523B"/>
    <w:rsid w:val="003565A8"/>
    <w:rsid w:val="003566EA"/>
    <w:rsid w:val="003570E2"/>
    <w:rsid w:val="00357AC6"/>
    <w:rsid w:val="00362956"/>
    <w:rsid w:val="00362F47"/>
    <w:rsid w:val="003724A9"/>
    <w:rsid w:val="00372C79"/>
    <w:rsid w:val="00375044"/>
    <w:rsid w:val="00382670"/>
    <w:rsid w:val="00392915"/>
    <w:rsid w:val="003A141E"/>
    <w:rsid w:val="003A168E"/>
    <w:rsid w:val="003A48B7"/>
    <w:rsid w:val="003A6EED"/>
    <w:rsid w:val="003B4BA6"/>
    <w:rsid w:val="003C1F2E"/>
    <w:rsid w:val="003C6872"/>
    <w:rsid w:val="003E5DEF"/>
    <w:rsid w:val="003E65F1"/>
    <w:rsid w:val="003F07D8"/>
    <w:rsid w:val="003F1A17"/>
    <w:rsid w:val="004039DB"/>
    <w:rsid w:val="0040497E"/>
    <w:rsid w:val="00405CB4"/>
    <w:rsid w:val="00422417"/>
    <w:rsid w:val="00424233"/>
    <w:rsid w:val="004301F4"/>
    <w:rsid w:val="00434584"/>
    <w:rsid w:val="00434945"/>
    <w:rsid w:val="00445CB5"/>
    <w:rsid w:val="00454893"/>
    <w:rsid w:val="00460EE0"/>
    <w:rsid w:val="004663F4"/>
    <w:rsid w:val="00466C71"/>
    <w:rsid w:val="004712FB"/>
    <w:rsid w:val="00471BB7"/>
    <w:rsid w:val="00472EFF"/>
    <w:rsid w:val="00474063"/>
    <w:rsid w:val="00476793"/>
    <w:rsid w:val="00480DD8"/>
    <w:rsid w:val="00481B2A"/>
    <w:rsid w:val="00482091"/>
    <w:rsid w:val="004A08B4"/>
    <w:rsid w:val="004A187B"/>
    <w:rsid w:val="004A219E"/>
    <w:rsid w:val="004A25A8"/>
    <w:rsid w:val="004A2D3C"/>
    <w:rsid w:val="004B1A32"/>
    <w:rsid w:val="004B674D"/>
    <w:rsid w:val="004C285B"/>
    <w:rsid w:val="004C7412"/>
    <w:rsid w:val="004D04BF"/>
    <w:rsid w:val="004D5D50"/>
    <w:rsid w:val="004E0DFF"/>
    <w:rsid w:val="004E3285"/>
    <w:rsid w:val="004E37E2"/>
    <w:rsid w:val="004F1C7C"/>
    <w:rsid w:val="004F39E1"/>
    <w:rsid w:val="004F4461"/>
    <w:rsid w:val="004F46F1"/>
    <w:rsid w:val="004F5A6F"/>
    <w:rsid w:val="00503794"/>
    <w:rsid w:val="00505647"/>
    <w:rsid w:val="00506E7C"/>
    <w:rsid w:val="00510390"/>
    <w:rsid w:val="005123F0"/>
    <w:rsid w:val="00513540"/>
    <w:rsid w:val="00513941"/>
    <w:rsid w:val="005162AA"/>
    <w:rsid w:val="005164E1"/>
    <w:rsid w:val="00527639"/>
    <w:rsid w:val="0053051D"/>
    <w:rsid w:val="00535205"/>
    <w:rsid w:val="0053767C"/>
    <w:rsid w:val="00544925"/>
    <w:rsid w:val="00557715"/>
    <w:rsid w:val="00561019"/>
    <w:rsid w:val="00564208"/>
    <w:rsid w:val="00571CEB"/>
    <w:rsid w:val="00572D03"/>
    <w:rsid w:val="00576CFB"/>
    <w:rsid w:val="00591951"/>
    <w:rsid w:val="005A0964"/>
    <w:rsid w:val="005A2498"/>
    <w:rsid w:val="005B36F6"/>
    <w:rsid w:val="005C2ECF"/>
    <w:rsid w:val="005C5CA3"/>
    <w:rsid w:val="005C5D41"/>
    <w:rsid w:val="005D1F34"/>
    <w:rsid w:val="005D383D"/>
    <w:rsid w:val="005D6675"/>
    <w:rsid w:val="005F3311"/>
    <w:rsid w:val="005F4460"/>
    <w:rsid w:val="00612E20"/>
    <w:rsid w:val="00616F88"/>
    <w:rsid w:val="00622508"/>
    <w:rsid w:val="00625841"/>
    <w:rsid w:val="0063009F"/>
    <w:rsid w:val="006323A3"/>
    <w:rsid w:val="00632C27"/>
    <w:rsid w:val="006356C5"/>
    <w:rsid w:val="00644464"/>
    <w:rsid w:val="00650E26"/>
    <w:rsid w:val="00654793"/>
    <w:rsid w:val="00654A1F"/>
    <w:rsid w:val="00654FD5"/>
    <w:rsid w:val="0067115A"/>
    <w:rsid w:val="00682491"/>
    <w:rsid w:val="00692C42"/>
    <w:rsid w:val="00696AB3"/>
    <w:rsid w:val="006A01B6"/>
    <w:rsid w:val="006A6BB3"/>
    <w:rsid w:val="006B263D"/>
    <w:rsid w:val="006B3DE1"/>
    <w:rsid w:val="006C0642"/>
    <w:rsid w:val="006C7A82"/>
    <w:rsid w:val="006D0407"/>
    <w:rsid w:val="006D5EE5"/>
    <w:rsid w:val="006E02B4"/>
    <w:rsid w:val="006E12C9"/>
    <w:rsid w:val="006E1332"/>
    <w:rsid w:val="006E6A71"/>
    <w:rsid w:val="006E6D3B"/>
    <w:rsid w:val="006F4734"/>
    <w:rsid w:val="006F7E8F"/>
    <w:rsid w:val="00702584"/>
    <w:rsid w:val="007115BD"/>
    <w:rsid w:val="0071320D"/>
    <w:rsid w:val="00714FF5"/>
    <w:rsid w:val="00717615"/>
    <w:rsid w:val="00724C07"/>
    <w:rsid w:val="00726604"/>
    <w:rsid w:val="00730BD2"/>
    <w:rsid w:val="007540BF"/>
    <w:rsid w:val="0075711C"/>
    <w:rsid w:val="007637A8"/>
    <w:rsid w:val="00765B58"/>
    <w:rsid w:val="00770DCB"/>
    <w:rsid w:val="00775485"/>
    <w:rsid w:val="007807EA"/>
    <w:rsid w:val="00783532"/>
    <w:rsid w:val="007846B5"/>
    <w:rsid w:val="00791906"/>
    <w:rsid w:val="007A2EF5"/>
    <w:rsid w:val="007A4AC8"/>
    <w:rsid w:val="007B06EA"/>
    <w:rsid w:val="007C2597"/>
    <w:rsid w:val="007C5CF6"/>
    <w:rsid w:val="007D2F00"/>
    <w:rsid w:val="007E3DE2"/>
    <w:rsid w:val="007E588B"/>
    <w:rsid w:val="007E5B88"/>
    <w:rsid w:val="007F0D0B"/>
    <w:rsid w:val="007F65ED"/>
    <w:rsid w:val="008007A8"/>
    <w:rsid w:val="008033BC"/>
    <w:rsid w:val="00803C4B"/>
    <w:rsid w:val="008042D9"/>
    <w:rsid w:val="00804B2D"/>
    <w:rsid w:val="00814F78"/>
    <w:rsid w:val="00814FC0"/>
    <w:rsid w:val="00817C73"/>
    <w:rsid w:val="00823005"/>
    <w:rsid w:val="008311A6"/>
    <w:rsid w:val="00834264"/>
    <w:rsid w:val="0083599B"/>
    <w:rsid w:val="0084280C"/>
    <w:rsid w:val="008449B9"/>
    <w:rsid w:val="00847191"/>
    <w:rsid w:val="008562B0"/>
    <w:rsid w:val="0086254F"/>
    <w:rsid w:val="0087086E"/>
    <w:rsid w:val="008724DE"/>
    <w:rsid w:val="008758D9"/>
    <w:rsid w:val="008829CD"/>
    <w:rsid w:val="00882B0A"/>
    <w:rsid w:val="008866EB"/>
    <w:rsid w:val="008A3D57"/>
    <w:rsid w:val="008A7305"/>
    <w:rsid w:val="008A739E"/>
    <w:rsid w:val="008B01D7"/>
    <w:rsid w:val="008B23BC"/>
    <w:rsid w:val="008B371A"/>
    <w:rsid w:val="008B3899"/>
    <w:rsid w:val="008B5893"/>
    <w:rsid w:val="008D3BB8"/>
    <w:rsid w:val="008E328C"/>
    <w:rsid w:val="008E3D60"/>
    <w:rsid w:val="008E3F4C"/>
    <w:rsid w:val="008E7088"/>
    <w:rsid w:val="008E78F0"/>
    <w:rsid w:val="008F062E"/>
    <w:rsid w:val="0090165F"/>
    <w:rsid w:val="00901B82"/>
    <w:rsid w:val="00912B09"/>
    <w:rsid w:val="00914E6A"/>
    <w:rsid w:val="0091791D"/>
    <w:rsid w:val="00932245"/>
    <w:rsid w:val="00941B79"/>
    <w:rsid w:val="009432CF"/>
    <w:rsid w:val="009470FC"/>
    <w:rsid w:val="00953864"/>
    <w:rsid w:val="00955CDC"/>
    <w:rsid w:val="00962F6C"/>
    <w:rsid w:val="00966C2F"/>
    <w:rsid w:val="0096742A"/>
    <w:rsid w:val="0097414E"/>
    <w:rsid w:val="0097512B"/>
    <w:rsid w:val="00981730"/>
    <w:rsid w:val="00982404"/>
    <w:rsid w:val="00990B81"/>
    <w:rsid w:val="00992229"/>
    <w:rsid w:val="009939DD"/>
    <w:rsid w:val="00993DD9"/>
    <w:rsid w:val="009A1259"/>
    <w:rsid w:val="009A2E19"/>
    <w:rsid w:val="009B1CCE"/>
    <w:rsid w:val="009B3372"/>
    <w:rsid w:val="009B50B6"/>
    <w:rsid w:val="009B5F51"/>
    <w:rsid w:val="009C0E45"/>
    <w:rsid w:val="009D67F6"/>
    <w:rsid w:val="009D6F93"/>
    <w:rsid w:val="009E0284"/>
    <w:rsid w:val="009E08D1"/>
    <w:rsid w:val="009E0FE1"/>
    <w:rsid w:val="009E40E7"/>
    <w:rsid w:val="009E4BD0"/>
    <w:rsid w:val="009F00BC"/>
    <w:rsid w:val="009F2764"/>
    <w:rsid w:val="009F58D8"/>
    <w:rsid w:val="009F651C"/>
    <w:rsid w:val="009F7E13"/>
    <w:rsid w:val="00A0406E"/>
    <w:rsid w:val="00A07191"/>
    <w:rsid w:val="00A11307"/>
    <w:rsid w:val="00A13AF3"/>
    <w:rsid w:val="00A21388"/>
    <w:rsid w:val="00A27791"/>
    <w:rsid w:val="00A27ABE"/>
    <w:rsid w:val="00A355F9"/>
    <w:rsid w:val="00A41355"/>
    <w:rsid w:val="00A437B6"/>
    <w:rsid w:val="00A43B92"/>
    <w:rsid w:val="00A52127"/>
    <w:rsid w:val="00A54251"/>
    <w:rsid w:val="00A6179E"/>
    <w:rsid w:val="00A64316"/>
    <w:rsid w:val="00A804D9"/>
    <w:rsid w:val="00A83FFB"/>
    <w:rsid w:val="00A84845"/>
    <w:rsid w:val="00A84C3F"/>
    <w:rsid w:val="00A8573B"/>
    <w:rsid w:val="00A874C8"/>
    <w:rsid w:val="00A914DC"/>
    <w:rsid w:val="00A92915"/>
    <w:rsid w:val="00A92F92"/>
    <w:rsid w:val="00A96892"/>
    <w:rsid w:val="00AA2051"/>
    <w:rsid w:val="00AA69FF"/>
    <w:rsid w:val="00AA70C4"/>
    <w:rsid w:val="00AB7C8F"/>
    <w:rsid w:val="00AC2192"/>
    <w:rsid w:val="00AC39C5"/>
    <w:rsid w:val="00AC636D"/>
    <w:rsid w:val="00AE0257"/>
    <w:rsid w:val="00AF33CF"/>
    <w:rsid w:val="00B00F61"/>
    <w:rsid w:val="00B22873"/>
    <w:rsid w:val="00B237FB"/>
    <w:rsid w:val="00B24B1D"/>
    <w:rsid w:val="00B26C33"/>
    <w:rsid w:val="00B277E0"/>
    <w:rsid w:val="00B30296"/>
    <w:rsid w:val="00B34946"/>
    <w:rsid w:val="00B51108"/>
    <w:rsid w:val="00B519FD"/>
    <w:rsid w:val="00B520BC"/>
    <w:rsid w:val="00B539CC"/>
    <w:rsid w:val="00B61019"/>
    <w:rsid w:val="00B62E7F"/>
    <w:rsid w:val="00B63036"/>
    <w:rsid w:val="00B63D24"/>
    <w:rsid w:val="00B848F0"/>
    <w:rsid w:val="00B91958"/>
    <w:rsid w:val="00B924E6"/>
    <w:rsid w:val="00B92785"/>
    <w:rsid w:val="00B9543E"/>
    <w:rsid w:val="00BA19F0"/>
    <w:rsid w:val="00BA262D"/>
    <w:rsid w:val="00BA5698"/>
    <w:rsid w:val="00BA6137"/>
    <w:rsid w:val="00BB3A8E"/>
    <w:rsid w:val="00BC79EB"/>
    <w:rsid w:val="00BD7FCF"/>
    <w:rsid w:val="00BE5E0C"/>
    <w:rsid w:val="00BF6406"/>
    <w:rsid w:val="00C02754"/>
    <w:rsid w:val="00C064DC"/>
    <w:rsid w:val="00C101A6"/>
    <w:rsid w:val="00C132CA"/>
    <w:rsid w:val="00C13869"/>
    <w:rsid w:val="00C149BD"/>
    <w:rsid w:val="00C237D2"/>
    <w:rsid w:val="00C2450F"/>
    <w:rsid w:val="00C25BDA"/>
    <w:rsid w:val="00C33104"/>
    <w:rsid w:val="00C332D4"/>
    <w:rsid w:val="00C34C67"/>
    <w:rsid w:val="00C42B81"/>
    <w:rsid w:val="00C471D1"/>
    <w:rsid w:val="00C50117"/>
    <w:rsid w:val="00C51011"/>
    <w:rsid w:val="00C560AC"/>
    <w:rsid w:val="00C5781C"/>
    <w:rsid w:val="00C60343"/>
    <w:rsid w:val="00C67BC7"/>
    <w:rsid w:val="00C71EC5"/>
    <w:rsid w:val="00C7387B"/>
    <w:rsid w:val="00C77432"/>
    <w:rsid w:val="00C80CD3"/>
    <w:rsid w:val="00C854D4"/>
    <w:rsid w:val="00C8716A"/>
    <w:rsid w:val="00C90556"/>
    <w:rsid w:val="00C93926"/>
    <w:rsid w:val="00C96664"/>
    <w:rsid w:val="00CA0D78"/>
    <w:rsid w:val="00CA4855"/>
    <w:rsid w:val="00CA5D90"/>
    <w:rsid w:val="00CB2115"/>
    <w:rsid w:val="00CB24FE"/>
    <w:rsid w:val="00CC13C6"/>
    <w:rsid w:val="00CC2AA0"/>
    <w:rsid w:val="00CC4862"/>
    <w:rsid w:val="00CD58FD"/>
    <w:rsid w:val="00CE3F83"/>
    <w:rsid w:val="00CF0418"/>
    <w:rsid w:val="00CF40C9"/>
    <w:rsid w:val="00D002EF"/>
    <w:rsid w:val="00D03307"/>
    <w:rsid w:val="00D12C2E"/>
    <w:rsid w:val="00D22C21"/>
    <w:rsid w:val="00D343FA"/>
    <w:rsid w:val="00D36A8D"/>
    <w:rsid w:val="00D418FF"/>
    <w:rsid w:val="00D41B1D"/>
    <w:rsid w:val="00D44F3F"/>
    <w:rsid w:val="00D45CD9"/>
    <w:rsid w:val="00D46F71"/>
    <w:rsid w:val="00D52480"/>
    <w:rsid w:val="00D53348"/>
    <w:rsid w:val="00D65C76"/>
    <w:rsid w:val="00D715E5"/>
    <w:rsid w:val="00D726D0"/>
    <w:rsid w:val="00D734C7"/>
    <w:rsid w:val="00D7542B"/>
    <w:rsid w:val="00D8351F"/>
    <w:rsid w:val="00D874C9"/>
    <w:rsid w:val="00DA1D32"/>
    <w:rsid w:val="00DA2F73"/>
    <w:rsid w:val="00DA7A55"/>
    <w:rsid w:val="00DC307B"/>
    <w:rsid w:val="00DC343B"/>
    <w:rsid w:val="00DC462F"/>
    <w:rsid w:val="00DC499A"/>
    <w:rsid w:val="00DC64F7"/>
    <w:rsid w:val="00DD5079"/>
    <w:rsid w:val="00DD6A21"/>
    <w:rsid w:val="00DE18A7"/>
    <w:rsid w:val="00DE2EFB"/>
    <w:rsid w:val="00DE52E2"/>
    <w:rsid w:val="00DE559C"/>
    <w:rsid w:val="00DE60CA"/>
    <w:rsid w:val="00DF01B6"/>
    <w:rsid w:val="00DF26FE"/>
    <w:rsid w:val="00E02517"/>
    <w:rsid w:val="00E13A53"/>
    <w:rsid w:val="00E14833"/>
    <w:rsid w:val="00E1675F"/>
    <w:rsid w:val="00E20AAD"/>
    <w:rsid w:val="00E21C99"/>
    <w:rsid w:val="00E23DB3"/>
    <w:rsid w:val="00E24FA3"/>
    <w:rsid w:val="00E26B28"/>
    <w:rsid w:val="00E26CBC"/>
    <w:rsid w:val="00E31465"/>
    <w:rsid w:val="00E328CD"/>
    <w:rsid w:val="00E3489E"/>
    <w:rsid w:val="00E3546C"/>
    <w:rsid w:val="00E362F0"/>
    <w:rsid w:val="00E36B95"/>
    <w:rsid w:val="00E4003F"/>
    <w:rsid w:val="00E453B7"/>
    <w:rsid w:val="00E458F6"/>
    <w:rsid w:val="00E45954"/>
    <w:rsid w:val="00E46704"/>
    <w:rsid w:val="00E50AB9"/>
    <w:rsid w:val="00E514D3"/>
    <w:rsid w:val="00E5206E"/>
    <w:rsid w:val="00E524F9"/>
    <w:rsid w:val="00E53546"/>
    <w:rsid w:val="00E55F24"/>
    <w:rsid w:val="00E620E9"/>
    <w:rsid w:val="00E64E82"/>
    <w:rsid w:val="00E65CD3"/>
    <w:rsid w:val="00E709B1"/>
    <w:rsid w:val="00EA44D9"/>
    <w:rsid w:val="00EB032C"/>
    <w:rsid w:val="00EB4334"/>
    <w:rsid w:val="00EB6A76"/>
    <w:rsid w:val="00EC1A1D"/>
    <w:rsid w:val="00EC2980"/>
    <w:rsid w:val="00EE14C6"/>
    <w:rsid w:val="00EE673C"/>
    <w:rsid w:val="00EF155E"/>
    <w:rsid w:val="00EF42C6"/>
    <w:rsid w:val="00EF46D2"/>
    <w:rsid w:val="00EF568B"/>
    <w:rsid w:val="00F05A10"/>
    <w:rsid w:val="00F06F09"/>
    <w:rsid w:val="00F0799D"/>
    <w:rsid w:val="00F107A0"/>
    <w:rsid w:val="00F114B9"/>
    <w:rsid w:val="00F127A8"/>
    <w:rsid w:val="00F14C6D"/>
    <w:rsid w:val="00F220A5"/>
    <w:rsid w:val="00F27808"/>
    <w:rsid w:val="00F32984"/>
    <w:rsid w:val="00F34362"/>
    <w:rsid w:val="00F34BC9"/>
    <w:rsid w:val="00F45897"/>
    <w:rsid w:val="00F513AE"/>
    <w:rsid w:val="00F8302E"/>
    <w:rsid w:val="00F837C2"/>
    <w:rsid w:val="00F86DAB"/>
    <w:rsid w:val="00FA0359"/>
    <w:rsid w:val="00FA0F16"/>
    <w:rsid w:val="00FA1EB3"/>
    <w:rsid w:val="00FA22A8"/>
    <w:rsid w:val="00FA4916"/>
    <w:rsid w:val="00FA7757"/>
    <w:rsid w:val="00FA7E5C"/>
    <w:rsid w:val="00FB0C08"/>
    <w:rsid w:val="00FB169B"/>
    <w:rsid w:val="00FB193D"/>
    <w:rsid w:val="00FB1E55"/>
    <w:rsid w:val="00FB3422"/>
    <w:rsid w:val="00FB6FB3"/>
    <w:rsid w:val="00FD01B5"/>
    <w:rsid w:val="00FD5BF0"/>
    <w:rsid w:val="00FE5CEE"/>
    <w:rsid w:val="00FE6002"/>
    <w:rsid w:val="00FE7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01AE"/>
  <w15:docId w15:val="{301C2EE3-7844-4B10-9A8E-A7A55917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4" w:locked="0"/>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E53546"/>
    <w:pPr>
      <w:spacing w:before="240" w:after="240"/>
    </w:pPr>
    <w:rPr>
      <w:rFonts w:ascii="Open Sans" w:eastAsia="MS Mincho" w:hAnsi="Open Sans"/>
      <w:sz w:val="24"/>
      <w:szCs w:val="24"/>
    </w:rPr>
  </w:style>
  <w:style w:type="paragraph" w:styleId="Titolo1">
    <w:name w:val="heading 1"/>
    <w:basedOn w:val="Normale"/>
    <w:next w:val="Normale"/>
    <w:link w:val="Titolo1Carattere"/>
    <w:qFormat/>
    <w:rsid w:val="005C2ECF"/>
    <w:pPr>
      <w:keepNext/>
      <w:keepLines/>
      <w:numPr>
        <w:numId w:val="1"/>
      </w:numPr>
      <w:spacing w:before="360"/>
      <w:outlineLvl w:val="0"/>
    </w:pPr>
    <w:rPr>
      <w:b/>
      <w:bCs/>
      <w:sz w:val="36"/>
      <w:szCs w:val="28"/>
    </w:rPr>
  </w:style>
  <w:style w:type="paragraph" w:styleId="Titolo2">
    <w:name w:val="heading 2"/>
    <w:basedOn w:val="Titolo1"/>
    <w:next w:val="Normale"/>
    <w:link w:val="Titolo2Carattere"/>
    <w:qFormat/>
    <w:rsid w:val="005C2ECF"/>
    <w:pPr>
      <w:numPr>
        <w:ilvl w:val="1"/>
      </w:numPr>
      <w:outlineLvl w:val="1"/>
    </w:pPr>
    <w:rPr>
      <w:bCs w:val="0"/>
      <w:sz w:val="28"/>
      <w:szCs w:val="26"/>
    </w:rPr>
  </w:style>
  <w:style w:type="paragraph" w:styleId="Titolo3">
    <w:name w:val="heading 3"/>
    <w:basedOn w:val="Titolo2"/>
    <w:next w:val="Normale"/>
    <w:link w:val="Titolo3Carattere"/>
    <w:qFormat/>
    <w:rsid w:val="008007A8"/>
    <w:pPr>
      <w:numPr>
        <w:ilvl w:val="2"/>
      </w:numPr>
      <w:outlineLvl w:val="2"/>
    </w:pPr>
    <w:rPr>
      <w:b w:val="0"/>
      <w:bCs/>
      <w:sz w:val="24"/>
    </w:rPr>
  </w:style>
  <w:style w:type="paragraph" w:styleId="Titolo4">
    <w:name w:val="heading 4"/>
    <w:basedOn w:val="Titolo3"/>
    <w:next w:val="Normale"/>
    <w:link w:val="Titolo4Carattere"/>
    <w:qFormat/>
    <w:locked/>
    <w:rsid w:val="008007A8"/>
    <w:pPr>
      <w:numPr>
        <w:ilvl w:val="3"/>
      </w:numPr>
      <w:outlineLvl w:val="3"/>
    </w:pPr>
    <w:rPr>
      <w:bCs w:val="0"/>
      <w:i/>
      <w:iCs/>
    </w:rPr>
  </w:style>
  <w:style w:type="paragraph" w:styleId="Titolo5">
    <w:name w:val="heading 5"/>
    <w:basedOn w:val="Normale"/>
    <w:next w:val="Normale"/>
    <w:link w:val="Titolo5Carattere"/>
    <w:qFormat/>
    <w:locked/>
    <w:rsid w:val="005C2ECF"/>
    <w:pPr>
      <w:keepNext/>
      <w:keepLines/>
      <w:numPr>
        <w:ilvl w:val="4"/>
        <w:numId w:val="1"/>
      </w:numPr>
      <w:spacing w:before="200"/>
      <w:outlineLvl w:val="4"/>
    </w:pPr>
  </w:style>
  <w:style w:type="paragraph" w:styleId="Titolo6">
    <w:name w:val="heading 6"/>
    <w:basedOn w:val="Normale"/>
    <w:next w:val="Normale"/>
    <w:link w:val="Titolo6Carattere"/>
    <w:qFormat/>
    <w:locked/>
    <w:rsid w:val="005C2ECF"/>
    <w:pPr>
      <w:keepNext/>
      <w:keepLines/>
      <w:numPr>
        <w:ilvl w:val="5"/>
        <w:numId w:val="1"/>
      </w:numPr>
      <w:spacing w:before="200"/>
      <w:outlineLvl w:val="5"/>
    </w:pPr>
    <w:rPr>
      <w:i/>
      <w:iCs/>
    </w:rPr>
  </w:style>
  <w:style w:type="paragraph" w:styleId="Titolo7">
    <w:name w:val="heading 7"/>
    <w:basedOn w:val="Normale"/>
    <w:next w:val="Normale"/>
    <w:link w:val="Titolo7Carattere"/>
    <w:qFormat/>
    <w:locked/>
    <w:rsid w:val="005C2ECF"/>
    <w:pPr>
      <w:keepNext/>
      <w:keepLines/>
      <w:numPr>
        <w:ilvl w:val="6"/>
        <w:numId w:val="1"/>
      </w:numPr>
      <w:spacing w:before="200"/>
      <w:outlineLvl w:val="6"/>
    </w:pPr>
    <w:rPr>
      <w:i/>
      <w:iCs/>
    </w:rPr>
  </w:style>
  <w:style w:type="paragraph" w:styleId="Titolo8">
    <w:name w:val="heading 8"/>
    <w:basedOn w:val="Normale"/>
    <w:next w:val="Normale"/>
    <w:link w:val="Titolo8Carattere"/>
    <w:qFormat/>
    <w:locked/>
    <w:rsid w:val="005C2ECF"/>
    <w:pPr>
      <w:keepNext/>
      <w:keepLines/>
      <w:numPr>
        <w:ilvl w:val="7"/>
        <w:numId w:val="1"/>
      </w:numPr>
      <w:spacing w:before="200"/>
      <w:outlineLvl w:val="7"/>
    </w:pPr>
    <w:rPr>
      <w:sz w:val="20"/>
      <w:szCs w:val="20"/>
    </w:rPr>
  </w:style>
  <w:style w:type="paragraph" w:styleId="Titolo9">
    <w:name w:val="heading 9"/>
    <w:basedOn w:val="Normale"/>
    <w:next w:val="Normale"/>
    <w:link w:val="Titolo9Carattere"/>
    <w:qFormat/>
    <w:locked/>
    <w:rsid w:val="005C2ECF"/>
    <w:pPr>
      <w:keepNext/>
      <w:keepLines/>
      <w:numPr>
        <w:ilvl w:val="8"/>
        <w:numId w:val="1"/>
      </w:numPr>
      <w:spacing w:before="200"/>
      <w:outlineLvl w:val="8"/>
    </w:pPr>
    <w:rPr>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C2ECF"/>
    <w:rPr>
      <w:rFonts w:ascii="Open Sans" w:eastAsia="MS Mincho" w:hAnsi="Open Sans"/>
      <w:b/>
      <w:bCs/>
      <w:sz w:val="36"/>
      <w:szCs w:val="28"/>
    </w:rPr>
  </w:style>
  <w:style w:type="character" w:customStyle="1" w:styleId="Titolo2Carattere">
    <w:name w:val="Titolo 2 Carattere"/>
    <w:link w:val="Titolo2"/>
    <w:rsid w:val="005C2ECF"/>
    <w:rPr>
      <w:rFonts w:ascii="Open Sans" w:eastAsia="MS Mincho" w:hAnsi="Open Sans"/>
      <w:b/>
      <w:sz w:val="28"/>
      <w:szCs w:val="26"/>
    </w:rPr>
  </w:style>
  <w:style w:type="character" w:customStyle="1" w:styleId="Titolo3Carattere">
    <w:name w:val="Titolo 3 Carattere"/>
    <w:link w:val="Titolo3"/>
    <w:rsid w:val="008007A8"/>
    <w:rPr>
      <w:rFonts w:ascii="Open Sans" w:eastAsia="MS Mincho" w:hAnsi="Open Sans"/>
      <w:bCs/>
      <w:sz w:val="24"/>
      <w:szCs w:val="26"/>
    </w:rPr>
  </w:style>
  <w:style w:type="character" w:customStyle="1" w:styleId="Titolo4Carattere">
    <w:name w:val="Titolo 4 Carattere"/>
    <w:link w:val="Titolo4"/>
    <w:rsid w:val="008007A8"/>
    <w:rPr>
      <w:rFonts w:ascii="Open Sans" w:eastAsia="MS Mincho" w:hAnsi="Open Sans"/>
      <w:i/>
      <w:iCs/>
      <w:sz w:val="24"/>
      <w:szCs w:val="26"/>
    </w:rPr>
  </w:style>
  <w:style w:type="character" w:styleId="Enfasigrassetto">
    <w:name w:val="Strong"/>
    <w:uiPriority w:val="22"/>
    <w:qFormat/>
    <w:locked/>
    <w:rsid w:val="00471BB7"/>
    <w:rPr>
      <w:rFonts w:ascii="Open Sans" w:hAnsi="Open Sans"/>
      <w:b/>
      <w:bCs/>
    </w:rPr>
  </w:style>
  <w:style w:type="character" w:customStyle="1" w:styleId="Titolo5Carattere">
    <w:name w:val="Titolo 5 Carattere"/>
    <w:link w:val="Titolo5"/>
    <w:rsid w:val="005C2ECF"/>
    <w:rPr>
      <w:rFonts w:ascii="Open Sans" w:eastAsia="MS Mincho" w:hAnsi="Open Sans"/>
      <w:sz w:val="24"/>
      <w:szCs w:val="24"/>
    </w:rPr>
  </w:style>
  <w:style w:type="character" w:customStyle="1" w:styleId="Titolo6Carattere">
    <w:name w:val="Titolo 6 Carattere"/>
    <w:link w:val="Titolo6"/>
    <w:rsid w:val="005C2ECF"/>
    <w:rPr>
      <w:rFonts w:ascii="Open Sans" w:eastAsia="MS Mincho" w:hAnsi="Open Sans"/>
      <w:i/>
      <w:iCs/>
      <w:sz w:val="24"/>
      <w:szCs w:val="24"/>
    </w:rPr>
  </w:style>
  <w:style w:type="character" w:customStyle="1" w:styleId="Titolo7Carattere">
    <w:name w:val="Titolo 7 Carattere"/>
    <w:link w:val="Titolo7"/>
    <w:rsid w:val="005C2ECF"/>
    <w:rPr>
      <w:rFonts w:ascii="Open Sans" w:eastAsia="MS Mincho" w:hAnsi="Open Sans"/>
      <w:i/>
      <w:iCs/>
      <w:sz w:val="24"/>
      <w:szCs w:val="24"/>
    </w:rPr>
  </w:style>
  <w:style w:type="character" w:customStyle="1" w:styleId="Titolo8Carattere">
    <w:name w:val="Titolo 8 Carattere"/>
    <w:link w:val="Titolo8"/>
    <w:rsid w:val="005C2ECF"/>
    <w:rPr>
      <w:rFonts w:ascii="Open Sans" w:eastAsia="MS Mincho" w:hAnsi="Open Sans"/>
    </w:rPr>
  </w:style>
  <w:style w:type="character" w:customStyle="1" w:styleId="Titolo9Carattere">
    <w:name w:val="Titolo 9 Carattere"/>
    <w:link w:val="Titolo9"/>
    <w:rsid w:val="005C2ECF"/>
    <w:rPr>
      <w:rFonts w:ascii="Open Sans" w:eastAsia="MS Mincho" w:hAnsi="Open Sans"/>
      <w:i/>
      <w:iCs/>
    </w:rPr>
  </w:style>
  <w:style w:type="paragraph" w:styleId="Intestazione">
    <w:name w:val="header"/>
    <w:basedOn w:val="Normale"/>
    <w:link w:val="IntestazioneCarattere"/>
    <w:qFormat/>
    <w:rsid w:val="00CA5D90"/>
    <w:pPr>
      <w:tabs>
        <w:tab w:val="center" w:pos="4513"/>
        <w:tab w:val="right" w:pos="9026"/>
      </w:tabs>
      <w:spacing w:after="0"/>
      <w:jc w:val="right"/>
    </w:pPr>
    <w:rPr>
      <w:sz w:val="22"/>
    </w:rPr>
  </w:style>
  <w:style w:type="character" w:customStyle="1" w:styleId="IntestazioneCarattere">
    <w:name w:val="Intestazione Carattere"/>
    <w:link w:val="Intestazione"/>
    <w:rsid w:val="0016266F"/>
    <w:rPr>
      <w:rFonts w:ascii="Open Sans" w:eastAsia="MS Mincho" w:hAnsi="Open Sans"/>
      <w:sz w:val="22"/>
      <w:szCs w:val="24"/>
    </w:rPr>
  </w:style>
  <w:style w:type="paragraph" w:styleId="Pidipagina">
    <w:name w:val="footer"/>
    <w:basedOn w:val="Normale"/>
    <w:link w:val="PidipaginaCarattere"/>
    <w:uiPriority w:val="99"/>
    <w:rsid w:val="0063009F"/>
    <w:pPr>
      <w:tabs>
        <w:tab w:val="right" w:pos="2835"/>
        <w:tab w:val="right" w:pos="5670"/>
      </w:tabs>
      <w:spacing w:before="0" w:after="0"/>
      <w:ind w:left="-868"/>
    </w:pPr>
    <w:rPr>
      <w:sz w:val="18"/>
    </w:rPr>
  </w:style>
  <w:style w:type="character" w:customStyle="1" w:styleId="PidipaginaCarattere">
    <w:name w:val="Piè di pagina Carattere"/>
    <w:link w:val="Pidipagina"/>
    <w:uiPriority w:val="99"/>
    <w:rsid w:val="0063009F"/>
    <w:rPr>
      <w:rFonts w:ascii="Open Sans" w:eastAsia="MS Mincho" w:hAnsi="Open Sans"/>
      <w:sz w:val="18"/>
      <w:szCs w:val="24"/>
    </w:rPr>
  </w:style>
  <w:style w:type="paragraph" w:styleId="Sommario3">
    <w:name w:val="toc 3"/>
    <w:basedOn w:val="Normale"/>
    <w:next w:val="Normale"/>
    <w:uiPriority w:val="39"/>
    <w:semiHidden/>
    <w:locked/>
    <w:rsid w:val="00A92F92"/>
    <w:pPr>
      <w:tabs>
        <w:tab w:val="left" w:pos="1202"/>
        <w:tab w:val="right" w:leader="dot" w:pos="9060"/>
      </w:tabs>
      <w:spacing w:before="0" w:after="0"/>
      <w:ind w:left="1202" w:hanging="720"/>
    </w:pPr>
    <w:rPr>
      <w:rFonts w:cs="Arial"/>
      <w:i/>
      <w:noProof/>
    </w:rPr>
  </w:style>
  <w:style w:type="character" w:styleId="Testosegnaposto">
    <w:name w:val="Placeholder Text"/>
    <w:uiPriority w:val="99"/>
    <w:semiHidden/>
    <w:rsid w:val="00471BB7"/>
    <w:rPr>
      <w:rFonts w:ascii="Open Sans" w:hAnsi="Open Sans"/>
      <w:color w:val="auto"/>
      <w:sz w:val="24"/>
    </w:rPr>
  </w:style>
  <w:style w:type="paragraph" w:styleId="Elencocontinua4">
    <w:name w:val="List Continue 4"/>
    <w:basedOn w:val="Normale"/>
    <w:semiHidden/>
    <w:locked/>
    <w:rsid w:val="005C2ECF"/>
    <w:pPr>
      <w:spacing w:after="120"/>
      <w:ind w:left="1132"/>
    </w:pPr>
  </w:style>
  <w:style w:type="numbering" w:styleId="111111">
    <w:name w:val="Outline List 2"/>
    <w:basedOn w:val="Nessunelenco"/>
    <w:semiHidden/>
    <w:locked/>
    <w:rsid w:val="00E45954"/>
    <w:pPr>
      <w:numPr>
        <w:numId w:val="12"/>
      </w:numPr>
    </w:pPr>
  </w:style>
  <w:style w:type="paragraph" w:styleId="Sommario1">
    <w:name w:val="toc 1"/>
    <w:basedOn w:val="Normale"/>
    <w:next w:val="Normale"/>
    <w:uiPriority w:val="39"/>
    <w:rsid w:val="000B5B68"/>
    <w:pPr>
      <w:tabs>
        <w:tab w:val="right" w:leader="dot" w:pos="9060"/>
      </w:tabs>
      <w:spacing w:after="0"/>
      <w:ind w:left="720" w:hanging="720"/>
    </w:pPr>
    <w:rPr>
      <w:b/>
      <w:noProof/>
    </w:rPr>
  </w:style>
  <w:style w:type="paragraph" w:styleId="Sommario2">
    <w:name w:val="toc 2"/>
    <w:basedOn w:val="Normale"/>
    <w:next w:val="Normale"/>
    <w:uiPriority w:val="39"/>
    <w:locked/>
    <w:rsid w:val="00A92F92"/>
    <w:pPr>
      <w:tabs>
        <w:tab w:val="right" w:leader="dot" w:pos="9060"/>
      </w:tabs>
      <w:spacing w:before="0" w:after="0"/>
      <w:ind w:left="958" w:hanging="720"/>
    </w:pPr>
    <w:rPr>
      <w:b/>
      <w:i/>
      <w:noProof/>
    </w:rPr>
  </w:style>
  <w:style w:type="paragraph" w:styleId="Sommario4">
    <w:name w:val="toc 4"/>
    <w:basedOn w:val="Normale"/>
    <w:next w:val="Normale"/>
    <w:uiPriority w:val="39"/>
    <w:semiHidden/>
    <w:locked/>
    <w:rsid w:val="00814FC0"/>
    <w:pPr>
      <w:tabs>
        <w:tab w:val="left" w:pos="1440"/>
        <w:tab w:val="right" w:leader="dot" w:pos="9060"/>
      </w:tabs>
      <w:spacing w:before="0" w:after="0"/>
      <w:ind w:left="1440" w:hanging="720"/>
    </w:pPr>
    <w:rPr>
      <w:noProof/>
    </w:rPr>
  </w:style>
  <w:style w:type="character" w:styleId="Collegamentoipertestuale">
    <w:name w:val="Hyperlink"/>
    <w:uiPriority w:val="99"/>
    <w:unhideWhenUsed/>
    <w:rsid w:val="00C96664"/>
    <w:rPr>
      <w:rFonts w:ascii="Open Sans" w:hAnsi="Open Sans"/>
      <w:color w:val="3B8AA1"/>
      <w:u w:val="single"/>
    </w:rPr>
  </w:style>
  <w:style w:type="paragraph" w:styleId="Titolosommario">
    <w:name w:val="TOC Heading"/>
    <w:basedOn w:val="Normale"/>
    <w:next w:val="Normale"/>
    <w:uiPriority w:val="39"/>
    <w:rsid w:val="00471BB7"/>
    <w:pPr>
      <w:spacing w:before="0" w:after="360"/>
    </w:pPr>
    <w:rPr>
      <w:b/>
      <w:lang w:val="en-US" w:eastAsia="en-US"/>
    </w:rPr>
  </w:style>
  <w:style w:type="paragraph" w:styleId="Testonotadichiusura">
    <w:name w:val="endnote text"/>
    <w:basedOn w:val="Normale"/>
    <w:link w:val="TestonotadichiusuraCarattere"/>
    <w:qFormat/>
    <w:rsid w:val="0002476A"/>
    <w:pPr>
      <w:spacing w:before="0" w:after="0"/>
      <w:ind w:left="142" w:hanging="142"/>
    </w:pPr>
    <w:rPr>
      <w:sz w:val="20"/>
      <w:szCs w:val="20"/>
    </w:rPr>
  </w:style>
  <w:style w:type="character" w:customStyle="1" w:styleId="TestonotadichiusuraCarattere">
    <w:name w:val="Testo nota di chiusura Carattere"/>
    <w:link w:val="Testonotadichiusura"/>
    <w:rsid w:val="00E55F24"/>
    <w:rPr>
      <w:rFonts w:ascii="Open Sans" w:eastAsia="MS Mincho" w:hAnsi="Open Sans"/>
    </w:rPr>
  </w:style>
  <w:style w:type="character" w:styleId="Rimandonotadichiusura">
    <w:name w:val="endnote reference"/>
    <w:qFormat/>
    <w:rsid w:val="00045C4B"/>
    <w:rPr>
      <w:rFonts w:ascii="Open Sans" w:hAnsi="Open Sans"/>
      <w:sz w:val="20"/>
      <w:vertAlign w:val="superscript"/>
    </w:rPr>
  </w:style>
  <w:style w:type="numbering" w:styleId="1ai">
    <w:name w:val="Outline List 1"/>
    <w:basedOn w:val="Nessunelenco"/>
    <w:semiHidden/>
    <w:locked/>
    <w:rsid w:val="00E45954"/>
    <w:pPr>
      <w:numPr>
        <w:numId w:val="13"/>
      </w:numPr>
    </w:pPr>
  </w:style>
  <w:style w:type="numbering" w:styleId="ArticoloSezione">
    <w:name w:val="Outline List 3"/>
    <w:basedOn w:val="Nessunelenco"/>
    <w:semiHidden/>
    <w:locked/>
    <w:rsid w:val="00E45954"/>
    <w:pPr>
      <w:numPr>
        <w:numId w:val="14"/>
      </w:numPr>
    </w:pPr>
  </w:style>
  <w:style w:type="paragraph" w:styleId="Testodelblocco">
    <w:name w:val="Block Text"/>
    <w:basedOn w:val="Normale"/>
    <w:semiHidden/>
    <w:rsid w:val="00045C4B"/>
    <w:pPr>
      <w:spacing w:after="120"/>
      <w:ind w:left="1440" w:right="1440"/>
    </w:pPr>
  </w:style>
  <w:style w:type="paragraph" w:styleId="Corpotesto">
    <w:name w:val="Body Text"/>
    <w:basedOn w:val="Normale"/>
    <w:semiHidden/>
    <w:rsid w:val="00045C4B"/>
    <w:pPr>
      <w:spacing w:after="120"/>
    </w:pPr>
  </w:style>
  <w:style w:type="paragraph" w:styleId="Corpodeltesto2">
    <w:name w:val="Body Text 2"/>
    <w:basedOn w:val="Normale"/>
    <w:semiHidden/>
    <w:rsid w:val="00045C4B"/>
    <w:pPr>
      <w:spacing w:after="120" w:line="480" w:lineRule="auto"/>
    </w:pPr>
  </w:style>
  <w:style w:type="paragraph" w:styleId="Corpodeltesto3">
    <w:name w:val="Body Text 3"/>
    <w:basedOn w:val="Normale"/>
    <w:semiHidden/>
    <w:rsid w:val="00045C4B"/>
    <w:pPr>
      <w:spacing w:after="120"/>
    </w:pPr>
    <w:rPr>
      <w:sz w:val="16"/>
      <w:szCs w:val="16"/>
    </w:rPr>
  </w:style>
  <w:style w:type="paragraph" w:styleId="Primorientrocorpodeltesto">
    <w:name w:val="Body Text First Indent"/>
    <w:basedOn w:val="Corpotesto"/>
    <w:semiHidden/>
    <w:rsid w:val="00E45954"/>
    <w:pPr>
      <w:ind w:firstLine="210"/>
    </w:pPr>
  </w:style>
  <w:style w:type="paragraph" w:styleId="Rientrocorpodeltesto">
    <w:name w:val="Body Text Indent"/>
    <w:basedOn w:val="Normale"/>
    <w:semiHidden/>
    <w:rsid w:val="00045C4B"/>
    <w:pPr>
      <w:spacing w:after="120"/>
      <w:ind w:left="283"/>
    </w:pPr>
  </w:style>
  <w:style w:type="paragraph" w:styleId="Primorientrocorpodeltesto2">
    <w:name w:val="Body Text First Indent 2"/>
    <w:basedOn w:val="Rientrocorpodeltesto"/>
    <w:semiHidden/>
    <w:rsid w:val="00045C4B"/>
    <w:pPr>
      <w:ind w:firstLine="210"/>
    </w:pPr>
  </w:style>
  <w:style w:type="paragraph" w:styleId="Rientrocorpodeltesto2">
    <w:name w:val="Body Text Indent 2"/>
    <w:basedOn w:val="Normale"/>
    <w:semiHidden/>
    <w:rsid w:val="00045C4B"/>
    <w:pPr>
      <w:spacing w:after="120" w:line="480" w:lineRule="auto"/>
      <w:ind w:left="283"/>
    </w:pPr>
  </w:style>
  <w:style w:type="paragraph" w:styleId="Rientrocorpodeltesto3">
    <w:name w:val="Body Text Indent 3"/>
    <w:basedOn w:val="Normale"/>
    <w:semiHidden/>
    <w:rsid w:val="00045C4B"/>
    <w:pPr>
      <w:spacing w:after="120"/>
      <w:ind w:left="283"/>
    </w:pPr>
    <w:rPr>
      <w:sz w:val="16"/>
      <w:szCs w:val="16"/>
    </w:rPr>
  </w:style>
  <w:style w:type="paragraph" w:styleId="Formuladichiusura">
    <w:name w:val="Closing"/>
    <w:basedOn w:val="Normale"/>
    <w:semiHidden/>
    <w:rsid w:val="00045C4B"/>
    <w:pPr>
      <w:ind w:left="4252"/>
    </w:pPr>
  </w:style>
  <w:style w:type="paragraph" w:styleId="Data">
    <w:name w:val="Date"/>
    <w:basedOn w:val="Normale"/>
    <w:next w:val="Normale"/>
    <w:semiHidden/>
    <w:rsid w:val="005C2ECF"/>
    <w:pPr>
      <w:spacing w:before="120" w:after="120"/>
      <w:jc w:val="right"/>
    </w:pPr>
  </w:style>
  <w:style w:type="paragraph" w:styleId="Firmadipostaelettronica">
    <w:name w:val="E-mail Signature"/>
    <w:basedOn w:val="Normale"/>
    <w:semiHidden/>
    <w:rsid w:val="00045C4B"/>
  </w:style>
  <w:style w:type="character" w:styleId="Enfasicorsivo">
    <w:name w:val="Emphasis"/>
    <w:uiPriority w:val="99"/>
    <w:qFormat/>
    <w:rsid w:val="00045C4B"/>
    <w:rPr>
      <w:rFonts w:ascii="Open Sans" w:hAnsi="Open Sans"/>
      <w:i w:val="0"/>
      <w:iCs/>
    </w:rPr>
  </w:style>
  <w:style w:type="paragraph" w:styleId="Indirizzodestinatario">
    <w:name w:val="envelope address"/>
    <w:basedOn w:val="Normale"/>
    <w:semiHidden/>
    <w:rsid w:val="00045C4B"/>
    <w:pPr>
      <w:framePr w:w="7920" w:h="1980" w:hRule="exact" w:hSpace="180" w:wrap="auto" w:hAnchor="page" w:xAlign="center" w:yAlign="bottom"/>
      <w:spacing w:before="0" w:after="0"/>
      <w:ind w:left="2880"/>
    </w:pPr>
    <w:rPr>
      <w:rFonts w:cs="Arial"/>
    </w:rPr>
  </w:style>
  <w:style w:type="paragraph" w:styleId="Indirizzomittente">
    <w:name w:val="envelope return"/>
    <w:basedOn w:val="Normale"/>
    <w:semiHidden/>
    <w:rsid w:val="00045C4B"/>
    <w:rPr>
      <w:rFonts w:cs="Arial"/>
      <w:sz w:val="20"/>
      <w:szCs w:val="20"/>
    </w:rPr>
  </w:style>
  <w:style w:type="character" w:styleId="AcronimoHTML">
    <w:name w:val="HTML Acronym"/>
    <w:semiHidden/>
    <w:rsid w:val="005C2ECF"/>
    <w:rPr>
      <w:rFonts w:ascii="Open Sans" w:hAnsi="Open Sans"/>
    </w:rPr>
  </w:style>
  <w:style w:type="paragraph" w:styleId="IndirizzoHTML">
    <w:name w:val="HTML Address"/>
    <w:basedOn w:val="Normale"/>
    <w:semiHidden/>
    <w:rsid w:val="005C2ECF"/>
    <w:rPr>
      <w:i/>
      <w:iCs/>
    </w:rPr>
  </w:style>
  <w:style w:type="character" w:styleId="CitazioneHTML">
    <w:name w:val="HTML Cite"/>
    <w:semiHidden/>
    <w:rsid w:val="005C2ECF"/>
    <w:rPr>
      <w:rFonts w:ascii="Open Sans" w:hAnsi="Open Sans"/>
      <w:i/>
      <w:iCs/>
    </w:rPr>
  </w:style>
  <w:style w:type="character" w:styleId="CodiceHTML">
    <w:name w:val="HTML Code"/>
    <w:semiHidden/>
    <w:rsid w:val="005C2ECF"/>
    <w:rPr>
      <w:rFonts w:ascii="Open Sans" w:hAnsi="Open Sans" w:cs="Courier New"/>
      <w:sz w:val="20"/>
      <w:szCs w:val="20"/>
    </w:rPr>
  </w:style>
  <w:style w:type="character" w:styleId="DefinizioneHTML">
    <w:name w:val="HTML Definition"/>
    <w:semiHidden/>
    <w:rsid w:val="005C2ECF"/>
    <w:rPr>
      <w:rFonts w:ascii="Open Sans" w:hAnsi="Open Sans"/>
      <w:i/>
      <w:iCs/>
    </w:rPr>
  </w:style>
  <w:style w:type="character" w:styleId="TastieraHTML">
    <w:name w:val="HTML Keyboard"/>
    <w:semiHidden/>
    <w:rsid w:val="005C2ECF"/>
    <w:rPr>
      <w:rFonts w:ascii="Open Sans" w:hAnsi="Open Sans" w:cs="Courier New"/>
      <w:sz w:val="20"/>
      <w:szCs w:val="20"/>
    </w:rPr>
  </w:style>
  <w:style w:type="paragraph" w:styleId="PreformattatoHTML">
    <w:name w:val="HTML Preformatted"/>
    <w:basedOn w:val="Normale"/>
    <w:semiHidden/>
    <w:rsid w:val="005C2ECF"/>
    <w:rPr>
      <w:rFonts w:cs="Courier New"/>
      <w:sz w:val="20"/>
      <w:szCs w:val="20"/>
    </w:rPr>
  </w:style>
  <w:style w:type="character" w:styleId="EsempioHTML">
    <w:name w:val="HTML Sample"/>
    <w:semiHidden/>
    <w:rsid w:val="005C2ECF"/>
    <w:rPr>
      <w:rFonts w:ascii="Open Sans" w:hAnsi="Open Sans" w:cs="Courier New"/>
    </w:rPr>
  </w:style>
  <w:style w:type="character" w:styleId="MacchinadascrivereHTML">
    <w:name w:val="HTML Typewriter"/>
    <w:semiHidden/>
    <w:rsid w:val="005C2ECF"/>
    <w:rPr>
      <w:rFonts w:ascii="Open Sans" w:hAnsi="Open Sans" w:cs="Courier New"/>
      <w:sz w:val="20"/>
      <w:szCs w:val="20"/>
    </w:rPr>
  </w:style>
  <w:style w:type="character" w:styleId="VariabileHTML">
    <w:name w:val="HTML Variable"/>
    <w:semiHidden/>
    <w:rsid w:val="005C2ECF"/>
    <w:rPr>
      <w:rFonts w:ascii="Open Sans" w:hAnsi="Open Sans"/>
      <w:i/>
      <w:iCs/>
    </w:rPr>
  </w:style>
  <w:style w:type="character" w:styleId="Numeroriga">
    <w:name w:val="line number"/>
    <w:semiHidden/>
    <w:rsid w:val="005C2ECF"/>
    <w:rPr>
      <w:rFonts w:ascii="Open Sans" w:hAnsi="Open Sans"/>
    </w:rPr>
  </w:style>
  <w:style w:type="paragraph" w:styleId="Elenco">
    <w:name w:val="List"/>
    <w:basedOn w:val="Normale"/>
    <w:semiHidden/>
    <w:locked/>
    <w:rsid w:val="005C2ECF"/>
    <w:pPr>
      <w:ind w:left="283" w:hanging="283"/>
    </w:pPr>
  </w:style>
  <w:style w:type="paragraph" w:styleId="Elenco2">
    <w:name w:val="List 2"/>
    <w:basedOn w:val="Normale"/>
    <w:semiHidden/>
    <w:locked/>
    <w:rsid w:val="005C2ECF"/>
    <w:pPr>
      <w:ind w:left="566" w:hanging="283"/>
    </w:pPr>
  </w:style>
  <w:style w:type="paragraph" w:styleId="Elenco3">
    <w:name w:val="List 3"/>
    <w:basedOn w:val="Normale"/>
    <w:semiHidden/>
    <w:locked/>
    <w:rsid w:val="005C2ECF"/>
    <w:pPr>
      <w:ind w:left="849" w:hanging="283"/>
    </w:pPr>
  </w:style>
  <w:style w:type="paragraph" w:styleId="Elenco4">
    <w:name w:val="List 4"/>
    <w:basedOn w:val="Normale"/>
    <w:semiHidden/>
    <w:locked/>
    <w:rsid w:val="005C2ECF"/>
    <w:pPr>
      <w:ind w:left="1132" w:hanging="283"/>
    </w:pPr>
  </w:style>
  <w:style w:type="paragraph" w:styleId="Elenco5">
    <w:name w:val="List 5"/>
    <w:basedOn w:val="Normale"/>
    <w:semiHidden/>
    <w:locked/>
    <w:rsid w:val="005C2ECF"/>
    <w:pPr>
      <w:ind w:left="1415" w:hanging="283"/>
    </w:pPr>
  </w:style>
  <w:style w:type="paragraph" w:styleId="Puntoelenco">
    <w:name w:val="List Bullet"/>
    <w:basedOn w:val="Numeroelenco"/>
    <w:qFormat/>
    <w:rsid w:val="002C5943"/>
    <w:pPr>
      <w:numPr>
        <w:numId w:val="2"/>
      </w:numPr>
      <w:ind w:left="1094" w:hanging="737"/>
    </w:pPr>
  </w:style>
  <w:style w:type="paragraph" w:styleId="Puntoelenco2">
    <w:name w:val="List Bullet 2"/>
    <w:basedOn w:val="Normale"/>
    <w:semiHidden/>
    <w:locked/>
    <w:rsid w:val="005C2ECF"/>
    <w:pPr>
      <w:numPr>
        <w:numId w:val="3"/>
      </w:numPr>
    </w:pPr>
  </w:style>
  <w:style w:type="paragraph" w:styleId="Puntoelenco3">
    <w:name w:val="List Bullet 3"/>
    <w:basedOn w:val="Normale"/>
    <w:semiHidden/>
    <w:locked/>
    <w:rsid w:val="005C2ECF"/>
    <w:pPr>
      <w:numPr>
        <w:numId w:val="4"/>
      </w:numPr>
    </w:pPr>
  </w:style>
  <w:style w:type="paragraph" w:styleId="Puntoelenco4">
    <w:name w:val="List Bullet 4"/>
    <w:basedOn w:val="Normale"/>
    <w:semiHidden/>
    <w:locked/>
    <w:rsid w:val="005C2ECF"/>
    <w:pPr>
      <w:numPr>
        <w:numId w:val="5"/>
      </w:numPr>
    </w:pPr>
  </w:style>
  <w:style w:type="paragraph" w:styleId="Puntoelenco5">
    <w:name w:val="List Bullet 5"/>
    <w:basedOn w:val="Normale"/>
    <w:semiHidden/>
    <w:locked/>
    <w:rsid w:val="005C2ECF"/>
    <w:pPr>
      <w:numPr>
        <w:numId w:val="6"/>
      </w:numPr>
    </w:pPr>
  </w:style>
  <w:style w:type="paragraph" w:styleId="Elencocontinua">
    <w:name w:val="List Continue"/>
    <w:basedOn w:val="Normale"/>
    <w:semiHidden/>
    <w:locked/>
    <w:rsid w:val="005C2ECF"/>
    <w:pPr>
      <w:spacing w:after="120"/>
      <w:ind w:left="283"/>
    </w:pPr>
  </w:style>
  <w:style w:type="paragraph" w:styleId="Elencocontinua2">
    <w:name w:val="List Continue 2"/>
    <w:basedOn w:val="Normale"/>
    <w:semiHidden/>
    <w:locked/>
    <w:rsid w:val="005C2ECF"/>
    <w:pPr>
      <w:spacing w:after="120"/>
      <w:ind w:left="566"/>
    </w:pPr>
  </w:style>
  <w:style w:type="paragraph" w:styleId="Elencocontinua3">
    <w:name w:val="List Continue 3"/>
    <w:basedOn w:val="Normale"/>
    <w:semiHidden/>
    <w:locked/>
    <w:rsid w:val="005C2ECF"/>
    <w:pPr>
      <w:spacing w:after="120"/>
      <w:ind w:left="849"/>
    </w:pPr>
  </w:style>
  <w:style w:type="paragraph" w:styleId="Elencocontinua5">
    <w:name w:val="List Continue 5"/>
    <w:basedOn w:val="Normale"/>
    <w:semiHidden/>
    <w:locked/>
    <w:rsid w:val="005C2ECF"/>
    <w:pPr>
      <w:spacing w:after="120"/>
      <w:ind w:left="1415"/>
    </w:pPr>
  </w:style>
  <w:style w:type="paragraph" w:styleId="Numeroelenco">
    <w:name w:val="List Number"/>
    <w:basedOn w:val="Normale"/>
    <w:qFormat/>
    <w:rsid w:val="002C5943"/>
    <w:pPr>
      <w:numPr>
        <w:numId w:val="7"/>
      </w:numPr>
      <w:tabs>
        <w:tab w:val="clear" w:pos="360"/>
        <w:tab w:val="left" w:pos="1134"/>
      </w:tabs>
      <w:spacing w:before="120" w:after="120"/>
      <w:ind w:left="1094" w:hanging="737"/>
      <w:contextualSpacing/>
    </w:pPr>
  </w:style>
  <w:style w:type="paragraph" w:styleId="Numeroelenco2">
    <w:name w:val="List Number 2"/>
    <w:basedOn w:val="Normale"/>
    <w:semiHidden/>
    <w:locked/>
    <w:rsid w:val="005C2ECF"/>
    <w:pPr>
      <w:numPr>
        <w:numId w:val="10"/>
      </w:numPr>
    </w:pPr>
  </w:style>
  <w:style w:type="paragraph" w:styleId="Numeroelenco3">
    <w:name w:val="List Number 3"/>
    <w:basedOn w:val="Normale"/>
    <w:semiHidden/>
    <w:locked/>
    <w:rsid w:val="005C2ECF"/>
    <w:pPr>
      <w:numPr>
        <w:numId w:val="11"/>
      </w:numPr>
    </w:pPr>
  </w:style>
  <w:style w:type="paragraph" w:styleId="Numeroelenco4">
    <w:name w:val="List Number 4"/>
    <w:basedOn w:val="Normale"/>
    <w:semiHidden/>
    <w:locked/>
    <w:rsid w:val="005C2ECF"/>
    <w:pPr>
      <w:numPr>
        <w:numId w:val="8"/>
      </w:numPr>
    </w:pPr>
  </w:style>
  <w:style w:type="paragraph" w:styleId="Numeroelenco5">
    <w:name w:val="List Number 5"/>
    <w:basedOn w:val="Normale"/>
    <w:semiHidden/>
    <w:locked/>
    <w:rsid w:val="005C2ECF"/>
    <w:pPr>
      <w:numPr>
        <w:numId w:val="9"/>
      </w:numPr>
    </w:pPr>
  </w:style>
  <w:style w:type="paragraph" w:styleId="Intestazionemessaggio">
    <w:name w:val="Message Header"/>
    <w:basedOn w:val="Normale"/>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semiHidden/>
    <w:rsid w:val="005C2ECF"/>
  </w:style>
  <w:style w:type="paragraph" w:styleId="Rientronormale">
    <w:name w:val="Normal Indent"/>
    <w:basedOn w:val="Normale"/>
    <w:semiHidden/>
    <w:rsid w:val="005C2ECF"/>
    <w:pPr>
      <w:ind w:left="720"/>
    </w:pPr>
  </w:style>
  <w:style w:type="paragraph" w:styleId="Intestazionenota">
    <w:name w:val="Note Heading"/>
    <w:basedOn w:val="Normale"/>
    <w:next w:val="Normale"/>
    <w:semiHidden/>
    <w:rsid w:val="00E45954"/>
  </w:style>
  <w:style w:type="character" w:styleId="Numeropagina">
    <w:name w:val="page number"/>
    <w:semiHidden/>
    <w:rsid w:val="00471BB7"/>
    <w:rPr>
      <w:rFonts w:ascii="Open Sans" w:hAnsi="Open Sans"/>
      <w:sz w:val="24"/>
    </w:rPr>
  </w:style>
  <w:style w:type="paragraph" w:styleId="Testonormale">
    <w:name w:val="Plain Text"/>
    <w:basedOn w:val="Normale"/>
    <w:semiHidden/>
    <w:rsid w:val="00471BB7"/>
    <w:rPr>
      <w:rFonts w:cs="Courier New"/>
      <w:szCs w:val="20"/>
    </w:rPr>
  </w:style>
  <w:style w:type="paragraph" w:styleId="Formuladiapertura">
    <w:name w:val="Salutation"/>
    <w:basedOn w:val="Normale"/>
    <w:next w:val="Normale"/>
    <w:semiHidden/>
    <w:locked/>
    <w:rsid w:val="00471BB7"/>
  </w:style>
  <w:style w:type="paragraph" w:styleId="Firma">
    <w:name w:val="Signature"/>
    <w:basedOn w:val="Normale"/>
    <w:semiHidden/>
    <w:locked/>
    <w:rsid w:val="00E45954"/>
    <w:pPr>
      <w:ind w:left="4252"/>
    </w:pPr>
  </w:style>
  <w:style w:type="paragraph" w:styleId="Sottotitolo">
    <w:name w:val="Subtitle"/>
    <w:basedOn w:val="Normale"/>
    <w:link w:val="SottotitoloCarattere"/>
    <w:qFormat/>
    <w:rsid w:val="00817C73"/>
    <w:pPr>
      <w:jc w:val="right"/>
      <w:outlineLvl w:val="1"/>
    </w:pPr>
    <w:rPr>
      <w:rFonts w:cs="Arial"/>
      <w:color w:val="237BBC"/>
      <w:sz w:val="28"/>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rsid w:val="00E45954"/>
    <w:pPr>
      <w:spacing w:after="60"/>
      <w:jc w:val="center"/>
      <w:outlineLvl w:val="0"/>
    </w:pPr>
    <w:rPr>
      <w:rFonts w:cs="Arial"/>
      <w:b/>
      <w:bCs/>
      <w:kern w:val="28"/>
      <w:sz w:val="32"/>
      <w:szCs w:val="32"/>
    </w:rPr>
  </w:style>
  <w:style w:type="character" w:styleId="Collegamentovisitato">
    <w:name w:val="FollowedHyperlink"/>
    <w:semiHidden/>
    <w:rsid w:val="00045C4B"/>
    <w:rPr>
      <w:rFonts w:ascii="Open Sans" w:hAnsi="Open Sans"/>
      <w:color w:val="800080"/>
      <w:u w:val="single"/>
    </w:rPr>
  </w:style>
  <w:style w:type="paragraph" w:customStyle="1" w:styleId="MainTitle">
    <w:name w:val="Main Title"/>
    <w:next w:val="Sottotitolo"/>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e"/>
    <w:semiHidden/>
    <w:locked/>
    <w:rsid w:val="005C2ECF"/>
    <w:pPr>
      <w:spacing w:line="200" w:lineRule="exact"/>
      <w:jc w:val="both"/>
    </w:pPr>
    <w:rPr>
      <w:rFonts w:eastAsia="Times New Roman" w:cs="ArialMT"/>
      <w:sz w:val="16"/>
      <w:lang w:eastAsia="en-US"/>
    </w:rPr>
  </w:style>
  <w:style w:type="paragraph" w:customStyle="1" w:styleId="LogoType">
    <w:name w:val="Logo Type"/>
    <w:basedOn w:val="Intestazione"/>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Testofumetto">
    <w:name w:val="Balloon Text"/>
    <w:basedOn w:val="Normale"/>
    <w:link w:val="TestofumettoCarattere"/>
    <w:semiHidden/>
    <w:rsid w:val="00045C4B"/>
    <w:pPr>
      <w:spacing w:before="0" w:after="0"/>
    </w:pPr>
    <w:rPr>
      <w:rFonts w:cs="Tahoma"/>
      <w:sz w:val="16"/>
      <w:szCs w:val="16"/>
    </w:rPr>
  </w:style>
  <w:style w:type="character" w:customStyle="1" w:styleId="TestofumettoCarattere">
    <w:name w:val="Testo fumetto Carattere"/>
    <w:link w:val="Testofumetto"/>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ottotitoloCarattere">
    <w:name w:val="Sottotitolo Carattere"/>
    <w:link w:val="Sottotitolo"/>
    <w:rsid w:val="00817C73"/>
    <w:rPr>
      <w:rFonts w:ascii="Open Sans" w:eastAsia="MS Mincho" w:hAnsi="Open Sans" w:cs="Arial"/>
      <w:color w:val="237BBC"/>
      <w:sz w:val="28"/>
      <w:szCs w:val="24"/>
    </w:rPr>
  </w:style>
  <w:style w:type="paragraph" w:customStyle="1" w:styleId="SubmissionNormal">
    <w:name w:val="Submission Normal"/>
    <w:basedOn w:val="Normale"/>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Pidipagina"/>
    <w:locked/>
    <w:rsid w:val="005C2ECF"/>
    <w:pPr>
      <w:spacing w:after="40"/>
    </w:pPr>
    <w:rPr>
      <w:szCs w:val="16"/>
    </w:rPr>
  </w:style>
  <w:style w:type="paragraph" w:customStyle="1" w:styleId="coveraddress">
    <w:name w:val="cover address"/>
    <w:basedOn w:val="coveraddresses"/>
    <w:locked/>
    <w:rsid w:val="005C2ECF"/>
  </w:style>
  <w:style w:type="paragraph" w:styleId="Didascalia">
    <w:name w:val="caption"/>
    <w:basedOn w:val="Normale"/>
    <w:next w:val="Normale"/>
    <w:unhideWhenUsed/>
    <w:qFormat/>
    <w:rsid w:val="00045C4B"/>
    <w:rPr>
      <w:b/>
      <w:bCs/>
      <w:sz w:val="20"/>
      <w:szCs w:val="20"/>
    </w:rPr>
  </w:style>
  <w:style w:type="character" w:styleId="Rimandocommento">
    <w:name w:val="annotation reference"/>
    <w:rsid w:val="00045C4B"/>
    <w:rPr>
      <w:rFonts w:ascii="Open Sans" w:hAnsi="Open Sans"/>
      <w:sz w:val="16"/>
      <w:szCs w:val="16"/>
    </w:rPr>
  </w:style>
  <w:style w:type="paragraph" w:styleId="Testocommento">
    <w:name w:val="annotation text"/>
    <w:basedOn w:val="Normale"/>
    <w:link w:val="TestocommentoCarattere"/>
    <w:rsid w:val="00045C4B"/>
    <w:rPr>
      <w:sz w:val="20"/>
      <w:szCs w:val="20"/>
    </w:rPr>
  </w:style>
  <w:style w:type="character" w:customStyle="1" w:styleId="TestocommentoCarattere">
    <w:name w:val="Testo commento Carattere"/>
    <w:link w:val="Testocommento"/>
    <w:rsid w:val="00045C4B"/>
    <w:rPr>
      <w:rFonts w:ascii="Open Sans" w:eastAsia="MS Mincho" w:hAnsi="Open Sans"/>
    </w:rPr>
  </w:style>
  <w:style w:type="paragraph" w:styleId="Soggettocommento">
    <w:name w:val="annotation subject"/>
    <w:basedOn w:val="Testocommento"/>
    <w:next w:val="Testocommento"/>
    <w:link w:val="SoggettocommentoCarattere"/>
    <w:rsid w:val="00045C4B"/>
    <w:rPr>
      <w:b/>
      <w:bCs/>
    </w:rPr>
  </w:style>
  <w:style w:type="character" w:customStyle="1" w:styleId="SoggettocommentoCarattere">
    <w:name w:val="Soggetto commento Carattere"/>
    <w:link w:val="Soggettocommento"/>
    <w:rsid w:val="00045C4B"/>
    <w:rPr>
      <w:rFonts w:ascii="Open Sans" w:eastAsia="MS Mincho" w:hAnsi="Open Sans"/>
      <w:b/>
      <w:bCs/>
    </w:rPr>
  </w:style>
  <w:style w:type="paragraph" w:styleId="Mappadocumento">
    <w:name w:val="Document Map"/>
    <w:basedOn w:val="Normale"/>
    <w:link w:val="MappadocumentoCarattere"/>
    <w:rsid w:val="00045C4B"/>
    <w:rPr>
      <w:rFonts w:cs="Segoe UI"/>
      <w:sz w:val="16"/>
      <w:szCs w:val="16"/>
    </w:rPr>
  </w:style>
  <w:style w:type="character" w:customStyle="1" w:styleId="MappadocumentoCarattere">
    <w:name w:val="Mappa documento Carattere"/>
    <w:link w:val="Mappadocumento"/>
    <w:rsid w:val="00045C4B"/>
    <w:rPr>
      <w:rFonts w:ascii="Open Sans" w:eastAsia="MS Mincho" w:hAnsi="Open Sans" w:cs="Segoe UI"/>
      <w:sz w:val="16"/>
      <w:szCs w:val="16"/>
    </w:rPr>
  </w:style>
  <w:style w:type="paragraph" w:styleId="Indice1">
    <w:name w:val="index 1"/>
    <w:basedOn w:val="Normale"/>
    <w:next w:val="Normale"/>
    <w:rsid w:val="005C2ECF"/>
    <w:pPr>
      <w:ind w:left="240" w:hanging="240"/>
    </w:pPr>
  </w:style>
  <w:style w:type="paragraph" w:styleId="Indice2">
    <w:name w:val="index 2"/>
    <w:basedOn w:val="Normale"/>
    <w:next w:val="Normale"/>
    <w:rsid w:val="005C2ECF"/>
    <w:pPr>
      <w:ind w:left="480" w:hanging="240"/>
    </w:pPr>
  </w:style>
  <w:style w:type="paragraph" w:styleId="Indice3">
    <w:name w:val="index 3"/>
    <w:basedOn w:val="Normale"/>
    <w:next w:val="Normale"/>
    <w:rsid w:val="005C2ECF"/>
    <w:pPr>
      <w:ind w:left="720" w:hanging="240"/>
    </w:pPr>
  </w:style>
  <w:style w:type="paragraph" w:styleId="Indice4">
    <w:name w:val="index 4"/>
    <w:basedOn w:val="Normale"/>
    <w:next w:val="Normale"/>
    <w:rsid w:val="005C2ECF"/>
    <w:pPr>
      <w:ind w:left="960" w:hanging="240"/>
    </w:pPr>
  </w:style>
  <w:style w:type="paragraph" w:styleId="Indice5">
    <w:name w:val="index 5"/>
    <w:basedOn w:val="Normale"/>
    <w:next w:val="Normale"/>
    <w:rsid w:val="005C2ECF"/>
    <w:pPr>
      <w:ind w:left="1200" w:hanging="240"/>
    </w:pPr>
  </w:style>
  <w:style w:type="paragraph" w:styleId="Indice6">
    <w:name w:val="index 6"/>
    <w:basedOn w:val="Normale"/>
    <w:next w:val="Normale"/>
    <w:rsid w:val="005C2ECF"/>
    <w:pPr>
      <w:ind w:left="1440" w:hanging="240"/>
    </w:pPr>
  </w:style>
  <w:style w:type="paragraph" w:styleId="Indice7">
    <w:name w:val="index 7"/>
    <w:basedOn w:val="Normale"/>
    <w:next w:val="Normale"/>
    <w:rsid w:val="005C2ECF"/>
    <w:pPr>
      <w:ind w:left="1680" w:hanging="240"/>
    </w:pPr>
  </w:style>
  <w:style w:type="paragraph" w:styleId="Indice8">
    <w:name w:val="index 8"/>
    <w:basedOn w:val="Normale"/>
    <w:next w:val="Normale"/>
    <w:rsid w:val="005C2ECF"/>
    <w:pPr>
      <w:ind w:left="1920" w:hanging="240"/>
    </w:pPr>
  </w:style>
  <w:style w:type="paragraph" w:styleId="Indice9">
    <w:name w:val="index 9"/>
    <w:basedOn w:val="Normale"/>
    <w:next w:val="Normale"/>
    <w:rsid w:val="005C2ECF"/>
    <w:pPr>
      <w:ind w:left="2160" w:hanging="240"/>
    </w:pPr>
  </w:style>
  <w:style w:type="paragraph" w:styleId="Titoloindice">
    <w:name w:val="index heading"/>
    <w:basedOn w:val="Normale"/>
    <w:next w:val="Indice1"/>
    <w:rsid w:val="005C2ECF"/>
    <w:rPr>
      <w:rFonts w:eastAsia="Times New Roman"/>
      <w:b/>
      <w:bCs/>
    </w:rPr>
  </w:style>
  <w:style w:type="paragraph" w:styleId="Testomacro">
    <w:name w:val="macro"/>
    <w:link w:val="TestomacroCarattere"/>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TestomacroCarattere">
    <w:name w:val="Testo macro Carattere"/>
    <w:link w:val="Testomacro"/>
    <w:rsid w:val="005C2ECF"/>
    <w:rPr>
      <w:rFonts w:ascii="Open Sans" w:eastAsia="MS Mincho" w:hAnsi="Open Sans" w:cs="Courier New"/>
    </w:rPr>
  </w:style>
  <w:style w:type="paragraph" w:styleId="Indicefonti">
    <w:name w:val="table of authorities"/>
    <w:basedOn w:val="Normale"/>
    <w:next w:val="Normale"/>
    <w:locked/>
    <w:rsid w:val="00471BB7"/>
    <w:pPr>
      <w:ind w:left="240" w:hanging="240"/>
    </w:pPr>
  </w:style>
  <w:style w:type="paragraph" w:styleId="Indicedellefigure">
    <w:name w:val="table of figures"/>
    <w:basedOn w:val="Normale"/>
    <w:next w:val="Normale"/>
    <w:locked/>
    <w:rsid w:val="00471BB7"/>
  </w:style>
  <w:style w:type="paragraph" w:styleId="Titoloindicefonti">
    <w:name w:val="toa heading"/>
    <w:basedOn w:val="Normale"/>
    <w:next w:val="Normale"/>
    <w:locked/>
    <w:rsid w:val="00471BB7"/>
    <w:pPr>
      <w:spacing w:before="120"/>
    </w:pPr>
    <w:rPr>
      <w:rFonts w:eastAsia="Times New Roman"/>
      <w:b/>
      <w:bCs/>
    </w:rPr>
  </w:style>
  <w:style w:type="paragraph" w:styleId="Sommario5">
    <w:name w:val="toc 5"/>
    <w:basedOn w:val="Normale"/>
    <w:next w:val="Normale"/>
    <w:semiHidden/>
    <w:locked/>
    <w:rsid w:val="00471BB7"/>
    <w:pPr>
      <w:ind w:left="960"/>
    </w:pPr>
  </w:style>
  <w:style w:type="paragraph" w:styleId="Sommario6">
    <w:name w:val="toc 6"/>
    <w:basedOn w:val="Normale"/>
    <w:next w:val="Normale"/>
    <w:semiHidden/>
    <w:locked/>
    <w:rsid w:val="00471BB7"/>
    <w:pPr>
      <w:ind w:left="1200"/>
    </w:pPr>
  </w:style>
  <w:style w:type="paragraph" w:styleId="Sommario7">
    <w:name w:val="toc 7"/>
    <w:basedOn w:val="Normale"/>
    <w:next w:val="Normale"/>
    <w:semiHidden/>
    <w:locked/>
    <w:rsid w:val="00471BB7"/>
    <w:pPr>
      <w:ind w:left="1440"/>
    </w:pPr>
  </w:style>
  <w:style w:type="paragraph" w:styleId="Sommario8">
    <w:name w:val="toc 8"/>
    <w:basedOn w:val="Normale"/>
    <w:next w:val="Normale"/>
    <w:semiHidden/>
    <w:locked/>
    <w:rsid w:val="00471BB7"/>
    <w:pPr>
      <w:ind w:left="1680"/>
    </w:pPr>
  </w:style>
  <w:style w:type="paragraph" w:styleId="Sommario9">
    <w:name w:val="toc 9"/>
    <w:basedOn w:val="Normale"/>
    <w:next w:val="Normale"/>
    <w:semiHidden/>
    <w:locked/>
    <w:rsid w:val="00471BB7"/>
    <w:pPr>
      <w:ind w:left="1920"/>
    </w:pPr>
  </w:style>
  <w:style w:type="paragraph" w:styleId="Nessunaspaziatura">
    <w:name w:val="No Spacing"/>
    <w:uiPriority w:val="1"/>
    <w:rsid w:val="00471BB7"/>
    <w:rPr>
      <w:rFonts w:ascii="Open Sans" w:eastAsia="MS Mincho" w:hAnsi="Open Sans"/>
      <w:sz w:val="24"/>
      <w:szCs w:val="24"/>
    </w:rPr>
  </w:style>
  <w:style w:type="character" w:styleId="Enfasidelicata">
    <w:name w:val="Subtle Emphasis"/>
    <w:uiPriority w:val="19"/>
    <w:locked/>
    <w:rsid w:val="00471BB7"/>
    <w:rPr>
      <w:rFonts w:ascii="Open Sans" w:hAnsi="Open Sans"/>
      <w:i w:val="0"/>
      <w:iCs/>
      <w:color w:val="auto"/>
      <w:sz w:val="24"/>
    </w:rPr>
  </w:style>
  <w:style w:type="character" w:styleId="Enfasiintensa">
    <w:name w:val="Intense Emphasis"/>
    <w:uiPriority w:val="21"/>
    <w:locked/>
    <w:rsid w:val="00471BB7"/>
    <w:rPr>
      <w:rFonts w:ascii="Open Sans" w:hAnsi="Open Sans"/>
      <w:i w:val="0"/>
      <w:iCs/>
      <w:color w:val="auto"/>
    </w:rPr>
  </w:style>
  <w:style w:type="paragraph" w:styleId="Citazione">
    <w:name w:val="Quote"/>
    <w:basedOn w:val="Normale"/>
    <w:next w:val="Normale"/>
    <w:link w:val="CitazioneCarattere"/>
    <w:uiPriority w:val="29"/>
    <w:rsid w:val="000C5DA6"/>
    <w:pPr>
      <w:spacing w:before="200" w:after="160"/>
      <w:ind w:left="1440"/>
    </w:pPr>
    <w:rPr>
      <w:iCs/>
      <w:sz w:val="22"/>
    </w:rPr>
  </w:style>
  <w:style w:type="character" w:customStyle="1" w:styleId="CitazioneCarattere">
    <w:name w:val="Citazione Carattere"/>
    <w:link w:val="Citazione"/>
    <w:uiPriority w:val="29"/>
    <w:rsid w:val="000C5DA6"/>
    <w:rPr>
      <w:rFonts w:ascii="Open Sans" w:eastAsia="MS Mincho" w:hAnsi="Open Sans"/>
      <w:iCs/>
      <w:sz w:val="22"/>
      <w:szCs w:val="24"/>
    </w:rPr>
  </w:style>
  <w:style w:type="paragraph" w:styleId="Citazioneintensa">
    <w:name w:val="Intense Quote"/>
    <w:basedOn w:val="Normale"/>
    <w:next w:val="Normale"/>
    <w:link w:val="CitazioneintensaCarattere"/>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CitazioneintensaCarattere">
    <w:name w:val="Citazione intensa Carattere"/>
    <w:link w:val="Citazioneintensa"/>
    <w:uiPriority w:val="30"/>
    <w:rsid w:val="00471BB7"/>
    <w:rPr>
      <w:rFonts w:ascii="Open Sans" w:eastAsia="MS Mincho" w:hAnsi="Open Sans"/>
      <w:iCs/>
      <w:sz w:val="24"/>
      <w:szCs w:val="24"/>
    </w:rPr>
  </w:style>
  <w:style w:type="character" w:styleId="Riferimentodelicato">
    <w:name w:val="Subtle Reference"/>
    <w:uiPriority w:val="31"/>
    <w:locked/>
    <w:rsid w:val="00471BB7"/>
    <w:rPr>
      <w:rFonts w:ascii="Open Sans" w:hAnsi="Open Sans"/>
      <w:smallCaps/>
      <w:color w:val="auto"/>
      <w:sz w:val="24"/>
    </w:rPr>
  </w:style>
  <w:style w:type="character" w:styleId="Riferimentointenso">
    <w:name w:val="Intense Reference"/>
    <w:uiPriority w:val="32"/>
    <w:locked/>
    <w:rsid w:val="00471BB7"/>
    <w:rPr>
      <w:rFonts w:ascii="Open Sans" w:hAnsi="Open Sans"/>
      <w:b w:val="0"/>
      <w:bCs/>
      <w:smallCaps/>
      <w:color w:val="auto"/>
      <w:spacing w:val="5"/>
      <w:sz w:val="24"/>
    </w:rPr>
  </w:style>
  <w:style w:type="character" w:styleId="Titolodellibro">
    <w:name w:val="Book Title"/>
    <w:aliases w:val="Text Title"/>
    <w:uiPriority w:val="33"/>
    <w:rsid w:val="00471BB7"/>
    <w:rPr>
      <w:rFonts w:ascii="Open Sans" w:hAnsi="Open Sans"/>
      <w:b w:val="0"/>
      <w:bCs/>
      <w:i/>
      <w:iCs/>
      <w:spacing w:val="5"/>
      <w:sz w:val="24"/>
    </w:rPr>
  </w:style>
  <w:style w:type="paragraph" w:styleId="Paragrafoelenco">
    <w:name w:val="List Paragraph"/>
    <w:aliases w:val="L,List Paragraph1,List Paragraph11,Recommendation,EOT List Paragraph,Bullet point,List Paragraph Number,First level bullet point"/>
    <w:basedOn w:val="Normale"/>
    <w:link w:val="ParagrafoelencoCarattere"/>
    <w:uiPriority w:val="34"/>
    <w:qFormat/>
    <w:locked/>
    <w:rsid w:val="00471BB7"/>
    <w:pPr>
      <w:ind w:left="720"/>
    </w:pPr>
  </w:style>
  <w:style w:type="paragraph" w:styleId="Bibliografia">
    <w:name w:val="Bibliography"/>
    <w:basedOn w:val="Normale"/>
    <w:next w:val="Normale"/>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Pidipagina"/>
    <w:qFormat/>
    <w:rsid w:val="002850B0"/>
    <w:pPr>
      <w:jc w:val="right"/>
    </w:pPr>
  </w:style>
  <w:style w:type="paragraph" w:customStyle="1" w:styleId="FooterEvenPageNumber">
    <w:name w:val="Footer Even Page Number"/>
    <w:basedOn w:val="Pidipagina"/>
    <w:rsid w:val="00E53546"/>
  </w:style>
  <w:style w:type="paragraph" w:customStyle="1" w:styleId="FooterOddPageNumber">
    <w:name w:val="Footer Odd Page Number"/>
    <w:basedOn w:val="Pidipagina"/>
    <w:rsid w:val="00E53546"/>
    <w:pPr>
      <w:jc w:val="right"/>
    </w:pPr>
  </w:style>
  <w:style w:type="character" w:styleId="Rimandonotaapidipagina">
    <w:name w:val="footnote reference"/>
    <w:locked/>
    <w:rsid w:val="00503794"/>
    <w:rPr>
      <w:rFonts w:ascii="Arial" w:hAnsi="Arial"/>
      <w:sz w:val="20"/>
      <w:vertAlign w:val="superscript"/>
    </w:rPr>
  </w:style>
  <w:style w:type="paragraph" w:styleId="Testonotaapidipagina">
    <w:name w:val="footnote text"/>
    <w:aliases w:val="Footnote Text Char1,Footnote Text Char Char,Footnote Text Char1 Char Char,Footnote Text Char Char Char Char,Footnote Text Char Char Char Char Char Char Char Char Char Char Char Char,Footnote Text Char2 Char Char Char Char Char"/>
    <w:basedOn w:val="Normale"/>
    <w:link w:val="TestonotaapidipaginaCarattere"/>
    <w:locked/>
    <w:rsid w:val="00503794"/>
    <w:pPr>
      <w:spacing w:before="0" w:after="0"/>
    </w:pPr>
    <w:rPr>
      <w:rFonts w:ascii="Arial" w:hAnsi="Arial"/>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2 Char Char Char Char Char Carattere"/>
    <w:basedOn w:val="Carpredefinitoparagrafo"/>
    <w:link w:val="Testonotaapidipagina"/>
    <w:rsid w:val="00503794"/>
    <w:rPr>
      <w:rFonts w:ascii="Arial" w:eastAsia="MS Mincho" w:hAnsi="Arial"/>
    </w:rPr>
  </w:style>
  <w:style w:type="character" w:customStyle="1" w:styleId="ParagrafoelencoCarattere">
    <w:name w:val="Paragrafo elenco Carattere"/>
    <w:aliases w:val="L Carattere,List Paragraph1 Carattere,List Paragraph11 Carattere,Recommendation Carattere,EOT List Paragraph Carattere,Bullet point Carattere,List Paragraph Number Carattere,First level bullet point Carattere"/>
    <w:link w:val="Paragrafoelenco"/>
    <w:uiPriority w:val="34"/>
    <w:rsid w:val="00D52480"/>
    <w:rPr>
      <w:rFonts w:ascii="Open Sans" w:eastAsia="MS Mincho" w:hAnsi="Open Sans"/>
      <w:sz w:val="24"/>
      <w:szCs w:val="24"/>
    </w:rPr>
  </w:style>
  <w:style w:type="character" w:customStyle="1" w:styleId="UnresolvedMention2">
    <w:name w:val="Unresolved Mention2"/>
    <w:basedOn w:val="Carpredefinitoparagrafo"/>
    <w:uiPriority w:val="99"/>
    <w:semiHidden/>
    <w:unhideWhenUsed/>
    <w:rsid w:val="00FA0F16"/>
    <w:rPr>
      <w:color w:val="605E5C"/>
      <w:shd w:val="clear" w:color="auto" w:fill="E1DFDD"/>
    </w:rPr>
  </w:style>
  <w:style w:type="paragraph" w:customStyle="1" w:styleId="VEOHRCListBullet">
    <w:name w:val="VEOHRC List Bullet"/>
    <w:basedOn w:val="Normale"/>
    <w:qFormat/>
    <w:rsid w:val="00EB032C"/>
    <w:pPr>
      <w:numPr>
        <w:numId w:val="23"/>
      </w:numPr>
      <w:spacing w:before="0" w:after="60" w:line="240" w:lineRule="atLeast"/>
    </w:pPr>
    <w:rPr>
      <w:rFonts w:ascii="Arial" w:eastAsia="Times New Roman" w:hAnsi="Arial"/>
      <w:lang w:val="en-GB"/>
    </w:rPr>
  </w:style>
  <w:style w:type="paragraph" w:customStyle="1" w:styleId="VEOHRCBodytext">
    <w:name w:val="VEOHRC Body text"/>
    <w:link w:val="VEOHRCBodytextChar"/>
    <w:qFormat/>
    <w:rsid w:val="00EB032C"/>
    <w:pPr>
      <w:tabs>
        <w:tab w:val="left" w:pos="2640"/>
      </w:tabs>
      <w:spacing w:before="80" w:after="120"/>
    </w:pPr>
    <w:rPr>
      <w:rFonts w:ascii="Arial" w:eastAsia="Arial Unicode MS" w:hAnsi="Arial"/>
      <w:sz w:val="24"/>
      <w:szCs w:val="24"/>
      <w:lang w:val="en-GB"/>
    </w:rPr>
  </w:style>
  <w:style w:type="paragraph" w:customStyle="1" w:styleId="VEOHRCHeading3">
    <w:name w:val="VEOHRC Heading 3"/>
    <w:basedOn w:val="Titolo3"/>
    <w:next w:val="Normale"/>
    <w:link w:val="VEOHRCHeading3Char"/>
    <w:qFormat/>
    <w:rsid w:val="00EB032C"/>
    <w:pPr>
      <w:keepLines w:val="0"/>
      <w:numPr>
        <w:ilvl w:val="0"/>
        <w:numId w:val="0"/>
      </w:numPr>
      <w:spacing w:before="180" w:after="0" w:line="240" w:lineRule="atLeast"/>
    </w:pPr>
    <w:rPr>
      <w:rFonts w:ascii="Arial" w:eastAsia="Times New Roman" w:hAnsi="Arial" w:cs="Arial"/>
      <w:b/>
      <w:lang w:val="en-GB"/>
    </w:rPr>
  </w:style>
  <w:style w:type="character" w:customStyle="1" w:styleId="VEOHRCBodytextChar">
    <w:name w:val="VEOHRC Body text Char"/>
    <w:link w:val="VEOHRCBodytext"/>
    <w:rsid w:val="00EB032C"/>
    <w:rPr>
      <w:rFonts w:ascii="Arial" w:eastAsia="Arial Unicode MS" w:hAnsi="Arial"/>
      <w:sz w:val="24"/>
      <w:szCs w:val="24"/>
      <w:lang w:val="en-GB"/>
    </w:rPr>
  </w:style>
  <w:style w:type="character" w:customStyle="1" w:styleId="VEOHRCHeading3Char">
    <w:name w:val="VEOHRC Heading 3 Char"/>
    <w:link w:val="VEOHRCHeading3"/>
    <w:rsid w:val="00EB032C"/>
    <w:rPr>
      <w:rFonts w:ascii="Arial" w:hAnsi="Arial" w:cs="Arial"/>
      <w:b/>
      <w:bCs/>
      <w:sz w:val="24"/>
      <w:szCs w:val="26"/>
      <w:lang w:val="en-GB"/>
    </w:rPr>
  </w:style>
  <w:style w:type="character" w:styleId="Menzionenonrisolta">
    <w:name w:val="Unresolved Mention"/>
    <w:basedOn w:val="Carpredefinitoparagrafo"/>
    <w:uiPriority w:val="99"/>
    <w:semiHidden/>
    <w:unhideWhenUsed/>
    <w:rsid w:val="004F4461"/>
    <w:rPr>
      <w:color w:val="605E5C"/>
      <w:shd w:val="clear" w:color="auto" w:fill="E1DFDD"/>
    </w:rPr>
  </w:style>
  <w:style w:type="paragraph" w:customStyle="1" w:styleId="Nessunostileparagrafo">
    <w:name w:val="[Nessuno stile paragrafo]"/>
    <w:rsid w:val="001A5755"/>
    <w:pPr>
      <w:autoSpaceDE w:val="0"/>
      <w:autoSpaceDN w:val="0"/>
      <w:adjustRightInd w:val="0"/>
      <w:spacing w:line="288" w:lineRule="auto"/>
      <w:textAlignment w:val="center"/>
    </w:pPr>
    <w:rPr>
      <w:rFonts w:ascii="Open Sans" w:hAnsi="Open Sans"/>
      <w:color w:val="000000"/>
      <w:sz w:val="24"/>
      <w:szCs w:val="24"/>
      <w:lang w:val="en-US"/>
    </w:rPr>
  </w:style>
  <w:style w:type="paragraph" w:customStyle="1" w:styleId="TableHeadingWhite">
    <w:name w:val="Table Heading White"/>
    <w:basedOn w:val="Normale"/>
    <w:uiPriority w:val="99"/>
    <w:rsid w:val="001A5755"/>
    <w:pPr>
      <w:suppressAutoHyphens/>
      <w:autoSpaceDE w:val="0"/>
      <w:autoSpaceDN w:val="0"/>
      <w:adjustRightInd w:val="0"/>
      <w:spacing w:before="0" w:after="57" w:line="288" w:lineRule="auto"/>
      <w:textAlignment w:val="center"/>
    </w:pPr>
    <w:rPr>
      <w:rFonts w:eastAsia="Times New Roman" w:cs="Open Sans"/>
      <w:b/>
      <w:bCs/>
      <w:color w:val="FFFFFF"/>
      <w:sz w:val="28"/>
      <w:szCs w:val="28"/>
    </w:rPr>
  </w:style>
  <w:style w:type="paragraph" w:customStyle="1" w:styleId="TableText8ptRoman">
    <w:name w:val="Table Text 8pt Roman"/>
    <w:basedOn w:val="Normale"/>
    <w:uiPriority w:val="99"/>
    <w:rsid w:val="001A5755"/>
    <w:pPr>
      <w:keepLines/>
      <w:suppressAutoHyphens/>
      <w:autoSpaceDE w:val="0"/>
      <w:autoSpaceDN w:val="0"/>
      <w:adjustRightInd w:val="0"/>
      <w:spacing w:before="0" w:after="85" w:line="288" w:lineRule="auto"/>
      <w:textAlignment w:val="center"/>
    </w:pPr>
    <w:rPr>
      <w:rFonts w:eastAsia="Times New Roman" w:cs="Open Sans"/>
      <w:color w:val="000000"/>
      <w:sz w:val="16"/>
      <w:szCs w:val="16"/>
      <w:lang w:val="en-US"/>
    </w:rPr>
  </w:style>
  <w:style w:type="paragraph" w:customStyle="1" w:styleId="TableLeftHeading11ptWhite">
    <w:name w:val="Table Left Heading 11pt White"/>
    <w:basedOn w:val="TableText8ptRoman"/>
    <w:uiPriority w:val="99"/>
    <w:rsid w:val="001A5755"/>
    <w:pPr>
      <w:spacing w:line="300" w:lineRule="atLeast"/>
    </w:pPr>
    <w:rPr>
      <w:color w:val="FFFFFF"/>
      <w:sz w:val="22"/>
      <w:szCs w:val="22"/>
    </w:rPr>
  </w:style>
  <w:style w:type="paragraph" w:customStyle="1" w:styleId="TabletBullets8ptRoman">
    <w:name w:val="Tablet Bullets 8pt Roman"/>
    <w:basedOn w:val="Normale"/>
    <w:uiPriority w:val="99"/>
    <w:rsid w:val="001A5755"/>
    <w:pPr>
      <w:keepLines/>
      <w:suppressAutoHyphens/>
      <w:autoSpaceDE w:val="0"/>
      <w:autoSpaceDN w:val="0"/>
      <w:adjustRightInd w:val="0"/>
      <w:spacing w:before="0" w:after="113" w:line="288" w:lineRule="auto"/>
      <w:ind w:left="170" w:hanging="170"/>
      <w:textAlignment w:val="center"/>
    </w:pPr>
    <w:rPr>
      <w:rFonts w:eastAsia="Times New Roman" w:cs="Open Sans"/>
      <w:color w:val="000000"/>
      <w:sz w:val="16"/>
      <w:szCs w:val="16"/>
      <w:lang w:val="en-US"/>
    </w:rPr>
  </w:style>
  <w:style w:type="character" w:customStyle="1" w:styleId="OpensSansSemibold">
    <w:name w:val="Opens Sans Semibold"/>
    <w:uiPriority w:val="99"/>
    <w:rsid w:val="001A5755"/>
    <w:rPr>
      <w:rFonts w:ascii="Open Sans Semibold" w:hAnsi="Open Sans Semibold" w:cs="Open Sans 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23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g.gov.au/Publications/Budgets/Budget2019-20/Documents/PBS-australian-human-rights-commission-2019-20.PDF" TargetMode="External"/><Relationship Id="rId1" Type="http://schemas.openxmlformats.org/officeDocument/2006/relationships/hyperlink" Target="https://www.finance.gov.au/resource-management/pmra/perform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Guidelines%20o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1E56-3FD9-F543-A2FD-A523D0C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G:\Templates\Commission\Guidelines or Policy template.dotx</Template>
  <TotalTime>92</TotalTime>
  <Pages>4</Pages>
  <Words>1543</Words>
  <Characters>8800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Year</vt:lpstr>
      <vt:lpstr>Year</vt:lpstr>
    </vt:vector>
  </TitlesOfParts>
  <Company>Human Rights and Equal Opportunity Commission</Company>
  <LinksUpToDate>false</LinksUpToDate>
  <CharactersWithSpaces>10323</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Jennifer Davis</dc:creator>
  <cp:lastModifiedBy>Jo Stocovaz</cp:lastModifiedBy>
  <cp:revision>26</cp:revision>
  <cp:lastPrinted>2019-07-24T05:36:00Z</cp:lastPrinted>
  <dcterms:created xsi:type="dcterms:W3CDTF">2019-07-26T15:31:00Z</dcterms:created>
  <dcterms:modified xsi:type="dcterms:W3CDTF">2019-08-05T14:24:00Z</dcterms:modified>
</cp:coreProperties>
</file>