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4DBF" w14:textId="77777777" w:rsidR="00C66782" w:rsidRDefault="00C66782" w:rsidP="004A351F">
      <w:pPr>
        <w:pStyle w:val="Date"/>
        <w:rPr>
          <w:rFonts w:eastAsia="Times New Roman"/>
          <w:bCs/>
          <w:color w:val="237BBC"/>
          <w:kern w:val="32"/>
          <w:sz w:val="56"/>
          <w:szCs w:val="32"/>
        </w:rPr>
      </w:pPr>
      <w:bookmarkStart w:id="0" w:name="_Toc525894097"/>
      <w:r w:rsidRPr="00C66782">
        <w:rPr>
          <w:rFonts w:eastAsia="Times New Roman"/>
          <w:bCs/>
          <w:color w:val="237BBC"/>
          <w:kern w:val="32"/>
          <w:sz w:val="56"/>
          <w:szCs w:val="32"/>
        </w:rPr>
        <w:t>Sex Discrimination and Fair Work (Respect at Work) Amendment Bill 2021</w:t>
      </w:r>
    </w:p>
    <w:p w14:paraId="0780BBA8" w14:textId="27CD75D3" w:rsidR="00817C73" w:rsidRPr="004A351F" w:rsidRDefault="00C86324" w:rsidP="004A351F">
      <w:pPr>
        <w:pStyle w:val="Date"/>
        <w:rPr>
          <w:color w:val="2E74B5" w:themeColor="accent1" w:themeShade="BF"/>
          <w:sz w:val="28"/>
        </w:rPr>
      </w:pPr>
      <w:r w:rsidRPr="004A351F">
        <w:rPr>
          <w:color w:val="2E74B5" w:themeColor="accent1" w:themeShade="BF"/>
          <w:sz w:val="28"/>
        </w:rPr>
        <w:t xml:space="preserve">Submission to the </w:t>
      </w:r>
      <w:bookmarkEnd w:id="0"/>
      <w:r w:rsidR="00D33D09">
        <w:rPr>
          <w:color w:val="2E74B5" w:themeColor="accent1" w:themeShade="BF"/>
          <w:sz w:val="28"/>
        </w:rPr>
        <w:t xml:space="preserve">Senate Education and Employment </w:t>
      </w:r>
      <w:r w:rsidR="00960478">
        <w:rPr>
          <w:color w:val="2E74B5" w:themeColor="accent1" w:themeShade="BF"/>
          <w:sz w:val="28"/>
        </w:rPr>
        <w:t>Legislation Committee</w:t>
      </w:r>
    </w:p>
    <w:p w14:paraId="70ABC5EA" w14:textId="52944C4E" w:rsidR="00F220A5" w:rsidRPr="00817C73" w:rsidRDefault="003D2B2F" w:rsidP="00F220A5">
      <w:pPr>
        <w:pStyle w:val="Date"/>
      </w:pPr>
      <w:r>
        <w:t>9 July 2021</w:t>
      </w:r>
    </w:p>
    <w:p w14:paraId="08D49075" w14:textId="77777777" w:rsidR="00AC636D" w:rsidRDefault="00AC636D" w:rsidP="00AC636D"/>
    <w:p w14:paraId="5DB68216"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768273EB" w14:textId="39AE710A" w:rsidR="00AF1422"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76719767" w:history="1">
        <w:r w:rsidR="00AF1422" w:rsidRPr="005C6AD0">
          <w:rPr>
            <w:rStyle w:val="Hyperlink"/>
          </w:rPr>
          <w:t>1</w:t>
        </w:r>
        <w:r w:rsidR="00AF1422">
          <w:rPr>
            <w:rFonts w:asciiTheme="minorHAnsi" w:eastAsiaTheme="minorEastAsia" w:hAnsiTheme="minorHAnsi" w:cstheme="minorBidi"/>
            <w:b w:val="0"/>
            <w:sz w:val="22"/>
            <w:szCs w:val="22"/>
          </w:rPr>
          <w:tab/>
        </w:r>
        <w:r w:rsidR="00AF1422" w:rsidRPr="005C6AD0">
          <w:rPr>
            <w:rStyle w:val="Hyperlink"/>
          </w:rPr>
          <w:t>Introduction</w:t>
        </w:r>
        <w:r w:rsidR="00AF1422">
          <w:rPr>
            <w:webHidden/>
          </w:rPr>
          <w:tab/>
        </w:r>
        <w:r w:rsidR="00AF1422">
          <w:rPr>
            <w:webHidden/>
          </w:rPr>
          <w:fldChar w:fldCharType="begin"/>
        </w:r>
        <w:r w:rsidR="00AF1422">
          <w:rPr>
            <w:webHidden/>
          </w:rPr>
          <w:instrText xml:space="preserve"> PAGEREF _Toc76719767 \h </w:instrText>
        </w:r>
        <w:r w:rsidR="00AF1422">
          <w:rPr>
            <w:webHidden/>
          </w:rPr>
        </w:r>
        <w:r w:rsidR="00AF1422">
          <w:rPr>
            <w:webHidden/>
          </w:rPr>
          <w:fldChar w:fldCharType="separate"/>
        </w:r>
        <w:r w:rsidR="00532A8C">
          <w:rPr>
            <w:webHidden/>
          </w:rPr>
          <w:t>3</w:t>
        </w:r>
        <w:r w:rsidR="00AF1422">
          <w:rPr>
            <w:webHidden/>
          </w:rPr>
          <w:fldChar w:fldCharType="end"/>
        </w:r>
      </w:hyperlink>
    </w:p>
    <w:p w14:paraId="05A5FECD" w14:textId="08B29C06" w:rsidR="00AF1422" w:rsidRDefault="00532A8C">
      <w:pPr>
        <w:pStyle w:val="TOC1"/>
        <w:rPr>
          <w:rFonts w:asciiTheme="minorHAnsi" w:eastAsiaTheme="minorEastAsia" w:hAnsiTheme="minorHAnsi" w:cstheme="minorBidi"/>
          <w:b w:val="0"/>
          <w:sz w:val="22"/>
          <w:szCs w:val="22"/>
        </w:rPr>
      </w:pPr>
      <w:hyperlink w:anchor="_Toc76719768" w:history="1">
        <w:r w:rsidR="00AF1422" w:rsidRPr="005C6AD0">
          <w:rPr>
            <w:rStyle w:val="Hyperlink"/>
          </w:rPr>
          <w:t>2</w:t>
        </w:r>
        <w:r w:rsidR="00AF1422">
          <w:rPr>
            <w:rFonts w:asciiTheme="minorHAnsi" w:eastAsiaTheme="minorEastAsia" w:hAnsiTheme="minorHAnsi" w:cstheme="minorBidi"/>
            <w:b w:val="0"/>
            <w:sz w:val="22"/>
            <w:szCs w:val="22"/>
          </w:rPr>
          <w:tab/>
        </w:r>
        <w:r w:rsidR="00AF1422" w:rsidRPr="005C6AD0">
          <w:rPr>
            <w:rStyle w:val="Hyperlink"/>
          </w:rPr>
          <w:t>Summary</w:t>
        </w:r>
        <w:r w:rsidR="00AF1422">
          <w:rPr>
            <w:webHidden/>
          </w:rPr>
          <w:tab/>
        </w:r>
        <w:r w:rsidR="00AF1422">
          <w:rPr>
            <w:webHidden/>
          </w:rPr>
          <w:fldChar w:fldCharType="begin"/>
        </w:r>
        <w:r w:rsidR="00AF1422">
          <w:rPr>
            <w:webHidden/>
          </w:rPr>
          <w:instrText xml:space="preserve"> PAGEREF _Toc76719768 \h </w:instrText>
        </w:r>
        <w:r w:rsidR="00AF1422">
          <w:rPr>
            <w:webHidden/>
          </w:rPr>
        </w:r>
        <w:r w:rsidR="00AF1422">
          <w:rPr>
            <w:webHidden/>
          </w:rPr>
          <w:fldChar w:fldCharType="separate"/>
        </w:r>
        <w:r>
          <w:rPr>
            <w:webHidden/>
          </w:rPr>
          <w:t>3</w:t>
        </w:r>
        <w:r w:rsidR="00AF1422">
          <w:rPr>
            <w:webHidden/>
          </w:rPr>
          <w:fldChar w:fldCharType="end"/>
        </w:r>
      </w:hyperlink>
    </w:p>
    <w:p w14:paraId="4C2CBED6" w14:textId="0954AE49" w:rsidR="00AF1422" w:rsidRDefault="00532A8C">
      <w:pPr>
        <w:pStyle w:val="TOC1"/>
        <w:rPr>
          <w:rFonts w:asciiTheme="minorHAnsi" w:eastAsiaTheme="minorEastAsia" w:hAnsiTheme="minorHAnsi" w:cstheme="minorBidi"/>
          <w:b w:val="0"/>
          <w:sz w:val="22"/>
          <w:szCs w:val="22"/>
        </w:rPr>
      </w:pPr>
      <w:hyperlink w:anchor="_Toc76719769" w:history="1">
        <w:r w:rsidR="00AF1422" w:rsidRPr="005C6AD0">
          <w:rPr>
            <w:rStyle w:val="Hyperlink"/>
          </w:rPr>
          <w:t>3</w:t>
        </w:r>
        <w:r w:rsidR="00AF1422">
          <w:rPr>
            <w:rFonts w:asciiTheme="minorHAnsi" w:eastAsiaTheme="minorEastAsia" w:hAnsiTheme="minorHAnsi" w:cstheme="minorBidi"/>
            <w:b w:val="0"/>
            <w:sz w:val="22"/>
            <w:szCs w:val="22"/>
          </w:rPr>
          <w:tab/>
        </w:r>
        <w:r w:rsidR="00AF1422" w:rsidRPr="005C6AD0">
          <w:rPr>
            <w:rStyle w:val="Hyperlink"/>
          </w:rPr>
          <w:t>Recommendations</w:t>
        </w:r>
        <w:r w:rsidR="00AF1422">
          <w:rPr>
            <w:webHidden/>
          </w:rPr>
          <w:tab/>
        </w:r>
        <w:r w:rsidR="00AF1422">
          <w:rPr>
            <w:webHidden/>
          </w:rPr>
          <w:fldChar w:fldCharType="begin"/>
        </w:r>
        <w:r w:rsidR="00AF1422">
          <w:rPr>
            <w:webHidden/>
          </w:rPr>
          <w:instrText xml:space="preserve"> PAGEREF _Toc76719769 \h </w:instrText>
        </w:r>
        <w:r w:rsidR="00AF1422">
          <w:rPr>
            <w:webHidden/>
          </w:rPr>
        </w:r>
        <w:r w:rsidR="00AF1422">
          <w:rPr>
            <w:webHidden/>
          </w:rPr>
          <w:fldChar w:fldCharType="separate"/>
        </w:r>
        <w:r>
          <w:rPr>
            <w:webHidden/>
          </w:rPr>
          <w:t>6</w:t>
        </w:r>
        <w:r w:rsidR="00AF1422">
          <w:rPr>
            <w:webHidden/>
          </w:rPr>
          <w:fldChar w:fldCharType="end"/>
        </w:r>
      </w:hyperlink>
    </w:p>
    <w:p w14:paraId="6BA1F2B4" w14:textId="1DD14A1D" w:rsidR="00AF1422" w:rsidRDefault="00532A8C">
      <w:pPr>
        <w:pStyle w:val="TOC1"/>
        <w:rPr>
          <w:rFonts w:asciiTheme="minorHAnsi" w:eastAsiaTheme="minorEastAsia" w:hAnsiTheme="minorHAnsi" w:cstheme="minorBidi"/>
          <w:b w:val="0"/>
          <w:sz w:val="22"/>
          <w:szCs w:val="22"/>
        </w:rPr>
      </w:pPr>
      <w:hyperlink w:anchor="_Toc76719770" w:history="1">
        <w:r w:rsidR="00AF1422" w:rsidRPr="005C6AD0">
          <w:rPr>
            <w:rStyle w:val="Hyperlink"/>
          </w:rPr>
          <w:t>4</w:t>
        </w:r>
        <w:r w:rsidR="00AF1422">
          <w:rPr>
            <w:rFonts w:asciiTheme="minorHAnsi" w:eastAsiaTheme="minorEastAsia" w:hAnsiTheme="minorHAnsi" w:cstheme="minorBidi"/>
            <w:b w:val="0"/>
            <w:sz w:val="22"/>
            <w:szCs w:val="22"/>
          </w:rPr>
          <w:tab/>
        </w:r>
        <w:r w:rsidR="00AF1422" w:rsidRPr="005C6AD0">
          <w:rPr>
            <w:rStyle w:val="Hyperlink"/>
          </w:rPr>
          <w:t>Amendments to the Sex Discrimination Act</w:t>
        </w:r>
        <w:r w:rsidR="00AF1422">
          <w:rPr>
            <w:webHidden/>
          </w:rPr>
          <w:tab/>
        </w:r>
        <w:r w:rsidR="00AF1422">
          <w:rPr>
            <w:webHidden/>
          </w:rPr>
          <w:fldChar w:fldCharType="begin"/>
        </w:r>
        <w:r w:rsidR="00AF1422">
          <w:rPr>
            <w:webHidden/>
          </w:rPr>
          <w:instrText xml:space="preserve"> PAGEREF _Toc76719770 \h </w:instrText>
        </w:r>
        <w:r w:rsidR="00AF1422">
          <w:rPr>
            <w:webHidden/>
          </w:rPr>
        </w:r>
        <w:r w:rsidR="00AF1422">
          <w:rPr>
            <w:webHidden/>
          </w:rPr>
          <w:fldChar w:fldCharType="separate"/>
        </w:r>
        <w:r>
          <w:rPr>
            <w:webHidden/>
          </w:rPr>
          <w:t>8</w:t>
        </w:r>
        <w:r w:rsidR="00AF1422">
          <w:rPr>
            <w:webHidden/>
          </w:rPr>
          <w:fldChar w:fldCharType="end"/>
        </w:r>
      </w:hyperlink>
    </w:p>
    <w:p w14:paraId="3EE8D0DC" w14:textId="1E90B182" w:rsidR="00AF1422" w:rsidRDefault="00532A8C">
      <w:pPr>
        <w:pStyle w:val="TOC2"/>
        <w:rPr>
          <w:rFonts w:asciiTheme="minorHAnsi" w:eastAsiaTheme="minorEastAsia" w:hAnsiTheme="minorHAnsi" w:cstheme="minorBidi"/>
          <w:b w:val="0"/>
          <w:i w:val="0"/>
          <w:sz w:val="22"/>
          <w:szCs w:val="22"/>
        </w:rPr>
      </w:pPr>
      <w:hyperlink w:anchor="_Toc76719771" w:history="1">
        <w:r w:rsidR="00AF1422" w:rsidRPr="005C6AD0">
          <w:rPr>
            <w:rStyle w:val="Hyperlink"/>
          </w:rPr>
          <w:t>4.1</w:t>
        </w:r>
        <w:r w:rsidR="00AF1422">
          <w:rPr>
            <w:rFonts w:asciiTheme="minorHAnsi" w:eastAsiaTheme="minorEastAsia" w:hAnsiTheme="minorHAnsi" w:cstheme="minorBidi"/>
            <w:b w:val="0"/>
            <w:i w:val="0"/>
            <w:sz w:val="22"/>
            <w:szCs w:val="22"/>
          </w:rPr>
          <w:tab/>
        </w:r>
        <w:r w:rsidR="00AF1422" w:rsidRPr="005C6AD0">
          <w:rPr>
            <w:rStyle w:val="Hyperlink"/>
          </w:rPr>
          <w:t>Objects clause</w:t>
        </w:r>
        <w:r w:rsidR="00AF1422">
          <w:rPr>
            <w:webHidden/>
          </w:rPr>
          <w:tab/>
        </w:r>
        <w:r w:rsidR="00AF1422">
          <w:rPr>
            <w:webHidden/>
          </w:rPr>
          <w:fldChar w:fldCharType="begin"/>
        </w:r>
        <w:r w:rsidR="00AF1422">
          <w:rPr>
            <w:webHidden/>
          </w:rPr>
          <w:instrText xml:space="preserve"> PAGEREF _Toc76719771 \h </w:instrText>
        </w:r>
        <w:r w:rsidR="00AF1422">
          <w:rPr>
            <w:webHidden/>
          </w:rPr>
        </w:r>
        <w:r w:rsidR="00AF1422">
          <w:rPr>
            <w:webHidden/>
          </w:rPr>
          <w:fldChar w:fldCharType="separate"/>
        </w:r>
        <w:r>
          <w:rPr>
            <w:webHidden/>
          </w:rPr>
          <w:t>8</w:t>
        </w:r>
        <w:r w:rsidR="00AF1422">
          <w:rPr>
            <w:webHidden/>
          </w:rPr>
          <w:fldChar w:fldCharType="end"/>
        </w:r>
      </w:hyperlink>
    </w:p>
    <w:p w14:paraId="04A1704D" w14:textId="221935D8" w:rsidR="00AF1422" w:rsidRDefault="00532A8C">
      <w:pPr>
        <w:pStyle w:val="TOC2"/>
        <w:rPr>
          <w:rFonts w:asciiTheme="minorHAnsi" w:eastAsiaTheme="minorEastAsia" w:hAnsiTheme="minorHAnsi" w:cstheme="minorBidi"/>
          <w:b w:val="0"/>
          <w:i w:val="0"/>
          <w:sz w:val="22"/>
          <w:szCs w:val="22"/>
        </w:rPr>
      </w:pPr>
      <w:hyperlink w:anchor="_Toc76719772" w:history="1">
        <w:r w:rsidR="00AF1422" w:rsidRPr="005C6AD0">
          <w:rPr>
            <w:rStyle w:val="Hyperlink"/>
          </w:rPr>
          <w:t>4.2</w:t>
        </w:r>
        <w:r w:rsidR="00AF1422">
          <w:rPr>
            <w:rFonts w:asciiTheme="minorHAnsi" w:eastAsiaTheme="minorEastAsia" w:hAnsiTheme="minorHAnsi" w:cstheme="minorBidi"/>
            <w:b w:val="0"/>
            <w:i w:val="0"/>
            <w:sz w:val="22"/>
            <w:szCs w:val="22"/>
          </w:rPr>
          <w:tab/>
        </w:r>
        <w:r w:rsidR="00AF1422" w:rsidRPr="005C6AD0">
          <w:rPr>
            <w:rStyle w:val="Hyperlink"/>
          </w:rPr>
          <w:t>Sex-based harassment</w:t>
        </w:r>
        <w:r w:rsidR="00AF1422">
          <w:rPr>
            <w:webHidden/>
          </w:rPr>
          <w:tab/>
        </w:r>
        <w:r w:rsidR="00AF1422">
          <w:rPr>
            <w:webHidden/>
          </w:rPr>
          <w:fldChar w:fldCharType="begin"/>
        </w:r>
        <w:r w:rsidR="00AF1422">
          <w:rPr>
            <w:webHidden/>
          </w:rPr>
          <w:instrText xml:space="preserve"> PAGEREF _Toc76719772 \h </w:instrText>
        </w:r>
        <w:r w:rsidR="00AF1422">
          <w:rPr>
            <w:webHidden/>
          </w:rPr>
        </w:r>
        <w:r w:rsidR="00AF1422">
          <w:rPr>
            <w:webHidden/>
          </w:rPr>
          <w:fldChar w:fldCharType="separate"/>
        </w:r>
        <w:r>
          <w:rPr>
            <w:webHidden/>
          </w:rPr>
          <w:t>9</w:t>
        </w:r>
        <w:r w:rsidR="00AF1422">
          <w:rPr>
            <w:webHidden/>
          </w:rPr>
          <w:fldChar w:fldCharType="end"/>
        </w:r>
      </w:hyperlink>
    </w:p>
    <w:p w14:paraId="405DEE6C" w14:textId="1C365F28" w:rsidR="00AF1422" w:rsidRDefault="00532A8C">
      <w:pPr>
        <w:pStyle w:val="TOC2"/>
        <w:rPr>
          <w:rFonts w:asciiTheme="minorHAnsi" w:eastAsiaTheme="minorEastAsia" w:hAnsiTheme="minorHAnsi" w:cstheme="minorBidi"/>
          <w:b w:val="0"/>
          <w:i w:val="0"/>
          <w:sz w:val="22"/>
          <w:szCs w:val="22"/>
        </w:rPr>
      </w:pPr>
      <w:hyperlink w:anchor="_Toc76719773" w:history="1">
        <w:r w:rsidR="00AF1422" w:rsidRPr="005C6AD0">
          <w:rPr>
            <w:rStyle w:val="Hyperlink"/>
          </w:rPr>
          <w:t>4.3</w:t>
        </w:r>
        <w:r w:rsidR="00AF1422">
          <w:rPr>
            <w:rFonts w:asciiTheme="minorHAnsi" w:eastAsiaTheme="minorEastAsia" w:hAnsiTheme="minorHAnsi" w:cstheme="minorBidi"/>
            <w:b w:val="0"/>
            <w:i w:val="0"/>
            <w:sz w:val="22"/>
            <w:szCs w:val="22"/>
          </w:rPr>
          <w:tab/>
        </w:r>
        <w:r w:rsidR="00AF1422" w:rsidRPr="005C6AD0">
          <w:rPr>
            <w:rStyle w:val="Hyperlink"/>
          </w:rPr>
          <w:t>Hostile work environment</w:t>
        </w:r>
        <w:r w:rsidR="00AF1422">
          <w:rPr>
            <w:webHidden/>
          </w:rPr>
          <w:tab/>
        </w:r>
        <w:r w:rsidR="00AF1422">
          <w:rPr>
            <w:webHidden/>
          </w:rPr>
          <w:fldChar w:fldCharType="begin"/>
        </w:r>
        <w:r w:rsidR="00AF1422">
          <w:rPr>
            <w:webHidden/>
          </w:rPr>
          <w:instrText xml:space="preserve"> PAGEREF _Toc76719773 \h </w:instrText>
        </w:r>
        <w:r w:rsidR="00AF1422">
          <w:rPr>
            <w:webHidden/>
          </w:rPr>
        </w:r>
        <w:r w:rsidR="00AF1422">
          <w:rPr>
            <w:webHidden/>
          </w:rPr>
          <w:fldChar w:fldCharType="separate"/>
        </w:r>
        <w:r>
          <w:rPr>
            <w:webHidden/>
          </w:rPr>
          <w:t>11</w:t>
        </w:r>
        <w:r w:rsidR="00AF1422">
          <w:rPr>
            <w:webHidden/>
          </w:rPr>
          <w:fldChar w:fldCharType="end"/>
        </w:r>
      </w:hyperlink>
    </w:p>
    <w:p w14:paraId="6E9084C4" w14:textId="6495AE32" w:rsidR="00AF1422" w:rsidRDefault="00532A8C">
      <w:pPr>
        <w:pStyle w:val="TOC2"/>
        <w:rPr>
          <w:rFonts w:asciiTheme="minorHAnsi" w:eastAsiaTheme="minorEastAsia" w:hAnsiTheme="minorHAnsi" w:cstheme="minorBidi"/>
          <w:b w:val="0"/>
          <w:i w:val="0"/>
          <w:sz w:val="22"/>
          <w:szCs w:val="22"/>
        </w:rPr>
      </w:pPr>
      <w:hyperlink w:anchor="_Toc76719774" w:history="1">
        <w:r w:rsidR="00AF1422" w:rsidRPr="005C6AD0">
          <w:rPr>
            <w:rStyle w:val="Hyperlink"/>
          </w:rPr>
          <w:t>4.4</w:t>
        </w:r>
        <w:r w:rsidR="00AF1422">
          <w:rPr>
            <w:rFonts w:asciiTheme="minorHAnsi" w:eastAsiaTheme="minorEastAsia" w:hAnsiTheme="minorHAnsi" w:cstheme="minorBidi"/>
            <w:b w:val="0"/>
            <w:i w:val="0"/>
            <w:sz w:val="22"/>
            <w:szCs w:val="22"/>
          </w:rPr>
          <w:tab/>
        </w:r>
        <w:r w:rsidR="00AF1422" w:rsidRPr="005C6AD0">
          <w:rPr>
            <w:rStyle w:val="Hyperlink"/>
          </w:rPr>
          <w:t>Protection for unpaid workplace participants</w:t>
        </w:r>
        <w:r w:rsidR="00AF1422">
          <w:rPr>
            <w:webHidden/>
          </w:rPr>
          <w:tab/>
        </w:r>
        <w:r w:rsidR="00AF1422">
          <w:rPr>
            <w:webHidden/>
          </w:rPr>
          <w:fldChar w:fldCharType="begin"/>
        </w:r>
        <w:r w:rsidR="00AF1422">
          <w:rPr>
            <w:webHidden/>
          </w:rPr>
          <w:instrText xml:space="preserve"> PAGEREF _Toc76719774 \h </w:instrText>
        </w:r>
        <w:r w:rsidR="00AF1422">
          <w:rPr>
            <w:webHidden/>
          </w:rPr>
        </w:r>
        <w:r w:rsidR="00AF1422">
          <w:rPr>
            <w:webHidden/>
          </w:rPr>
          <w:fldChar w:fldCharType="separate"/>
        </w:r>
        <w:r>
          <w:rPr>
            <w:webHidden/>
          </w:rPr>
          <w:t>11</w:t>
        </w:r>
        <w:r w:rsidR="00AF1422">
          <w:rPr>
            <w:webHidden/>
          </w:rPr>
          <w:fldChar w:fldCharType="end"/>
        </w:r>
      </w:hyperlink>
    </w:p>
    <w:p w14:paraId="394243BF" w14:textId="47875F7A" w:rsidR="00AF1422" w:rsidRDefault="00532A8C">
      <w:pPr>
        <w:pStyle w:val="TOC2"/>
        <w:rPr>
          <w:rFonts w:asciiTheme="minorHAnsi" w:eastAsiaTheme="minorEastAsia" w:hAnsiTheme="minorHAnsi" w:cstheme="minorBidi"/>
          <w:b w:val="0"/>
          <w:i w:val="0"/>
          <w:sz w:val="22"/>
          <w:szCs w:val="22"/>
        </w:rPr>
      </w:pPr>
      <w:hyperlink w:anchor="_Toc76719775" w:history="1">
        <w:r w:rsidR="00AF1422" w:rsidRPr="005C6AD0">
          <w:rPr>
            <w:rStyle w:val="Hyperlink"/>
          </w:rPr>
          <w:t>4.5</w:t>
        </w:r>
        <w:r w:rsidR="00AF1422">
          <w:rPr>
            <w:rFonts w:asciiTheme="minorHAnsi" w:eastAsiaTheme="minorEastAsia" w:hAnsiTheme="minorHAnsi" w:cstheme="minorBidi"/>
            <w:b w:val="0"/>
            <w:i w:val="0"/>
            <w:sz w:val="22"/>
            <w:szCs w:val="22"/>
          </w:rPr>
          <w:tab/>
        </w:r>
        <w:r w:rsidR="00AF1422" w:rsidRPr="005C6AD0">
          <w:rPr>
            <w:rStyle w:val="Hyperlink"/>
          </w:rPr>
          <w:t>Protection for State public servants and others</w:t>
        </w:r>
        <w:r w:rsidR="00AF1422">
          <w:rPr>
            <w:webHidden/>
          </w:rPr>
          <w:tab/>
        </w:r>
        <w:r w:rsidR="00AF1422">
          <w:rPr>
            <w:webHidden/>
          </w:rPr>
          <w:fldChar w:fldCharType="begin"/>
        </w:r>
        <w:r w:rsidR="00AF1422">
          <w:rPr>
            <w:webHidden/>
          </w:rPr>
          <w:instrText xml:space="preserve"> PAGEREF _Toc76719775 \h </w:instrText>
        </w:r>
        <w:r w:rsidR="00AF1422">
          <w:rPr>
            <w:webHidden/>
          </w:rPr>
        </w:r>
        <w:r w:rsidR="00AF1422">
          <w:rPr>
            <w:webHidden/>
          </w:rPr>
          <w:fldChar w:fldCharType="separate"/>
        </w:r>
        <w:r>
          <w:rPr>
            <w:webHidden/>
          </w:rPr>
          <w:t>14</w:t>
        </w:r>
        <w:r w:rsidR="00AF1422">
          <w:rPr>
            <w:webHidden/>
          </w:rPr>
          <w:fldChar w:fldCharType="end"/>
        </w:r>
      </w:hyperlink>
    </w:p>
    <w:p w14:paraId="3E2DC9A2" w14:textId="11AC929E" w:rsidR="00AF1422" w:rsidRDefault="00532A8C">
      <w:pPr>
        <w:pStyle w:val="TOC2"/>
        <w:rPr>
          <w:rFonts w:asciiTheme="minorHAnsi" w:eastAsiaTheme="minorEastAsia" w:hAnsiTheme="minorHAnsi" w:cstheme="minorBidi"/>
          <w:b w:val="0"/>
          <w:i w:val="0"/>
          <w:sz w:val="22"/>
          <w:szCs w:val="22"/>
        </w:rPr>
      </w:pPr>
      <w:hyperlink w:anchor="_Toc76719776" w:history="1">
        <w:r w:rsidR="00AF1422" w:rsidRPr="005C6AD0">
          <w:rPr>
            <w:rStyle w:val="Hyperlink"/>
          </w:rPr>
          <w:t>4.6</w:t>
        </w:r>
        <w:r w:rsidR="00AF1422">
          <w:rPr>
            <w:rFonts w:asciiTheme="minorHAnsi" w:eastAsiaTheme="minorEastAsia" w:hAnsiTheme="minorHAnsi" w:cstheme="minorBidi"/>
            <w:b w:val="0"/>
            <w:i w:val="0"/>
            <w:sz w:val="22"/>
            <w:szCs w:val="22"/>
          </w:rPr>
          <w:tab/>
        </w:r>
        <w:r w:rsidR="00AF1422" w:rsidRPr="005C6AD0">
          <w:rPr>
            <w:rStyle w:val="Hyperlink"/>
          </w:rPr>
          <w:t>Ancillary liability</w:t>
        </w:r>
        <w:r w:rsidR="00AF1422">
          <w:rPr>
            <w:webHidden/>
          </w:rPr>
          <w:tab/>
        </w:r>
        <w:r w:rsidR="00AF1422">
          <w:rPr>
            <w:webHidden/>
          </w:rPr>
          <w:fldChar w:fldCharType="begin"/>
        </w:r>
        <w:r w:rsidR="00AF1422">
          <w:rPr>
            <w:webHidden/>
          </w:rPr>
          <w:instrText xml:space="preserve"> PAGEREF _Toc76719776 \h </w:instrText>
        </w:r>
        <w:r w:rsidR="00AF1422">
          <w:rPr>
            <w:webHidden/>
          </w:rPr>
        </w:r>
        <w:r w:rsidR="00AF1422">
          <w:rPr>
            <w:webHidden/>
          </w:rPr>
          <w:fldChar w:fldCharType="separate"/>
        </w:r>
        <w:r>
          <w:rPr>
            <w:webHidden/>
          </w:rPr>
          <w:t>14</w:t>
        </w:r>
        <w:r w:rsidR="00AF1422">
          <w:rPr>
            <w:webHidden/>
          </w:rPr>
          <w:fldChar w:fldCharType="end"/>
        </w:r>
      </w:hyperlink>
    </w:p>
    <w:p w14:paraId="7D9D1E1F" w14:textId="174C3E40" w:rsidR="00AF1422" w:rsidRDefault="00532A8C">
      <w:pPr>
        <w:pStyle w:val="TOC2"/>
        <w:rPr>
          <w:rFonts w:asciiTheme="minorHAnsi" w:eastAsiaTheme="minorEastAsia" w:hAnsiTheme="minorHAnsi" w:cstheme="minorBidi"/>
          <w:b w:val="0"/>
          <w:i w:val="0"/>
          <w:sz w:val="22"/>
          <w:szCs w:val="22"/>
        </w:rPr>
      </w:pPr>
      <w:hyperlink w:anchor="_Toc76719777" w:history="1">
        <w:r w:rsidR="00AF1422" w:rsidRPr="005C6AD0">
          <w:rPr>
            <w:rStyle w:val="Hyperlink"/>
          </w:rPr>
          <w:t>4.7</w:t>
        </w:r>
        <w:r w:rsidR="00AF1422">
          <w:rPr>
            <w:rFonts w:asciiTheme="minorHAnsi" w:eastAsiaTheme="minorEastAsia" w:hAnsiTheme="minorHAnsi" w:cstheme="minorBidi"/>
            <w:b w:val="0"/>
            <w:i w:val="0"/>
            <w:sz w:val="22"/>
            <w:szCs w:val="22"/>
          </w:rPr>
          <w:tab/>
        </w:r>
        <w:r w:rsidR="00AF1422" w:rsidRPr="005C6AD0">
          <w:rPr>
            <w:rStyle w:val="Hyperlink"/>
          </w:rPr>
          <w:t>Positive duty to eliminate sex discrimination, harassment and victimisation</w:t>
        </w:r>
        <w:r w:rsidR="00AF1422">
          <w:rPr>
            <w:webHidden/>
          </w:rPr>
          <w:tab/>
        </w:r>
        <w:r w:rsidR="00AF1422">
          <w:rPr>
            <w:webHidden/>
          </w:rPr>
          <w:fldChar w:fldCharType="begin"/>
        </w:r>
        <w:r w:rsidR="00AF1422">
          <w:rPr>
            <w:webHidden/>
          </w:rPr>
          <w:instrText xml:space="preserve"> PAGEREF _Toc76719777 \h </w:instrText>
        </w:r>
        <w:r w:rsidR="00AF1422">
          <w:rPr>
            <w:webHidden/>
          </w:rPr>
        </w:r>
        <w:r w:rsidR="00AF1422">
          <w:rPr>
            <w:webHidden/>
          </w:rPr>
          <w:fldChar w:fldCharType="separate"/>
        </w:r>
        <w:r>
          <w:rPr>
            <w:webHidden/>
          </w:rPr>
          <w:t>15</w:t>
        </w:r>
        <w:r w:rsidR="00AF1422">
          <w:rPr>
            <w:webHidden/>
          </w:rPr>
          <w:fldChar w:fldCharType="end"/>
        </w:r>
      </w:hyperlink>
    </w:p>
    <w:p w14:paraId="0F99760A" w14:textId="1C414ECF" w:rsidR="00AF1422" w:rsidRPr="00AF1422" w:rsidRDefault="00532A8C" w:rsidP="00AF1422">
      <w:pPr>
        <w:pStyle w:val="TOC3"/>
        <w:ind w:left="1440"/>
        <w:rPr>
          <w:rFonts w:asciiTheme="minorHAnsi" w:eastAsiaTheme="minorEastAsia" w:hAnsiTheme="minorHAnsi" w:cstheme="minorBidi"/>
          <w:i w:val="0"/>
          <w:sz w:val="22"/>
          <w:szCs w:val="22"/>
        </w:rPr>
      </w:pPr>
      <w:hyperlink w:anchor="_Toc76719778" w:history="1">
        <w:r w:rsidR="00AF1422" w:rsidRPr="00AF1422">
          <w:rPr>
            <w:rStyle w:val="Hyperlink"/>
          </w:rPr>
          <w:t>(a)</w:t>
        </w:r>
        <w:r w:rsidR="00AF1422" w:rsidRPr="00AF1422">
          <w:rPr>
            <w:rFonts w:asciiTheme="minorHAnsi" w:eastAsiaTheme="minorEastAsia" w:hAnsiTheme="minorHAnsi" w:cstheme="minorBidi"/>
            <w:i w:val="0"/>
            <w:sz w:val="22"/>
            <w:szCs w:val="22"/>
          </w:rPr>
          <w:tab/>
        </w:r>
        <w:r w:rsidR="00AF1422" w:rsidRPr="00AF1422">
          <w:rPr>
            <w:rStyle w:val="Hyperlink"/>
          </w:rPr>
          <w:t>Introduction of a positive duty</w:t>
        </w:r>
        <w:r w:rsidR="00AF1422" w:rsidRPr="00AF1422">
          <w:rPr>
            <w:webHidden/>
          </w:rPr>
          <w:tab/>
        </w:r>
        <w:r w:rsidR="00AF1422" w:rsidRPr="00AF1422">
          <w:rPr>
            <w:webHidden/>
          </w:rPr>
          <w:fldChar w:fldCharType="begin"/>
        </w:r>
        <w:r w:rsidR="00AF1422" w:rsidRPr="00AF1422">
          <w:rPr>
            <w:webHidden/>
          </w:rPr>
          <w:instrText xml:space="preserve"> PAGEREF _Toc76719778 \h </w:instrText>
        </w:r>
        <w:r w:rsidR="00AF1422" w:rsidRPr="00AF1422">
          <w:rPr>
            <w:webHidden/>
          </w:rPr>
        </w:r>
        <w:r w:rsidR="00AF1422" w:rsidRPr="00AF1422">
          <w:rPr>
            <w:webHidden/>
          </w:rPr>
          <w:fldChar w:fldCharType="separate"/>
        </w:r>
        <w:r>
          <w:rPr>
            <w:webHidden/>
          </w:rPr>
          <w:t>15</w:t>
        </w:r>
        <w:r w:rsidR="00AF1422" w:rsidRPr="00AF1422">
          <w:rPr>
            <w:webHidden/>
          </w:rPr>
          <w:fldChar w:fldCharType="end"/>
        </w:r>
      </w:hyperlink>
    </w:p>
    <w:p w14:paraId="0D520AF8" w14:textId="0FBECE51" w:rsidR="00AF1422" w:rsidRDefault="00532A8C" w:rsidP="00AF1422">
      <w:pPr>
        <w:pStyle w:val="TOC3"/>
        <w:ind w:left="1440"/>
        <w:rPr>
          <w:rFonts w:asciiTheme="minorHAnsi" w:eastAsiaTheme="minorEastAsia" w:hAnsiTheme="minorHAnsi" w:cstheme="minorBidi"/>
          <w:i w:val="0"/>
          <w:sz w:val="22"/>
          <w:szCs w:val="22"/>
        </w:rPr>
      </w:pPr>
      <w:hyperlink w:anchor="_Toc76719779" w:history="1">
        <w:r w:rsidR="00AF1422" w:rsidRPr="00AF1422">
          <w:rPr>
            <w:rStyle w:val="Hyperlink"/>
          </w:rPr>
          <w:t>(b)</w:t>
        </w:r>
        <w:r w:rsidR="00AF1422" w:rsidRPr="00AF1422">
          <w:rPr>
            <w:rFonts w:asciiTheme="minorHAnsi" w:eastAsiaTheme="minorEastAsia" w:hAnsiTheme="minorHAnsi" w:cstheme="minorBidi"/>
            <w:i w:val="0"/>
            <w:sz w:val="22"/>
            <w:szCs w:val="22"/>
          </w:rPr>
          <w:tab/>
        </w:r>
        <w:r w:rsidR="00AF1422" w:rsidRPr="00AF1422">
          <w:rPr>
            <w:rStyle w:val="Hyperlink"/>
          </w:rPr>
          <w:t>Enforcement of a positive duty</w:t>
        </w:r>
        <w:r w:rsidR="00AF1422" w:rsidRPr="00AF1422">
          <w:rPr>
            <w:webHidden/>
          </w:rPr>
          <w:tab/>
        </w:r>
        <w:r w:rsidR="00AF1422" w:rsidRPr="00AF1422">
          <w:rPr>
            <w:webHidden/>
          </w:rPr>
          <w:fldChar w:fldCharType="begin"/>
        </w:r>
        <w:r w:rsidR="00AF1422" w:rsidRPr="00AF1422">
          <w:rPr>
            <w:webHidden/>
          </w:rPr>
          <w:instrText xml:space="preserve"> PAGEREF _Toc76719779 \h </w:instrText>
        </w:r>
        <w:r w:rsidR="00AF1422" w:rsidRPr="00AF1422">
          <w:rPr>
            <w:webHidden/>
          </w:rPr>
        </w:r>
        <w:r w:rsidR="00AF1422" w:rsidRPr="00AF1422">
          <w:rPr>
            <w:webHidden/>
          </w:rPr>
          <w:fldChar w:fldCharType="separate"/>
        </w:r>
        <w:r>
          <w:rPr>
            <w:webHidden/>
          </w:rPr>
          <w:t>17</w:t>
        </w:r>
        <w:r w:rsidR="00AF1422" w:rsidRPr="00AF1422">
          <w:rPr>
            <w:webHidden/>
          </w:rPr>
          <w:fldChar w:fldCharType="end"/>
        </w:r>
      </w:hyperlink>
    </w:p>
    <w:p w14:paraId="1F7B7B73" w14:textId="0EE7B6B7" w:rsidR="00AF1422" w:rsidRDefault="00532A8C">
      <w:pPr>
        <w:pStyle w:val="TOC1"/>
        <w:rPr>
          <w:rFonts w:asciiTheme="minorHAnsi" w:eastAsiaTheme="minorEastAsia" w:hAnsiTheme="minorHAnsi" w:cstheme="minorBidi"/>
          <w:b w:val="0"/>
          <w:sz w:val="22"/>
          <w:szCs w:val="22"/>
        </w:rPr>
      </w:pPr>
      <w:hyperlink w:anchor="_Toc76719780" w:history="1">
        <w:r w:rsidR="00AF1422" w:rsidRPr="005C6AD0">
          <w:rPr>
            <w:rStyle w:val="Hyperlink"/>
          </w:rPr>
          <w:t>5</w:t>
        </w:r>
        <w:r w:rsidR="00AF1422">
          <w:rPr>
            <w:rFonts w:asciiTheme="minorHAnsi" w:eastAsiaTheme="minorEastAsia" w:hAnsiTheme="minorHAnsi" w:cstheme="minorBidi"/>
            <w:b w:val="0"/>
            <w:sz w:val="22"/>
            <w:szCs w:val="22"/>
          </w:rPr>
          <w:tab/>
        </w:r>
        <w:r w:rsidR="00AF1422" w:rsidRPr="005C6AD0">
          <w:rPr>
            <w:rStyle w:val="Hyperlink"/>
          </w:rPr>
          <w:t>Amendments to the Fair Work Act</w:t>
        </w:r>
        <w:r w:rsidR="00AF1422">
          <w:rPr>
            <w:webHidden/>
          </w:rPr>
          <w:tab/>
        </w:r>
        <w:r w:rsidR="00AF1422">
          <w:rPr>
            <w:webHidden/>
          </w:rPr>
          <w:fldChar w:fldCharType="begin"/>
        </w:r>
        <w:r w:rsidR="00AF1422">
          <w:rPr>
            <w:webHidden/>
          </w:rPr>
          <w:instrText xml:space="preserve"> PAGEREF _Toc76719780 \h </w:instrText>
        </w:r>
        <w:r w:rsidR="00AF1422">
          <w:rPr>
            <w:webHidden/>
          </w:rPr>
        </w:r>
        <w:r w:rsidR="00AF1422">
          <w:rPr>
            <w:webHidden/>
          </w:rPr>
          <w:fldChar w:fldCharType="separate"/>
        </w:r>
        <w:r>
          <w:rPr>
            <w:webHidden/>
          </w:rPr>
          <w:t>18</w:t>
        </w:r>
        <w:r w:rsidR="00AF1422">
          <w:rPr>
            <w:webHidden/>
          </w:rPr>
          <w:fldChar w:fldCharType="end"/>
        </w:r>
      </w:hyperlink>
    </w:p>
    <w:p w14:paraId="5F3BBCD2" w14:textId="7DF822AC" w:rsidR="00AF1422" w:rsidRDefault="00532A8C">
      <w:pPr>
        <w:pStyle w:val="TOC2"/>
        <w:rPr>
          <w:rFonts w:asciiTheme="minorHAnsi" w:eastAsiaTheme="minorEastAsia" w:hAnsiTheme="minorHAnsi" w:cstheme="minorBidi"/>
          <w:b w:val="0"/>
          <w:i w:val="0"/>
          <w:sz w:val="22"/>
          <w:szCs w:val="22"/>
        </w:rPr>
      </w:pPr>
      <w:hyperlink w:anchor="_Toc76719781" w:history="1">
        <w:r w:rsidR="00AF1422" w:rsidRPr="005C6AD0">
          <w:rPr>
            <w:rStyle w:val="Hyperlink"/>
          </w:rPr>
          <w:t>5.1</w:t>
        </w:r>
        <w:r w:rsidR="00AF1422">
          <w:rPr>
            <w:rFonts w:asciiTheme="minorHAnsi" w:eastAsiaTheme="minorEastAsia" w:hAnsiTheme="minorHAnsi" w:cstheme="minorBidi"/>
            <w:b w:val="0"/>
            <w:i w:val="0"/>
            <w:sz w:val="22"/>
            <w:szCs w:val="22"/>
          </w:rPr>
          <w:tab/>
        </w:r>
        <w:r w:rsidR="00AF1422" w:rsidRPr="005C6AD0">
          <w:rPr>
            <w:rStyle w:val="Hyperlink"/>
          </w:rPr>
          <w:t>Stop sexual harassment orders</w:t>
        </w:r>
        <w:r w:rsidR="00AF1422">
          <w:rPr>
            <w:webHidden/>
          </w:rPr>
          <w:tab/>
        </w:r>
        <w:r w:rsidR="00AF1422">
          <w:rPr>
            <w:webHidden/>
          </w:rPr>
          <w:fldChar w:fldCharType="begin"/>
        </w:r>
        <w:r w:rsidR="00AF1422">
          <w:rPr>
            <w:webHidden/>
          </w:rPr>
          <w:instrText xml:space="preserve"> PAGEREF _Toc76719781 \h </w:instrText>
        </w:r>
        <w:r w:rsidR="00AF1422">
          <w:rPr>
            <w:webHidden/>
          </w:rPr>
        </w:r>
        <w:r w:rsidR="00AF1422">
          <w:rPr>
            <w:webHidden/>
          </w:rPr>
          <w:fldChar w:fldCharType="separate"/>
        </w:r>
        <w:r>
          <w:rPr>
            <w:webHidden/>
          </w:rPr>
          <w:t>18</w:t>
        </w:r>
        <w:r w:rsidR="00AF1422">
          <w:rPr>
            <w:webHidden/>
          </w:rPr>
          <w:fldChar w:fldCharType="end"/>
        </w:r>
      </w:hyperlink>
    </w:p>
    <w:p w14:paraId="11C7C086" w14:textId="2DD630FC" w:rsidR="00AF1422" w:rsidRDefault="00532A8C">
      <w:pPr>
        <w:pStyle w:val="TOC2"/>
        <w:rPr>
          <w:rFonts w:asciiTheme="minorHAnsi" w:eastAsiaTheme="minorEastAsia" w:hAnsiTheme="minorHAnsi" w:cstheme="minorBidi"/>
          <w:b w:val="0"/>
          <w:i w:val="0"/>
          <w:sz w:val="22"/>
          <w:szCs w:val="22"/>
        </w:rPr>
      </w:pPr>
      <w:hyperlink w:anchor="_Toc76719782" w:history="1">
        <w:r w:rsidR="00AF1422" w:rsidRPr="005C6AD0">
          <w:rPr>
            <w:rStyle w:val="Hyperlink"/>
          </w:rPr>
          <w:t>5.2</w:t>
        </w:r>
        <w:r w:rsidR="00AF1422">
          <w:rPr>
            <w:rFonts w:asciiTheme="minorHAnsi" w:eastAsiaTheme="minorEastAsia" w:hAnsiTheme="minorHAnsi" w:cstheme="minorBidi"/>
            <w:b w:val="0"/>
            <w:i w:val="0"/>
            <w:sz w:val="22"/>
            <w:szCs w:val="22"/>
          </w:rPr>
          <w:tab/>
        </w:r>
        <w:r w:rsidR="00AF1422" w:rsidRPr="005C6AD0">
          <w:rPr>
            <w:rStyle w:val="Hyperlink"/>
          </w:rPr>
          <w:t>Termination of employment for sexual harassment</w:t>
        </w:r>
        <w:r w:rsidR="00AF1422">
          <w:rPr>
            <w:webHidden/>
          </w:rPr>
          <w:tab/>
        </w:r>
        <w:r w:rsidR="00AF1422">
          <w:rPr>
            <w:webHidden/>
          </w:rPr>
          <w:fldChar w:fldCharType="begin"/>
        </w:r>
        <w:r w:rsidR="00AF1422">
          <w:rPr>
            <w:webHidden/>
          </w:rPr>
          <w:instrText xml:space="preserve"> PAGEREF _Toc76719782 \h </w:instrText>
        </w:r>
        <w:r w:rsidR="00AF1422">
          <w:rPr>
            <w:webHidden/>
          </w:rPr>
        </w:r>
        <w:r w:rsidR="00AF1422">
          <w:rPr>
            <w:webHidden/>
          </w:rPr>
          <w:fldChar w:fldCharType="separate"/>
        </w:r>
        <w:r>
          <w:rPr>
            <w:webHidden/>
          </w:rPr>
          <w:t>20</w:t>
        </w:r>
        <w:r w:rsidR="00AF1422">
          <w:rPr>
            <w:webHidden/>
          </w:rPr>
          <w:fldChar w:fldCharType="end"/>
        </w:r>
      </w:hyperlink>
    </w:p>
    <w:p w14:paraId="37318E4D" w14:textId="699CF7DB" w:rsidR="00AF1422" w:rsidRDefault="00532A8C">
      <w:pPr>
        <w:pStyle w:val="TOC2"/>
        <w:rPr>
          <w:rFonts w:asciiTheme="minorHAnsi" w:eastAsiaTheme="minorEastAsia" w:hAnsiTheme="minorHAnsi" w:cstheme="minorBidi"/>
          <w:b w:val="0"/>
          <w:i w:val="0"/>
          <w:sz w:val="22"/>
          <w:szCs w:val="22"/>
        </w:rPr>
      </w:pPr>
      <w:hyperlink w:anchor="_Toc76719783" w:history="1">
        <w:r w:rsidR="00AF1422" w:rsidRPr="005C6AD0">
          <w:rPr>
            <w:rStyle w:val="Hyperlink"/>
          </w:rPr>
          <w:t>5.3</w:t>
        </w:r>
        <w:r w:rsidR="00AF1422">
          <w:rPr>
            <w:rFonts w:asciiTheme="minorHAnsi" w:eastAsiaTheme="minorEastAsia" w:hAnsiTheme="minorHAnsi" w:cstheme="minorBidi"/>
            <w:b w:val="0"/>
            <w:i w:val="0"/>
            <w:sz w:val="22"/>
            <w:szCs w:val="22"/>
          </w:rPr>
          <w:tab/>
        </w:r>
        <w:r w:rsidR="00AF1422" w:rsidRPr="005C6AD0">
          <w:rPr>
            <w:rStyle w:val="Hyperlink"/>
          </w:rPr>
          <w:t>Further review of the Fair Work system</w:t>
        </w:r>
        <w:r w:rsidR="00AF1422">
          <w:rPr>
            <w:webHidden/>
          </w:rPr>
          <w:tab/>
        </w:r>
        <w:r w:rsidR="00AF1422">
          <w:rPr>
            <w:webHidden/>
          </w:rPr>
          <w:fldChar w:fldCharType="begin"/>
        </w:r>
        <w:r w:rsidR="00AF1422">
          <w:rPr>
            <w:webHidden/>
          </w:rPr>
          <w:instrText xml:space="preserve"> PAGEREF _Toc76719783 \h </w:instrText>
        </w:r>
        <w:r w:rsidR="00AF1422">
          <w:rPr>
            <w:webHidden/>
          </w:rPr>
        </w:r>
        <w:r w:rsidR="00AF1422">
          <w:rPr>
            <w:webHidden/>
          </w:rPr>
          <w:fldChar w:fldCharType="separate"/>
        </w:r>
        <w:r>
          <w:rPr>
            <w:webHidden/>
          </w:rPr>
          <w:t>21</w:t>
        </w:r>
        <w:r w:rsidR="00AF1422">
          <w:rPr>
            <w:webHidden/>
          </w:rPr>
          <w:fldChar w:fldCharType="end"/>
        </w:r>
      </w:hyperlink>
    </w:p>
    <w:p w14:paraId="032CED9A" w14:textId="5E9C0FF3" w:rsidR="00AF1422" w:rsidRDefault="00532A8C">
      <w:pPr>
        <w:pStyle w:val="TOC2"/>
        <w:rPr>
          <w:rFonts w:asciiTheme="minorHAnsi" w:eastAsiaTheme="minorEastAsia" w:hAnsiTheme="minorHAnsi" w:cstheme="minorBidi"/>
          <w:b w:val="0"/>
          <w:i w:val="0"/>
          <w:sz w:val="22"/>
          <w:szCs w:val="22"/>
        </w:rPr>
      </w:pPr>
      <w:hyperlink w:anchor="_Toc76719784" w:history="1">
        <w:r w:rsidR="00AF1422" w:rsidRPr="005C6AD0">
          <w:rPr>
            <w:rStyle w:val="Hyperlink"/>
          </w:rPr>
          <w:t>5.4</w:t>
        </w:r>
        <w:r w:rsidR="00AF1422">
          <w:rPr>
            <w:rFonts w:asciiTheme="minorHAnsi" w:eastAsiaTheme="minorEastAsia" w:hAnsiTheme="minorHAnsi" w:cstheme="minorBidi"/>
            <w:b w:val="0"/>
            <w:i w:val="0"/>
            <w:sz w:val="22"/>
            <w:szCs w:val="22"/>
          </w:rPr>
          <w:tab/>
        </w:r>
        <w:r w:rsidR="00AF1422" w:rsidRPr="005C6AD0">
          <w:rPr>
            <w:rStyle w:val="Hyperlink"/>
          </w:rPr>
          <w:t>Miscarriage leave</w:t>
        </w:r>
        <w:r w:rsidR="00AF1422">
          <w:rPr>
            <w:webHidden/>
          </w:rPr>
          <w:tab/>
        </w:r>
        <w:r w:rsidR="00AF1422">
          <w:rPr>
            <w:webHidden/>
          </w:rPr>
          <w:fldChar w:fldCharType="begin"/>
        </w:r>
        <w:r w:rsidR="00AF1422">
          <w:rPr>
            <w:webHidden/>
          </w:rPr>
          <w:instrText xml:space="preserve"> PAGEREF _Toc76719784 \h </w:instrText>
        </w:r>
        <w:r w:rsidR="00AF1422">
          <w:rPr>
            <w:webHidden/>
          </w:rPr>
        </w:r>
        <w:r w:rsidR="00AF1422">
          <w:rPr>
            <w:webHidden/>
          </w:rPr>
          <w:fldChar w:fldCharType="separate"/>
        </w:r>
        <w:r>
          <w:rPr>
            <w:webHidden/>
          </w:rPr>
          <w:t>21</w:t>
        </w:r>
        <w:r w:rsidR="00AF1422">
          <w:rPr>
            <w:webHidden/>
          </w:rPr>
          <w:fldChar w:fldCharType="end"/>
        </w:r>
      </w:hyperlink>
    </w:p>
    <w:p w14:paraId="6DA3E750" w14:textId="016F749C" w:rsidR="00AF1422" w:rsidRDefault="00532A8C">
      <w:pPr>
        <w:pStyle w:val="TOC1"/>
        <w:rPr>
          <w:rFonts w:asciiTheme="minorHAnsi" w:eastAsiaTheme="minorEastAsia" w:hAnsiTheme="minorHAnsi" w:cstheme="minorBidi"/>
          <w:b w:val="0"/>
          <w:sz w:val="22"/>
          <w:szCs w:val="22"/>
        </w:rPr>
      </w:pPr>
      <w:hyperlink w:anchor="_Toc76719785" w:history="1">
        <w:r w:rsidR="00AF1422" w:rsidRPr="005C6AD0">
          <w:rPr>
            <w:rStyle w:val="Hyperlink"/>
          </w:rPr>
          <w:t>6</w:t>
        </w:r>
        <w:r w:rsidR="00AF1422">
          <w:rPr>
            <w:rFonts w:asciiTheme="minorHAnsi" w:eastAsiaTheme="minorEastAsia" w:hAnsiTheme="minorHAnsi" w:cstheme="minorBidi"/>
            <w:b w:val="0"/>
            <w:sz w:val="22"/>
            <w:szCs w:val="22"/>
          </w:rPr>
          <w:tab/>
        </w:r>
        <w:r w:rsidR="00AF1422" w:rsidRPr="005C6AD0">
          <w:rPr>
            <w:rStyle w:val="Hyperlink"/>
          </w:rPr>
          <w:t>Amendments to the Australian Human Rights Commission Act</w:t>
        </w:r>
        <w:r w:rsidR="00AF1422">
          <w:rPr>
            <w:webHidden/>
          </w:rPr>
          <w:tab/>
        </w:r>
        <w:r w:rsidR="00AF1422">
          <w:rPr>
            <w:webHidden/>
          </w:rPr>
          <w:fldChar w:fldCharType="begin"/>
        </w:r>
        <w:r w:rsidR="00AF1422">
          <w:rPr>
            <w:webHidden/>
          </w:rPr>
          <w:instrText xml:space="preserve"> PAGEREF _Toc76719785 \h </w:instrText>
        </w:r>
        <w:r w:rsidR="00AF1422">
          <w:rPr>
            <w:webHidden/>
          </w:rPr>
        </w:r>
        <w:r w:rsidR="00AF1422">
          <w:rPr>
            <w:webHidden/>
          </w:rPr>
          <w:fldChar w:fldCharType="separate"/>
        </w:r>
        <w:r>
          <w:rPr>
            <w:webHidden/>
          </w:rPr>
          <w:t>22</w:t>
        </w:r>
        <w:r w:rsidR="00AF1422">
          <w:rPr>
            <w:webHidden/>
          </w:rPr>
          <w:fldChar w:fldCharType="end"/>
        </w:r>
      </w:hyperlink>
    </w:p>
    <w:p w14:paraId="43EDD503" w14:textId="4937655D" w:rsidR="00AF1422" w:rsidRDefault="00532A8C">
      <w:pPr>
        <w:pStyle w:val="TOC2"/>
        <w:rPr>
          <w:rFonts w:asciiTheme="minorHAnsi" w:eastAsiaTheme="minorEastAsia" w:hAnsiTheme="minorHAnsi" w:cstheme="minorBidi"/>
          <w:b w:val="0"/>
          <w:i w:val="0"/>
          <w:sz w:val="22"/>
          <w:szCs w:val="22"/>
        </w:rPr>
      </w:pPr>
      <w:hyperlink w:anchor="_Toc76719786" w:history="1">
        <w:r w:rsidR="00AF1422" w:rsidRPr="005C6AD0">
          <w:rPr>
            <w:rStyle w:val="Hyperlink"/>
          </w:rPr>
          <w:t>6.1</w:t>
        </w:r>
        <w:r w:rsidR="00AF1422">
          <w:rPr>
            <w:rFonts w:asciiTheme="minorHAnsi" w:eastAsiaTheme="minorEastAsia" w:hAnsiTheme="minorHAnsi" w:cstheme="minorBidi"/>
            <w:b w:val="0"/>
            <w:i w:val="0"/>
            <w:sz w:val="22"/>
            <w:szCs w:val="22"/>
          </w:rPr>
          <w:tab/>
        </w:r>
        <w:r w:rsidR="00AF1422" w:rsidRPr="005C6AD0">
          <w:rPr>
            <w:rStyle w:val="Hyperlink"/>
          </w:rPr>
          <w:t>Victimisation</w:t>
        </w:r>
        <w:r w:rsidR="00AF1422">
          <w:rPr>
            <w:webHidden/>
          </w:rPr>
          <w:tab/>
        </w:r>
        <w:r w:rsidR="00AF1422">
          <w:rPr>
            <w:webHidden/>
          </w:rPr>
          <w:fldChar w:fldCharType="begin"/>
        </w:r>
        <w:r w:rsidR="00AF1422">
          <w:rPr>
            <w:webHidden/>
          </w:rPr>
          <w:instrText xml:space="preserve"> PAGEREF _Toc76719786 \h </w:instrText>
        </w:r>
        <w:r w:rsidR="00AF1422">
          <w:rPr>
            <w:webHidden/>
          </w:rPr>
        </w:r>
        <w:r w:rsidR="00AF1422">
          <w:rPr>
            <w:webHidden/>
          </w:rPr>
          <w:fldChar w:fldCharType="separate"/>
        </w:r>
        <w:r>
          <w:rPr>
            <w:webHidden/>
          </w:rPr>
          <w:t>22</w:t>
        </w:r>
        <w:r w:rsidR="00AF1422">
          <w:rPr>
            <w:webHidden/>
          </w:rPr>
          <w:fldChar w:fldCharType="end"/>
        </w:r>
      </w:hyperlink>
    </w:p>
    <w:p w14:paraId="1611A2B1" w14:textId="2A4DD321" w:rsidR="00AF1422" w:rsidRDefault="00532A8C">
      <w:pPr>
        <w:pStyle w:val="TOC2"/>
        <w:rPr>
          <w:rFonts w:asciiTheme="minorHAnsi" w:eastAsiaTheme="minorEastAsia" w:hAnsiTheme="minorHAnsi" w:cstheme="minorBidi"/>
          <w:b w:val="0"/>
          <w:i w:val="0"/>
          <w:sz w:val="22"/>
          <w:szCs w:val="22"/>
        </w:rPr>
      </w:pPr>
      <w:hyperlink w:anchor="_Toc76719787" w:history="1">
        <w:r w:rsidR="00AF1422" w:rsidRPr="005C6AD0">
          <w:rPr>
            <w:rStyle w:val="Hyperlink"/>
          </w:rPr>
          <w:t>6.2</w:t>
        </w:r>
        <w:r w:rsidR="00AF1422">
          <w:rPr>
            <w:rFonts w:asciiTheme="minorHAnsi" w:eastAsiaTheme="minorEastAsia" w:hAnsiTheme="minorHAnsi" w:cstheme="minorBidi"/>
            <w:b w:val="0"/>
            <w:i w:val="0"/>
            <w:sz w:val="22"/>
            <w:szCs w:val="22"/>
          </w:rPr>
          <w:tab/>
        </w:r>
        <w:r w:rsidR="00AF1422" w:rsidRPr="005C6AD0">
          <w:rPr>
            <w:rStyle w:val="Hyperlink"/>
          </w:rPr>
          <w:t>Termination of complaints</w:t>
        </w:r>
        <w:r w:rsidR="00AF1422">
          <w:rPr>
            <w:webHidden/>
          </w:rPr>
          <w:tab/>
        </w:r>
        <w:r w:rsidR="00AF1422">
          <w:rPr>
            <w:webHidden/>
          </w:rPr>
          <w:fldChar w:fldCharType="begin"/>
        </w:r>
        <w:r w:rsidR="00AF1422">
          <w:rPr>
            <w:webHidden/>
          </w:rPr>
          <w:instrText xml:space="preserve"> PAGEREF _Toc76719787 \h </w:instrText>
        </w:r>
        <w:r w:rsidR="00AF1422">
          <w:rPr>
            <w:webHidden/>
          </w:rPr>
        </w:r>
        <w:r w:rsidR="00AF1422">
          <w:rPr>
            <w:webHidden/>
          </w:rPr>
          <w:fldChar w:fldCharType="separate"/>
        </w:r>
        <w:r>
          <w:rPr>
            <w:webHidden/>
          </w:rPr>
          <w:t>24</w:t>
        </w:r>
        <w:r w:rsidR="00AF1422">
          <w:rPr>
            <w:webHidden/>
          </w:rPr>
          <w:fldChar w:fldCharType="end"/>
        </w:r>
      </w:hyperlink>
    </w:p>
    <w:p w14:paraId="6B168F5E" w14:textId="3D9B2888" w:rsidR="00C86324" w:rsidRDefault="000E4837">
      <w:pPr>
        <w:spacing w:before="0" w:after="0"/>
        <w:rPr>
          <w:b/>
          <w:noProof/>
        </w:rPr>
      </w:pPr>
      <w:r>
        <w:rPr>
          <w:b/>
          <w:noProof/>
        </w:rPr>
        <w:fldChar w:fldCharType="end"/>
      </w:r>
      <w:r w:rsidR="00C86324">
        <w:br w:type="page"/>
      </w:r>
    </w:p>
    <w:p w14:paraId="5B86F425" w14:textId="43455F67" w:rsidR="00510390" w:rsidRDefault="009F2764" w:rsidP="00A27ABE">
      <w:pPr>
        <w:pStyle w:val="Heading1"/>
      </w:pPr>
      <w:bookmarkStart w:id="2" w:name="_Toc207761830"/>
      <w:bookmarkStart w:id="3" w:name="_Toc209578266"/>
      <w:bookmarkStart w:id="4" w:name="_Toc209941766"/>
      <w:bookmarkStart w:id="5" w:name="_Toc525894098"/>
      <w:bookmarkStart w:id="6" w:name="_Ref76233798"/>
      <w:bookmarkStart w:id="7" w:name="_Toc76719767"/>
      <w:r w:rsidRPr="009E08D1">
        <w:lastRenderedPageBreak/>
        <w:t>Introduction</w:t>
      </w:r>
      <w:bookmarkEnd w:id="2"/>
      <w:bookmarkEnd w:id="3"/>
      <w:bookmarkEnd w:id="4"/>
      <w:bookmarkEnd w:id="5"/>
      <w:bookmarkEnd w:id="6"/>
      <w:bookmarkEnd w:id="7"/>
    </w:p>
    <w:p w14:paraId="5769C716" w14:textId="52355FDF" w:rsidR="008E5B82" w:rsidRPr="008E5B82" w:rsidRDefault="008E5B82" w:rsidP="008E5B82">
      <w:pPr>
        <w:pStyle w:val="ListNumber"/>
      </w:pPr>
      <w:r>
        <w:t xml:space="preserve">The Australian Human Rights Commission makes this submission to the Senate Education and Employment Legislation Committee in relation to its inquiry into the </w:t>
      </w:r>
      <w:r w:rsidR="00EE1FE7" w:rsidRPr="00EE1FE7">
        <w:t>Sex Discrimination and Fair Work (Respect at Work) Amendment Bill 2021</w:t>
      </w:r>
      <w:r w:rsidR="00EE1FE7">
        <w:t xml:space="preserve"> (Bill) introduced by the Australian Government.</w:t>
      </w:r>
    </w:p>
    <w:p w14:paraId="635117F7" w14:textId="557E7833" w:rsidR="009F2764" w:rsidRDefault="003423F4" w:rsidP="009E08D1">
      <w:pPr>
        <w:pStyle w:val="Heading1"/>
      </w:pPr>
      <w:bookmarkStart w:id="8" w:name="_Toc525894099"/>
      <w:bookmarkStart w:id="9" w:name="_Toc76719768"/>
      <w:r>
        <w:t>Summary</w:t>
      </w:r>
      <w:bookmarkEnd w:id="8"/>
      <w:bookmarkEnd w:id="9"/>
    </w:p>
    <w:p w14:paraId="73FF358B" w14:textId="465EF21C" w:rsidR="00B43B67" w:rsidRDefault="00817A7D" w:rsidP="00B75F3C">
      <w:pPr>
        <w:pStyle w:val="ListNumber"/>
      </w:pPr>
      <w:r>
        <w:t>S</w:t>
      </w:r>
      <w:r w:rsidR="0081194B">
        <w:t xml:space="preserve">exual harassment </w:t>
      </w:r>
      <w:r w:rsidR="0061534B">
        <w:t xml:space="preserve">is prevalent </w:t>
      </w:r>
      <w:r w:rsidR="00290386">
        <w:t xml:space="preserve">in workplaces throughout Australia. </w:t>
      </w:r>
      <w:r w:rsidR="00427792">
        <w:t xml:space="preserve"> </w:t>
      </w:r>
      <w:r w:rsidR="00AC6FC0">
        <w:t xml:space="preserve">The most recent </w:t>
      </w:r>
      <w:r w:rsidR="00CD1694">
        <w:t>n</w:t>
      </w:r>
      <w:r w:rsidR="00AC6FC0">
        <w:t xml:space="preserve">ational </w:t>
      </w:r>
      <w:r w:rsidR="00CD1694">
        <w:t>s</w:t>
      </w:r>
      <w:r w:rsidR="00AC6FC0">
        <w:t xml:space="preserve">urvey conducted by the Commission </w:t>
      </w:r>
      <w:r w:rsidR="006650E3">
        <w:t>found</w:t>
      </w:r>
      <w:r w:rsidR="00AC6FC0">
        <w:t xml:space="preserve"> that a third of people </w:t>
      </w:r>
      <w:r w:rsidR="00E065ED">
        <w:t>who had been in the workforce in the previous five years had experienced workplace sexual harassment.</w:t>
      </w:r>
      <w:r w:rsidR="00517F96">
        <w:rPr>
          <w:rStyle w:val="EndnoteReference"/>
        </w:rPr>
        <w:endnoteReference w:id="2"/>
      </w:r>
      <w:r w:rsidR="00E065ED">
        <w:t xml:space="preserve"> </w:t>
      </w:r>
    </w:p>
    <w:p w14:paraId="184064A6" w14:textId="5709C0C6" w:rsidR="00324655" w:rsidRDefault="00324655" w:rsidP="00B75F3C">
      <w:pPr>
        <w:pStyle w:val="ListNumber"/>
      </w:pPr>
      <w:r>
        <w:t>The impacts on those that experience sexual harassment</w:t>
      </w:r>
      <w:r w:rsidR="008B1DB6">
        <w:t>, particular</w:t>
      </w:r>
      <w:r w:rsidR="0096749F">
        <w:t>ly</w:t>
      </w:r>
      <w:r w:rsidR="008B1DB6">
        <w:t xml:space="preserve"> women,</w:t>
      </w:r>
      <w:r>
        <w:t xml:space="preserve"> can be devastating. </w:t>
      </w:r>
      <w:r w:rsidR="009123A6">
        <w:t xml:space="preserve">Those impacts take many forms but include financial, social, emotional, </w:t>
      </w:r>
      <w:proofErr w:type="gramStart"/>
      <w:r w:rsidR="00B21B7E">
        <w:t>physical</w:t>
      </w:r>
      <w:proofErr w:type="gramEnd"/>
      <w:r w:rsidR="00B21B7E">
        <w:t xml:space="preserve"> and psychological harm.</w:t>
      </w:r>
    </w:p>
    <w:p w14:paraId="7883F2F6" w14:textId="4DF0FDB6" w:rsidR="00E065ED" w:rsidRDefault="00CC1110" w:rsidP="00B75F3C">
      <w:pPr>
        <w:pStyle w:val="ListNumber"/>
      </w:pPr>
      <w:r>
        <w:t xml:space="preserve">In 2018, the </w:t>
      </w:r>
      <w:r w:rsidR="00670751">
        <w:t>Sex Discrimination Commissioner and the Minister for Women announced a National Inquiry into Sexual Harassment in Australian Workplaces</w:t>
      </w:r>
      <w:r w:rsidR="0088024A">
        <w:t xml:space="preserve"> (Inquiry)</w:t>
      </w:r>
      <w:r w:rsidR="00670751">
        <w:t xml:space="preserve">.  The report of </w:t>
      </w:r>
      <w:r w:rsidR="0088024A">
        <w:t>the I</w:t>
      </w:r>
      <w:r w:rsidR="00670751">
        <w:t xml:space="preserve">nquiry, </w:t>
      </w:r>
      <w:proofErr w:type="spellStart"/>
      <w:r w:rsidR="0065112F">
        <w:t>Respect@Work</w:t>
      </w:r>
      <w:proofErr w:type="spellEnd"/>
      <w:r w:rsidR="0065112F">
        <w:t xml:space="preserve">, </w:t>
      </w:r>
      <w:r w:rsidR="00147593">
        <w:t xml:space="preserve">recommended a new model to </w:t>
      </w:r>
      <w:r w:rsidR="006A34A5">
        <w:t xml:space="preserve">improve the coordination, consistency and clarity between anti-discrimination, employment and work health and safety </w:t>
      </w:r>
      <w:r w:rsidR="00060EAE">
        <w:t>laws</w:t>
      </w:r>
      <w:r w:rsidR="006A34A5">
        <w:t>.</w:t>
      </w:r>
    </w:p>
    <w:p w14:paraId="6FD61F81" w14:textId="6C29D0D7" w:rsidR="00664225" w:rsidRDefault="00AB45F1" w:rsidP="00C212E0">
      <w:pPr>
        <w:pStyle w:val="ListNumber"/>
      </w:pPr>
      <w:r>
        <w:t xml:space="preserve">The present Bill adopts many of the recommendations from the </w:t>
      </w:r>
      <w:proofErr w:type="spellStart"/>
      <w:r>
        <w:t>Respect@Work</w:t>
      </w:r>
      <w:proofErr w:type="spellEnd"/>
      <w:r>
        <w:t xml:space="preserve"> report.  </w:t>
      </w:r>
      <w:r w:rsidR="00962929">
        <w:t xml:space="preserve">The Commission congratulates the </w:t>
      </w:r>
      <w:r w:rsidR="00B43B67">
        <w:t>Government on the Bill</w:t>
      </w:r>
      <w:r w:rsidR="00887029">
        <w:t xml:space="preserve"> and its commitment to take action to streng</w:t>
      </w:r>
      <w:r w:rsidR="00591637">
        <w:t xml:space="preserve">then, simplify and streamline the laws that protect workers from sexual harassment and discrimination </w:t>
      </w:r>
      <w:r w:rsidR="008372D5">
        <w:t>in the workplace.</w:t>
      </w:r>
    </w:p>
    <w:p w14:paraId="53D89BB9" w14:textId="22B38FBC" w:rsidR="00CD7F15" w:rsidRDefault="00F33DF1" w:rsidP="00A125E2">
      <w:pPr>
        <w:pStyle w:val="ListNumber"/>
      </w:pPr>
      <w:r>
        <w:t xml:space="preserve">The Bill </w:t>
      </w:r>
      <w:r w:rsidR="00ED37AB">
        <w:t>explicit</w:t>
      </w:r>
      <w:r w:rsidR="003A76BC">
        <w:t xml:space="preserve">ly provides that </w:t>
      </w:r>
      <w:r w:rsidR="00A32B9D">
        <w:t>not only</w:t>
      </w:r>
      <w:r w:rsidR="003811B5">
        <w:t xml:space="preserve"> sexual </w:t>
      </w:r>
      <w:proofErr w:type="gramStart"/>
      <w:r w:rsidR="003811B5">
        <w:t>harassment</w:t>
      </w:r>
      <w:proofErr w:type="gramEnd"/>
      <w:r w:rsidR="003811B5">
        <w:t xml:space="preserve"> </w:t>
      </w:r>
      <w:r w:rsidR="00A32B9D">
        <w:t>but also</w:t>
      </w:r>
      <w:r w:rsidR="003811B5">
        <w:t xml:space="preserve"> </w:t>
      </w:r>
      <w:r w:rsidR="00AB5814">
        <w:t xml:space="preserve">other </w:t>
      </w:r>
      <w:r w:rsidR="003A76BC">
        <w:t xml:space="preserve">sex-based harassment is </w:t>
      </w:r>
      <w:r w:rsidR="00ED37AB">
        <w:t>prohibit</w:t>
      </w:r>
      <w:r w:rsidR="003A76BC">
        <w:t xml:space="preserve">ed.  </w:t>
      </w:r>
      <w:r w:rsidR="009D06FB">
        <w:t xml:space="preserve">It expands the coverage of the </w:t>
      </w:r>
      <w:r w:rsidR="0037776B">
        <w:t xml:space="preserve">protections against sexual harassment </w:t>
      </w:r>
      <w:r w:rsidR="00981392">
        <w:t xml:space="preserve">(but not sex discrimination) </w:t>
      </w:r>
      <w:r w:rsidR="00416186">
        <w:t xml:space="preserve">to all </w:t>
      </w:r>
      <w:r w:rsidR="00AB25C8">
        <w:t>workers and workplaces including</w:t>
      </w:r>
      <w:r w:rsidR="0059283A">
        <w:t>,</w:t>
      </w:r>
      <w:r w:rsidR="00AB25C8">
        <w:t xml:space="preserve"> for the first time</w:t>
      </w:r>
      <w:r w:rsidR="0059283A">
        <w:t>,</w:t>
      </w:r>
      <w:r>
        <w:t xml:space="preserve"> </w:t>
      </w:r>
      <w:r w:rsidR="00400E64">
        <w:t xml:space="preserve">to </w:t>
      </w:r>
      <w:r w:rsidR="00972A87">
        <w:t>interns, volunteers and the self</w:t>
      </w:r>
      <w:r w:rsidR="0095553D">
        <w:t>-</w:t>
      </w:r>
      <w:r w:rsidR="00972A87">
        <w:t xml:space="preserve">employed.  </w:t>
      </w:r>
      <w:r w:rsidR="00400E64">
        <w:t xml:space="preserve">It expands the protection against sexual harassment </w:t>
      </w:r>
      <w:r w:rsidR="00400E64" w:rsidRPr="00400E64">
        <w:rPr>
          <w:i/>
          <w:iCs/>
        </w:rPr>
        <w:t>and</w:t>
      </w:r>
      <w:r w:rsidR="00400E64">
        <w:t xml:space="preserve"> sex discrimination to State public servants.  </w:t>
      </w:r>
      <w:r w:rsidR="00972A87">
        <w:t xml:space="preserve">It clarifies that </w:t>
      </w:r>
      <w:proofErr w:type="gramStart"/>
      <w:r w:rsidR="00A03E6D">
        <w:t>all of</w:t>
      </w:r>
      <w:proofErr w:type="gramEnd"/>
      <w:r w:rsidR="00A03E6D">
        <w:t xml:space="preserve"> </w:t>
      </w:r>
      <w:r w:rsidR="00A37CA1">
        <w:t xml:space="preserve">the provisions of the </w:t>
      </w:r>
      <w:r w:rsidR="00A03E6D" w:rsidRPr="00A03E6D">
        <w:rPr>
          <w:i/>
          <w:iCs/>
        </w:rPr>
        <w:t>Sex Discrimination Act 1984</w:t>
      </w:r>
      <w:r w:rsidR="00A03E6D">
        <w:t xml:space="preserve"> (</w:t>
      </w:r>
      <w:proofErr w:type="spellStart"/>
      <w:r w:rsidR="00A03E6D">
        <w:t>Cth</w:t>
      </w:r>
      <w:proofErr w:type="spellEnd"/>
      <w:r w:rsidR="00A03E6D">
        <w:t>) (</w:t>
      </w:r>
      <w:r w:rsidR="00A37CA1">
        <w:t>SDA</w:t>
      </w:r>
      <w:r w:rsidR="00A03E6D">
        <w:t>)</w:t>
      </w:r>
      <w:r w:rsidR="00A37CA1">
        <w:t xml:space="preserve"> extend to </w:t>
      </w:r>
      <w:r w:rsidR="004B065C">
        <w:t>Members of Parliament, their staff and judges throughout Australia.</w:t>
      </w:r>
      <w:r>
        <w:t xml:space="preserve"> </w:t>
      </w:r>
    </w:p>
    <w:p w14:paraId="1B3DCBAF" w14:textId="7759F779" w:rsidR="008372D5" w:rsidRDefault="00CD7F15" w:rsidP="00C212E0">
      <w:pPr>
        <w:pStyle w:val="ListNumber"/>
      </w:pPr>
      <w:r>
        <w:lastRenderedPageBreak/>
        <w:t xml:space="preserve">In keeping with the </w:t>
      </w:r>
      <w:r w:rsidR="00A202A9">
        <w:t xml:space="preserve">need for coordination </w:t>
      </w:r>
      <w:r w:rsidR="008F1082">
        <w:t xml:space="preserve">across </w:t>
      </w:r>
      <w:r w:rsidR="00900D55">
        <w:t>anti-discrimination, employment and work health and safety laws, t</w:t>
      </w:r>
      <w:r>
        <w:t xml:space="preserve">he Bill </w:t>
      </w:r>
      <w:r w:rsidR="00900D55">
        <w:t xml:space="preserve">will allow the Fair Work Commission to issue a </w:t>
      </w:r>
      <w:r w:rsidR="00397B10">
        <w:t xml:space="preserve">‘stop sexual harassment order’ </w:t>
      </w:r>
      <w:r w:rsidR="00AE7F58">
        <w:t>in the same way</w:t>
      </w:r>
      <w:r w:rsidR="00900D55">
        <w:t xml:space="preserve"> that </w:t>
      </w:r>
      <w:r w:rsidR="00AE7F58">
        <w:t xml:space="preserve">it can currently issue a ‘stop bullying order’.  </w:t>
      </w:r>
      <w:r w:rsidR="0009708D">
        <w:t xml:space="preserve">The </w:t>
      </w:r>
      <w:r w:rsidR="0009708D" w:rsidRPr="00E83B05">
        <w:rPr>
          <w:i/>
        </w:rPr>
        <w:t xml:space="preserve">Fair Work Act </w:t>
      </w:r>
      <w:r w:rsidR="00157519" w:rsidRPr="00E83B05">
        <w:rPr>
          <w:i/>
        </w:rPr>
        <w:t>2009</w:t>
      </w:r>
      <w:r w:rsidR="00157519">
        <w:t xml:space="preserve"> (</w:t>
      </w:r>
      <w:proofErr w:type="spellStart"/>
      <w:r w:rsidR="00157519">
        <w:t>Cth</w:t>
      </w:r>
      <w:proofErr w:type="spellEnd"/>
      <w:r w:rsidR="00157519">
        <w:t xml:space="preserve">) (Fair Work Act) will also be amended to provide certainty to employers that </w:t>
      </w:r>
      <w:r w:rsidR="00A45FAD">
        <w:t xml:space="preserve">engaging in </w:t>
      </w:r>
      <w:r w:rsidR="00492D1A">
        <w:t xml:space="preserve">sexual harassment is a valid reason </w:t>
      </w:r>
      <w:r w:rsidR="009C50BA">
        <w:t xml:space="preserve">for the termination of </w:t>
      </w:r>
      <w:r w:rsidR="00A45FAD">
        <w:t>a person’s employment.</w:t>
      </w:r>
      <w:r w:rsidR="00900D55">
        <w:t xml:space="preserve"> </w:t>
      </w:r>
    </w:p>
    <w:p w14:paraId="25F2DC0C" w14:textId="60887492" w:rsidR="0085326E" w:rsidRDefault="00131DF2" w:rsidP="00C212E0">
      <w:pPr>
        <w:pStyle w:val="ListNumber"/>
      </w:pPr>
      <w:r>
        <w:t xml:space="preserve">In addition to the specific measures set out in the Bill, the Government has </w:t>
      </w:r>
      <w:r w:rsidR="009845AA">
        <w:t>published</w:t>
      </w:r>
      <w:r w:rsidR="00CC758B">
        <w:t xml:space="preserve"> a </w:t>
      </w:r>
      <w:r w:rsidR="006E751E">
        <w:t>‘</w:t>
      </w:r>
      <w:r w:rsidR="00CC758B">
        <w:t>Roadmap for Respect</w:t>
      </w:r>
      <w:r w:rsidR="006E751E">
        <w:t>’</w:t>
      </w:r>
      <w:r w:rsidR="00CC758B">
        <w:t xml:space="preserve"> in which it commits to </w:t>
      </w:r>
      <w:r w:rsidR="00266664">
        <w:t xml:space="preserve">consider </w:t>
      </w:r>
      <w:proofErr w:type="gramStart"/>
      <w:r w:rsidR="00266664">
        <w:t>a number of</w:t>
      </w:r>
      <w:proofErr w:type="gramEnd"/>
      <w:r w:rsidR="00266664">
        <w:t xml:space="preserve"> reforms recommended in the </w:t>
      </w:r>
      <w:proofErr w:type="spellStart"/>
      <w:r w:rsidR="00266664">
        <w:t>Respect@Work</w:t>
      </w:r>
      <w:proofErr w:type="spellEnd"/>
      <w:r w:rsidR="00266664">
        <w:t xml:space="preserve"> report that are not included in the Bill.</w:t>
      </w:r>
      <w:r w:rsidR="00FE0EF9">
        <w:rPr>
          <w:rStyle w:val="EndnoteReference"/>
        </w:rPr>
        <w:endnoteReference w:id="3"/>
      </w:r>
      <w:r w:rsidR="00266664">
        <w:t xml:space="preserve">  The Commission welcomes that commit</w:t>
      </w:r>
      <w:r w:rsidR="003A56E1">
        <w:t xml:space="preserve">ment and looks forward to continuing engagement with the </w:t>
      </w:r>
      <w:r w:rsidR="009B4B4C">
        <w:t xml:space="preserve">Government and the </w:t>
      </w:r>
      <w:proofErr w:type="spellStart"/>
      <w:r w:rsidR="003A56E1">
        <w:t>Respect@Work</w:t>
      </w:r>
      <w:proofErr w:type="spellEnd"/>
      <w:r w:rsidR="003A56E1">
        <w:t xml:space="preserve"> </w:t>
      </w:r>
      <w:r w:rsidR="00B74AB3">
        <w:t>Council to meet those goals</w:t>
      </w:r>
      <w:r w:rsidR="000D071C">
        <w:t>.</w:t>
      </w:r>
    </w:p>
    <w:p w14:paraId="2FE58A7D" w14:textId="7517B3BF" w:rsidR="00F33DF1" w:rsidRDefault="009F2343" w:rsidP="00C212E0">
      <w:pPr>
        <w:pStyle w:val="ListNumber"/>
      </w:pPr>
      <w:r>
        <w:t xml:space="preserve">While full implementation of </w:t>
      </w:r>
      <w:proofErr w:type="gramStart"/>
      <w:r>
        <w:t>all of</w:t>
      </w:r>
      <w:proofErr w:type="gramEnd"/>
      <w:r>
        <w:t xml:space="preserve"> the </w:t>
      </w:r>
      <w:proofErr w:type="spellStart"/>
      <w:r>
        <w:t>Respect@Work</w:t>
      </w:r>
      <w:proofErr w:type="spellEnd"/>
      <w:r>
        <w:t xml:space="preserve"> recommendations may take some time, t</w:t>
      </w:r>
      <w:r w:rsidR="00647841">
        <w:t xml:space="preserve">he Commission considers that there are </w:t>
      </w:r>
      <w:r w:rsidR="00FE0EF9">
        <w:t xml:space="preserve">additional </w:t>
      </w:r>
      <w:r w:rsidR="00647841">
        <w:t xml:space="preserve">amendments that can, and should, be made </w:t>
      </w:r>
      <w:r w:rsidR="0085326E">
        <w:t xml:space="preserve">now </w:t>
      </w:r>
      <w:r w:rsidR="00961D3E">
        <w:t>to further stren</w:t>
      </w:r>
      <w:r w:rsidR="00DE5AA5">
        <w:t xml:space="preserve">gthen, simplify and streamline the laws dealt with by the Bill. </w:t>
      </w:r>
    </w:p>
    <w:p w14:paraId="29579B20" w14:textId="673758A6" w:rsidR="005675E6" w:rsidRPr="005675E6" w:rsidRDefault="009304BA" w:rsidP="005675E6">
      <w:pPr>
        <w:pStyle w:val="ListNumber"/>
      </w:pPr>
      <w:r>
        <w:t xml:space="preserve">In particular, the Commission considers that the </w:t>
      </w:r>
      <w:r w:rsidR="00D460E7">
        <w:t xml:space="preserve">SDA should be amended to confirm that its </w:t>
      </w:r>
      <w:r>
        <w:t xml:space="preserve">objects </w:t>
      </w:r>
      <w:r w:rsidR="00D460E7">
        <w:t xml:space="preserve">include the </w:t>
      </w:r>
      <w:r w:rsidR="00A739BA">
        <w:t xml:space="preserve">achievement of substantive equality between women and men. </w:t>
      </w:r>
      <w:r w:rsidR="00B4437F">
        <w:t xml:space="preserve"> </w:t>
      </w:r>
      <w:r w:rsidR="003205BD">
        <w:t xml:space="preserve">The threshold for the new </w:t>
      </w:r>
      <w:r w:rsidR="00420A30">
        <w:t>sex-based harassment provision</w:t>
      </w:r>
      <w:r w:rsidR="00204049">
        <w:t>—conduct that is ‘seriously demea</w:t>
      </w:r>
      <w:r w:rsidR="00710F78">
        <w:t>n</w:t>
      </w:r>
      <w:r w:rsidR="00204049">
        <w:t>ing’—</w:t>
      </w:r>
      <w:r w:rsidR="00420A30">
        <w:t>should be amen</w:t>
      </w:r>
      <w:r w:rsidR="00977C43">
        <w:t>d</w:t>
      </w:r>
      <w:r w:rsidR="00420A30">
        <w:t xml:space="preserve">ed to ensure that it does not set the bar too high for </w:t>
      </w:r>
      <w:r w:rsidR="00405A9C">
        <w:t xml:space="preserve">a finding of harassment to be made.  </w:t>
      </w:r>
      <w:r w:rsidR="00974640">
        <w:t>There should also be an explicit prohibit</w:t>
      </w:r>
      <w:r w:rsidR="0096760B">
        <w:t>ion o</w:t>
      </w:r>
      <w:r w:rsidR="0015277B">
        <w:t>n</w:t>
      </w:r>
      <w:r w:rsidR="00974640">
        <w:t xml:space="preserve"> </w:t>
      </w:r>
      <w:r w:rsidR="00120B9E">
        <w:t xml:space="preserve">the creation </w:t>
      </w:r>
      <w:r w:rsidR="00D50958">
        <w:t xml:space="preserve">of </w:t>
      </w:r>
      <w:r w:rsidR="00D50958" w:rsidRPr="00D50958">
        <w:t>a hostile</w:t>
      </w:r>
      <w:r w:rsidR="00BF6358">
        <w:t xml:space="preserve"> work</w:t>
      </w:r>
      <w:r w:rsidR="00D50958" w:rsidRPr="00D50958">
        <w:t xml:space="preserve"> environment </w:t>
      </w:r>
      <w:proofErr w:type="gramStart"/>
      <w:r w:rsidR="00D50958" w:rsidRPr="00D50958">
        <w:t>on the basis of</w:t>
      </w:r>
      <w:proofErr w:type="gramEnd"/>
      <w:r w:rsidR="00D50958" w:rsidRPr="00D50958">
        <w:t xml:space="preserve"> sex</w:t>
      </w:r>
      <w:r w:rsidR="005933D6">
        <w:t>.</w:t>
      </w:r>
    </w:p>
    <w:p w14:paraId="71C58573" w14:textId="0CE59276" w:rsidR="000B2972" w:rsidRPr="000B2972" w:rsidRDefault="00825358" w:rsidP="000B2972">
      <w:pPr>
        <w:pStyle w:val="ListNumber"/>
      </w:pPr>
      <w:r>
        <w:t xml:space="preserve">The welcome inclusion of </w:t>
      </w:r>
      <w:r w:rsidR="00FE2961">
        <w:t xml:space="preserve">protection for </w:t>
      </w:r>
      <w:r w:rsidR="006A7604">
        <w:t xml:space="preserve">unpaid workplace participants and the self-employed </w:t>
      </w:r>
      <w:r w:rsidR="003267B0">
        <w:t>against sexual harassment</w:t>
      </w:r>
      <w:r w:rsidR="006A7604">
        <w:t xml:space="preserve"> </w:t>
      </w:r>
      <w:r w:rsidR="009367DE">
        <w:t>and sex-based harassment</w:t>
      </w:r>
      <w:r w:rsidR="006A7604">
        <w:t xml:space="preserve"> </w:t>
      </w:r>
      <w:r w:rsidR="00E719F3">
        <w:t xml:space="preserve">should be extended </w:t>
      </w:r>
      <w:r w:rsidR="00984A13">
        <w:t xml:space="preserve">consistently </w:t>
      </w:r>
      <w:r w:rsidR="003267B0">
        <w:t>throughout the SDA</w:t>
      </w:r>
      <w:r w:rsidR="00AF0092">
        <w:t xml:space="preserve">.  Interns and volunteers should have protection against </w:t>
      </w:r>
      <w:r w:rsidR="00782190">
        <w:t xml:space="preserve">sex discrimination, not just sexual harassment, </w:t>
      </w:r>
      <w:r w:rsidR="00551597">
        <w:t xml:space="preserve">as well as discrimination on the other grounds already prohibited under </w:t>
      </w:r>
      <w:r w:rsidR="00B37DA6">
        <w:t>federal discrimination laws.</w:t>
      </w:r>
      <w:r w:rsidR="00984A13">
        <w:t xml:space="preserve"> </w:t>
      </w:r>
    </w:p>
    <w:p w14:paraId="0E705C1D" w14:textId="1ED8F96D" w:rsidR="009D0FA1" w:rsidRPr="009D0FA1" w:rsidRDefault="00A33445" w:rsidP="009D0FA1">
      <w:pPr>
        <w:pStyle w:val="ListNumber"/>
      </w:pPr>
      <w:r>
        <w:t xml:space="preserve">The Commission reiterates its recommendation from </w:t>
      </w:r>
      <w:r w:rsidR="00C83EBB">
        <w:t xml:space="preserve">the </w:t>
      </w:r>
      <w:proofErr w:type="spellStart"/>
      <w:r>
        <w:t>Respect@Work</w:t>
      </w:r>
      <w:proofErr w:type="spellEnd"/>
      <w:r>
        <w:t xml:space="preserve"> </w:t>
      </w:r>
      <w:r w:rsidR="00C83EBB">
        <w:t>report</w:t>
      </w:r>
      <w:r>
        <w:t xml:space="preserve"> that </w:t>
      </w:r>
      <w:r w:rsidR="00BE4F68">
        <w:t xml:space="preserve">the SDA include a positive duty on all employers to take reasonable and proportionate measures to eliminate sex discrimination, sexual </w:t>
      </w:r>
      <w:proofErr w:type="gramStart"/>
      <w:r w:rsidR="00BE4F68">
        <w:t>harassment</w:t>
      </w:r>
      <w:proofErr w:type="gramEnd"/>
      <w:r w:rsidR="00BE4F68">
        <w:t xml:space="preserve"> and victimisation, as far as possible.</w:t>
      </w:r>
      <w:r w:rsidR="00D25ADF">
        <w:t xml:space="preserve">  This would be a powerful tool to promote broad </w:t>
      </w:r>
      <w:r w:rsidR="00D25ADF">
        <w:lastRenderedPageBreak/>
        <w:t xml:space="preserve">systemic and cultural change that sits outside of the current adversarial </w:t>
      </w:r>
      <w:r w:rsidR="00E74B6C">
        <w:t>framework of discrimination law</w:t>
      </w:r>
      <w:r w:rsidR="00D25ADF">
        <w:t>.</w:t>
      </w:r>
      <w:r w:rsidR="00BE3BBD">
        <w:t xml:space="preserve">  </w:t>
      </w:r>
      <w:r w:rsidR="00625D72">
        <w:t xml:space="preserve">The Commission also recommends </w:t>
      </w:r>
      <w:r w:rsidR="00424747">
        <w:t>the introduction of</w:t>
      </w:r>
      <w:r w:rsidR="00625D72">
        <w:t xml:space="preserve"> measure</w:t>
      </w:r>
      <w:r w:rsidR="003D7353">
        <w:t>s</w:t>
      </w:r>
      <w:r w:rsidR="00625D72">
        <w:t xml:space="preserve"> to </w:t>
      </w:r>
      <w:r w:rsidR="003D7353">
        <w:t xml:space="preserve">allow for the </w:t>
      </w:r>
      <w:r w:rsidR="00625D72">
        <w:t>assess</w:t>
      </w:r>
      <w:r w:rsidR="003D7353">
        <w:t>ment</w:t>
      </w:r>
      <w:r w:rsidR="00625D72">
        <w:t xml:space="preserve"> and </w:t>
      </w:r>
      <w:r w:rsidR="003D7353">
        <w:t xml:space="preserve">enforcement of </w:t>
      </w:r>
      <w:r w:rsidR="00BE3BBD">
        <w:t xml:space="preserve">this </w:t>
      </w:r>
      <w:r w:rsidR="003D7353">
        <w:t>positive duty.</w:t>
      </w:r>
      <w:r w:rsidR="00BE3BBD">
        <w:t xml:space="preserve"> </w:t>
      </w:r>
    </w:p>
    <w:p w14:paraId="6B94286F" w14:textId="22708F2D" w:rsidR="00D67E13" w:rsidRPr="00D67E13" w:rsidRDefault="00703504" w:rsidP="00D67E13">
      <w:pPr>
        <w:pStyle w:val="ListNumber"/>
      </w:pPr>
      <w:r>
        <w:t xml:space="preserve">The </w:t>
      </w:r>
      <w:r w:rsidR="001F36DA">
        <w:t xml:space="preserve">important </w:t>
      </w:r>
      <w:r w:rsidR="00CE1F39">
        <w:t>change</w:t>
      </w:r>
      <w:r w:rsidR="001F36DA">
        <w:t>s</w:t>
      </w:r>
      <w:r w:rsidR="00CE1F39">
        <w:t xml:space="preserve"> </w:t>
      </w:r>
      <w:r w:rsidR="00B76B36">
        <w:t xml:space="preserve">in the Bill </w:t>
      </w:r>
      <w:r w:rsidR="00CE1F39">
        <w:t xml:space="preserve">to the Fair Work Act (and regulations) </w:t>
      </w:r>
      <w:r w:rsidR="000457CB">
        <w:t xml:space="preserve">in relation to </w:t>
      </w:r>
      <w:r w:rsidR="009704BE">
        <w:t xml:space="preserve">sexual harassment should also </w:t>
      </w:r>
      <w:r w:rsidR="00FE6D82">
        <w:t>encompass the</w:t>
      </w:r>
      <w:r w:rsidR="00902C05">
        <w:t xml:space="preserve"> new </w:t>
      </w:r>
      <w:r w:rsidR="00BE0E9D">
        <w:t>legislative concept of sex</w:t>
      </w:r>
      <w:r w:rsidR="00B231E1">
        <w:t xml:space="preserve">-based harassment.  That is, the Fair Work Commission should be able to issue a ‘stop sex-based harassment order’ and employers should </w:t>
      </w:r>
      <w:r w:rsidR="00AA641F">
        <w:t xml:space="preserve">be given the confidence that </w:t>
      </w:r>
      <w:r w:rsidR="006C51CD">
        <w:t>if a</w:t>
      </w:r>
      <w:r w:rsidR="00627A10">
        <w:t>n employee engages</w:t>
      </w:r>
      <w:r w:rsidR="00EF4D3B">
        <w:t xml:space="preserve"> in </w:t>
      </w:r>
      <w:r w:rsidR="00AA641F">
        <w:t xml:space="preserve">sex-based harassment </w:t>
      </w:r>
      <w:r w:rsidR="00627A10">
        <w:t>this will be</w:t>
      </w:r>
      <w:r w:rsidR="00AA641F">
        <w:t xml:space="preserve"> a valid</w:t>
      </w:r>
      <w:r w:rsidR="00BE0E9D">
        <w:t xml:space="preserve"> </w:t>
      </w:r>
      <w:r w:rsidR="00EF4D3B">
        <w:t xml:space="preserve">reason for the termination of </w:t>
      </w:r>
      <w:r w:rsidR="00627A10">
        <w:t>their</w:t>
      </w:r>
      <w:r w:rsidR="00EF4D3B">
        <w:t xml:space="preserve"> employment.</w:t>
      </w:r>
    </w:p>
    <w:p w14:paraId="6E7613EE" w14:textId="314216F8" w:rsidR="00BC3D64" w:rsidRPr="00BC3D64" w:rsidRDefault="005E6A18" w:rsidP="00BC3D64">
      <w:pPr>
        <w:pStyle w:val="ListNumber"/>
      </w:pPr>
      <w:r>
        <w:t xml:space="preserve">The Commission welcomes the clarification </w:t>
      </w:r>
      <w:r w:rsidR="0002319F">
        <w:t xml:space="preserve">that victimisation under the SDA </w:t>
      </w:r>
      <w:r w:rsidR="00D20957">
        <w:t xml:space="preserve">can </w:t>
      </w:r>
      <w:r w:rsidR="00CE0E8B">
        <w:t>f</w:t>
      </w:r>
      <w:r w:rsidR="00166239">
        <w:t>orm</w:t>
      </w:r>
      <w:r w:rsidR="00CE0E8B">
        <w:t xml:space="preserve"> the basis of a civil action for unlawful discrimination.  </w:t>
      </w:r>
      <w:proofErr w:type="gramStart"/>
      <w:r w:rsidR="00CE0E8B">
        <w:t>In order to</w:t>
      </w:r>
      <w:proofErr w:type="gramEnd"/>
      <w:r w:rsidR="00CE0E8B">
        <w:t xml:space="preserve"> </w:t>
      </w:r>
      <w:r w:rsidR="0079261E">
        <w:t>fulfil</w:t>
      </w:r>
      <w:r w:rsidR="00F3404F">
        <w:t xml:space="preserve"> the Government’s intention </w:t>
      </w:r>
      <w:r w:rsidR="0079261E">
        <w:t>in r</w:t>
      </w:r>
      <w:r w:rsidR="00F44521">
        <w:t xml:space="preserve">elation to victimisation generally, it is important that equivalent changes are made at the same time to clarify the position under the </w:t>
      </w:r>
      <w:r w:rsidR="00FC520D">
        <w:t>three other federal discrimination laws.</w:t>
      </w:r>
    </w:p>
    <w:p w14:paraId="34C8FD56" w14:textId="54A26E31" w:rsidR="005A6B79" w:rsidRDefault="00555C85" w:rsidP="00A125E2">
      <w:pPr>
        <w:pStyle w:val="ListNumber"/>
      </w:pPr>
      <w:r>
        <w:t xml:space="preserve">Finally, </w:t>
      </w:r>
      <w:r w:rsidR="00DF4D4E">
        <w:t xml:space="preserve">the Commission recommends that a consistent </w:t>
      </w:r>
      <w:r w:rsidR="007D1A75">
        <w:t xml:space="preserve">position be taken with respect to termination </w:t>
      </w:r>
      <w:r w:rsidR="00376B32">
        <w:t xml:space="preserve">of complaints of unlawful discrimination </w:t>
      </w:r>
      <w:r w:rsidR="00E85E43">
        <w:t xml:space="preserve">under each of the federal discrimination laws </w:t>
      </w:r>
      <w:r w:rsidR="00D74B25">
        <w:t>so</w:t>
      </w:r>
      <w:r w:rsidR="00DC34A2">
        <w:t xml:space="preserve"> that </w:t>
      </w:r>
      <w:r w:rsidR="00D74B25">
        <w:t xml:space="preserve">the President </w:t>
      </w:r>
      <w:r w:rsidR="00CD1EDD">
        <w:t>has the discretion to</w:t>
      </w:r>
      <w:r w:rsidR="00D74B25">
        <w:t xml:space="preserve"> terminate any complaint that was lodged more than 24 months after the alleged acts, omissions or practices took place.</w:t>
      </w:r>
    </w:p>
    <w:p w14:paraId="03C7C190" w14:textId="77777777" w:rsidR="00FA73AC" w:rsidRDefault="00A555B7" w:rsidP="00A125E2">
      <w:pPr>
        <w:pStyle w:val="ListNumber"/>
      </w:pPr>
      <w:r>
        <w:t xml:space="preserve">The changes </w:t>
      </w:r>
      <w:r w:rsidR="00FB279A">
        <w:t xml:space="preserve">proposed </w:t>
      </w:r>
      <w:r>
        <w:t xml:space="preserve">in this </w:t>
      </w:r>
      <w:r w:rsidR="00FB279A">
        <w:t xml:space="preserve">Bill will have a significant impact </w:t>
      </w:r>
      <w:r w:rsidR="000D7F5F">
        <w:t>on the effectiveness of</w:t>
      </w:r>
      <w:r w:rsidR="00282A58">
        <w:t xml:space="preserve"> </w:t>
      </w:r>
      <w:r w:rsidR="004A2CCC">
        <w:t>the law in relation to sexual harassment</w:t>
      </w:r>
      <w:r w:rsidR="00592827">
        <w:t>.</w:t>
      </w:r>
      <w:r w:rsidR="007A1560">
        <w:t xml:space="preserve"> </w:t>
      </w:r>
      <w:r w:rsidR="00E40C42">
        <w:t xml:space="preserve"> </w:t>
      </w:r>
      <w:r w:rsidR="00A67845">
        <w:t xml:space="preserve">The </w:t>
      </w:r>
      <w:r w:rsidR="001E2719">
        <w:t xml:space="preserve">improved access to remedies for victims of sexual harassment </w:t>
      </w:r>
      <w:r w:rsidR="003E63ED">
        <w:t xml:space="preserve">will </w:t>
      </w:r>
      <w:r w:rsidR="000F7FEF">
        <w:t xml:space="preserve">also </w:t>
      </w:r>
      <w:r w:rsidR="008904B1">
        <w:t xml:space="preserve">require additional resources for the Commission </w:t>
      </w:r>
      <w:proofErr w:type="gramStart"/>
      <w:r w:rsidR="008904B1">
        <w:t>in order to</w:t>
      </w:r>
      <w:proofErr w:type="gramEnd"/>
      <w:r w:rsidR="008904B1">
        <w:t xml:space="preserve"> </w:t>
      </w:r>
      <w:r w:rsidR="000F7FEF">
        <w:t xml:space="preserve">efficiently </w:t>
      </w:r>
      <w:r w:rsidR="001E70DD">
        <w:t xml:space="preserve">manage an increased number of complaints. </w:t>
      </w:r>
      <w:r w:rsidR="00E40C42">
        <w:t xml:space="preserve"> </w:t>
      </w:r>
      <w:r w:rsidR="001E70DD">
        <w:t xml:space="preserve">While that is not a </w:t>
      </w:r>
      <w:r w:rsidR="008A0402">
        <w:t xml:space="preserve">primary </w:t>
      </w:r>
      <w:r w:rsidR="001E70DD">
        <w:t xml:space="preserve">matter </w:t>
      </w:r>
      <w:r w:rsidR="008A0402">
        <w:t xml:space="preserve">of inquiry </w:t>
      </w:r>
      <w:r w:rsidR="001E70DD">
        <w:t xml:space="preserve">for </w:t>
      </w:r>
      <w:r w:rsidR="000934A8">
        <w:t xml:space="preserve">this Committee, which is focused on </w:t>
      </w:r>
      <w:r w:rsidR="008F15DA">
        <w:t xml:space="preserve">the provisions of </w:t>
      </w:r>
      <w:r w:rsidR="000934A8">
        <w:t xml:space="preserve">the Bill, it will be a matter that needs to be addressed in relation to </w:t>
      </w:r>
      <w:r w:rsidR="00D34748">
        <w:t>the Bill’s</w:t>
      </w:r>
      <w:r w:rsidR="00F05392">
        <w:t xml:space="preserve"> </w:t>
      </w:r>
      <w:r w:rsidR="000934A8">
        <w:t>implementation.</w:t>
      </w:r>
      <w:r w:rsidR="00A67845">
        <w:t xml:space="preserve"> </w:t>
      </w:r>
      <w:r w:rsidR="00E40C42">
        <w:t xml:space="preserve"> </w:t>
      </w:r>
    </w:p>
    <w:p w14:paraId="0BDF231F" w14:textId="22326E8C" w:rsidR="00555C85" w:rsidRPr="00664225" w:rsidRDefault="00F13B9C" w:rsidP="00A125E2">
      <w:pPr>
        <w:pStyle w:val="ListNumber"/>
      </w:pPr>
      <w:r>
        <w:t xml:space="preserve">Subject </w:t>
      </w:r>
      <w:r w:rsidR="0060591C">
        <w:t xml:space="preserve">to </w:t>
      </w:r>
      <w:r w:rsidR="000935D9">
        <w:t xml:space="preserve">the specific recommendations detailed in this submission to </w:t>
      </w:r>
      <w:r w:rsidR="005377AD">
        <w:t xml:space="preserve">further </w:t>
      </w:r>
      <w:r w:rsidR="000935D9">
        <w:t>improve the Bill, the Commission recommends that the Bill be passed.</w:t>
      </w:r>
    </w:p>
    <w:p w14:paraId="66F010F9" w14:textId="77777777" w:rsidR="00D03307" w:rsidRDefault="00D03307" w:rsidP="001C04F6">
      <w:pPr>
        <w:pStyle w:val="Heading1"/>
      </w:pPr>
      <w:bookmarkStart w:id="10" w:name="_Toc525894100"/>
      <w:bookmarkStart w:id="11" w:name="_Toc76719769"/>
      <w:r>
        <w:lastRenderedPageBreak/>
        <w:t>Recommendations</w:t>
      </w:r>
      <w:bookmarkEnd w:id="10"/>
      <w:bookmarkEnd w:id="11"/>
    </w:p>
    <w:p w14:paraId="22C811C0" w14:textId="326E7165" w:rsidR="003423F4" w:rsidRDefault="003423F4" w:rsidP="002A1B0D">
      <w:pPr>
        <w:pStyle w:val="ListNumber"/>
        <w:keepNext/>
      </w:pPr>
      <w:r>
        <w:t xml:space="preserve">The </w:t>
      </w:r>
      <w:r w:rsidR="00DD2052">
        <w:t>C</w:t>
      </w:r>
      <w:r>
        <w:t xml:space="preserve">ommission </w:t>
      </w:r>
      <w:r w:rsidR="00DD2052">
        <w:t xml:space="preserve">makes the following recommendations. </w:t>
      </w:r>
    </w:p>
    <w:p w14:paraId="52010123" w14:textId="53AD3CA4" w:rsidR="00DD2052" w:rsidRPr="00DD2052" w:rsidRDefault="00DD2052" w:rsidP="00DD2052">
      <w:pPr>
        <w:pStyle w:val="ListNumber"/>
        <w:keepNext/>
        <w:numPr>
          <w:ilvl w:val="0"/>
          <w:numId w:val="0"/>
        </w:numPr>
        <w:ind w:left="1094"/>
        <w:rPr>
          <w:b/>
          <w:bCs/>
        </w:rPr>
      </w:pPr>
      <w:r w:rsidRPr="00DD2052">
        <w:rPr>
          <w:b/>
          <w:bCs/>
        </w:rPr>
        <w:t>Recommendation 1</w:t>
      </w:r>
    </w:p>
    <w:p w14:paraId="3DE71789" w14:textId="3110584F" w:rsidR="00D411FA" w:rsidRDefault="00C85CEC" w:rsidP="00D411FA">
      <w:pPr>
        <w:pStyle w:val="ListNumber"/>
        <w:numPr>
          <w:ilvl w:val="0"/>
          <w:numId w:val="0"/>
        </w:numPr>
        <w:ind w:left="1094"/>
      </w:pPr>
      <w:r>
        <w:t>The Commission recommends that c</w:t>
      </w:r>
      <w:r w:rsidR="00D411FA">
        <w:t xml:space="preserve">lause 31 of the Bill be amended to provide that it is an object of the </w:t>
      </w:r>
      <w:r w:rsidR="00D411FA" w:rsidRPr="00D411FA">
        <w:rPr>
          <w:i/>
          <w:iCs/>
        </w:rPr>
        <w:t>Sex Discrimination Act 1984</w:t>
      </w:r>
      <w:r w:rsidR="00D411FA">
        <w:t xml:space="preserve"> (</w:t>
      </w:r>
      <w:proofErr w:type="spellStart"/>
      <w:r w:rsidR="00D411FA">
        <w:t>Cth</w:t>
      </w:r>
      <w:proofErr w:type="spellEnd"/>
      <w:r w:rsidR="00D411FA">
        <w:t>) ‘to achieve substantive equality between women and men’.</w:t>
      </w:r>
    </w:p>
    <w:p w14:paraId="6B6867CE" w14:textId="77777777" w:rsidR="00D411FA" w:rsidRPr="007B2C44" w:rsidRDefault="00D411FA" w:rsidP="00D411FA">
      <w:pPr>
        <w:pStyle w:val="ListNumber"/>
        <w:keepNext/>
        <w:numPr>
          <w:ilvl w:val="0"/>
          <w:numId w:val="0"/>
        </w:numPr>
        <w:ind w:left="1094"/>
        <w:rPr>
          <w:b/>
          <w:bCs/>
        </w:rPr>
      </w:pPr>
      <w:r w:rsidRPr="007B2C44">
        <w:rPr>
          <w:b/>
          <w:bCs/>
        </w:rPr>
        <w:t>Recommendation 2</w:t>
      </w:r>
    </w:p>
    <w:p w14:paraId="1F6346E5" w14:textId="77777777" w:rsidR="00D411FA" w:rsidRDefault="00D411FA" w:rsidP="00D411FA">
      <w:pPr>
        <w:pStyle w:val="ListNumber"/>
        <w:numPr>
          <w:ilvl w:val="0"/>
          <w:numId w:val="0"/>
        </w:numPr>
        <w:ind w:left="1094"/>
      </w:pPr>
      <w:r>
        <w:t>The Commission recommends that proposed s 28AA of the Bill be amended to change the threshold for sex-based harassment from unwelcome conduct of a ‘seriously demeaning’ nature to unwelcome conduct of a ‘demeaning’ nature.</w:t>
      </w:r>
    </w:p>
    <w:p w14:paraId="10FB57DC" w14:textId="77777777" w:rsidR="00D536B7" w:rsidRPr="00D536B7" w:rsidRDefault="00D536B7" w:rsidP="00D536B7">
      <w:pPr>
        <w:pStyle w:val="ListNumber"/>
        <w:keepNext/>
        <w:numPr>
          <w:ilvl w:val="0"/>
          <w:numId w:val="0"/>
        </w:numPr>
        <w:ind w:left="1094"/>
        <w:rPr>
          <w:b/>
          <w:bCs/>
        </w:rPr>
      </w:pPr>
      <w:r w:rsidRPr="00D536B7">
        <w:rPr>
          <w:b/>
          <w:bCs/>
        </w:rPr>
        <w:t>Recommendation 3</w:t>
      </w:r>
    </w:p>
    <w:p w14:paraId="15665037" w14:textId="77777777" w:rsidR="00D536B7" w:rsidRDefault="00D536B7" w:rsidP="00D536B7">
      <w:pPr>
        <w:pStyle w:val="ListNumber"/>
        <w:numPr>
          <w:ilvl w:val="0"/>
          <w:numId w:val="0"/>
        </w:numPr>
        <w:ind w:left="1094"/>
      </w:pPr>
      <w:r>
        <w:t xml:space="preserve">The Commission recommends that the </w:t>
      </w:r>
      <w:r w:rsidRPr="00D536B7">
        <w:rPr>
          <w:i/>
          <w:iCs/>
        </w:rPr>
        <w:t>Sex Discrimination Act 1984</w:t>
      </w:r>
      <w:r>
        <w:t xml:space="preserve"> (</w:t>
      </w:r>
      <w:proofErr w:type="spellStart"/>
      <w:r>
        <w:t>Cth</w:t>
      </w:r>
      <w:proofErr w:type="spellEnd"/>
      <w:r>
        <w:t xml:space="preserve">) be amended to ensure that creating or facilitating an intimidating, hostile, humiliating or offensive environment </w:t>
      </w:r>
      <w:proofErr w:type="gramStart"/>
      <w:r>
        <w:t>on the basis of</w:t>
      </w:r>
      <w:proofErr w:type="gramEnd"/>
      <w:r>
        <w:t xml:space="preserve"> sex is expressly prohibited. </w:t>
      </w:r>
    </w:p>
    <w:p w14:paraId="14DA23D6" w14:textId="77777777" w:rsidR="00B41879" w:rsidRPr="00B34520" w:rsidRDefault="00B41879" w:rsidP="00B41879">
      <w:pPr>
        <w:pStyle w:val="ListNumber"/>
        <w:keepNext/>
        <w:numPr>
          <w:ilvl w:val="0"/>
          <w:numId w:val="0"/>
        </w:numPr>
        <w:ind w:left="1094"/>
        <w:rPr>
          <w:b/>
          <w:bCs/>
        </w:rPr>
      </w:pPr>
      <w:r w:rsidRPr="00B34520">
        <w:rPr>
          <w:b/>
          <w:bCs/>
        </w:rPr>
        <w:t>Recommendation 4</w:t>
      </w:r>
    </w:p>
    <w:p w14:paraId="0F9D8237" w14:textId="5DF9BA76" w:rsidR="00B41879" w:rsidRDefault="00B41879" w:rsidP="00B41879">
      <w:pPr>
        <w:pStyle w:val="ListNumber"/>
        <w:numPr>
          <w:ilvl w:val="0"/>
          <w:numId w:val="0"/>
        </w:numPr>
        <w:ind w:left="1094"/>
      </w:pPr>
      <w:r>
        <w:t>The Commission recommends that the protection in the Bill for unpaid workplace participants including volunteers, interns and students</w:t>
      </w:r>
      <w:r w:rsidR="00A24ED5">
        <w:t xml:space="preserve"> against sexual harassment and sex-based harassment</w:t>
      </w:r>
      <w:r>
        <w:t xml:space="preserve">, also be extended to protect these groups against </w:t>
      </w:r>
      <w:r w:rsidR="00471DCA">
        <w:t xml:space="preserve">sex </w:t>
      </w:r>
      <w:r>
        <w:t xml:space="preserve">discrimination </w:t>
      </w:r>
      <w:r w:rsidR="00471DCA">
        <w:t xml:space="preserve">and </w:t>
      </w:r>
      <w:r>
        <w:t xml:space="preserve">discrimination on each of the grounds set out in the </w:t>
      </w:r>
      <w:r w:rsidRPr="00B73BDA">
        <w:rPr>
          <w:i/>
          <w:iCs/>
        </w:rPr>
        <w:t>Sex Discrimination Act 1984</w:t>
      </w:r>
      <w:r>
        <w:t xml:space="preserve"> (</w:t>
      </w:r>
      <w:proofErr w:type="spellStart"/>
      <w:r>
        <w:t>Cth</w:t>
      </w:r>
      <w:proofErr w:type="spellEnd"/>
      <w:r>
        <w:t xml:space="preserve">), </w:t>
      </w:r>
      <w:r w:rsidRPr="009332D2">
        <w:rPr>
          <w:i/>
          <w:iCs/>
        </w:rPr>
        <w:t>Racial Discrimination Act 1975</w:t>
      </w:r>
      <w:r>
        <w:t xml:space="preserve"> (</w:t>
      </w:r>
      <w:proofErr w:type="spellStart"/>
      <w:r>
        <w:t>Cth</w:t>
      </w:r>
      <w:proofErr w:type="spellEnd"/>
      <w:r>
        <w:t xml:space="preserve">), </w:t>
      </w:r>
      <w:r w:rsidRPr="00B73BDA">
        <w:rPr>
          <w:i/>
          <w:iCs/>
        </w:rPr>
        <w:t>Disability Discrimination Act 1992</w:t>
      </w:r>
      <w:r>
        <w:t xml:space="preserve"> (</w:t>
      </w:r>
      <w:proofErr w:type="spellStart"/>
      <w:r>
        <w:t>Cth</w:t>
      </w:r>
      <w:proofErr w:type="spellEnd"/>
      <w:r>
        <w:t xml:space="preserve">) and </w:t>
      </w:r>
      <w:r w:rsidRPr="00B73BDA">
        <w:rPr>
          <w:i/>
          <w:iCs/>
        </w:rPr>
        <w:t>Age Discrimination Act 2004</w:t>
      </w:r>
      <w:r>
        <w:t xml:space="preserve"> (</w:t>
      </w:r>
      <w:proofErr w:type="spellStart"/>
      <w:r>
        <w:t>Cth</w:t>
      </w:r>
      <w:proofErr w:type="spellEnd"/>
      <w:r>
        <w:t xml:space="preserve">). </w:t>
      </w:r>
    </w:p>
    <w:p w14:paraId="2A9BB48E" w14:textId="77777777" w:rsidR="00C870B2" w:rsidRPr="001A743C" w:rsidRDefault="00C870B2" w:rsidP="00C870B2">
      <w:pPr>
        <w:pStyle w:val="ListNumber"/>
        <w:keepNext/>
        <w:numPr>
          <w:ilvl w:val="0"/>
          <w:numId w:val="0"/>
        </w:numPr>
        <w:ind w:left="1094"/>
        <w:rPr>
          <w:b/>
          <w:bCs/>
        </w:rPr>
      </w:pPr>
      <w:r w:rsidRPr="001A743C">
        <w:rPr>
          <w:b/>
          <w:bCs/>
        </w:rPr>
        <w:t>Recommendation 5</w:t>
      </w:r>
    </w:p>
    <w:p w14:paraId="326A63A2" w14:textId="77777777" w:rsidR="00C870B2" w:rsidRDefault="00C870B2" w:rsidP="00C870B2">
      <w:pPr>
        <w:pStyle w:val="ListNumber"/>
        <w:numPr>
          <w:ilvl w:val="0"/>
          <w:numId w:val="0"/>
        </w:numPr>
        <w:ind w:left="1094"/>
      </w:pPr>
      <w:r>
        <w:t xml:space="preserve">The Commission recommends that the </w:t>
      </w:r>
      <w:r w:rsidRPr="00491EC1">
        <w:rPr>
          <w:i/>
          <w:iCs/>
        </w:rPr>
        <w:t>Sex Discrimination Act 1984</w:t>
      </w:r>
      <w:r>
        <w:t xml:space="preserve"> (</w:t>
      </w:r>
      <w:proofErr w:type="spellStart"/>
      <w:r>
        <w:t>Cth</w:t>
      </w:r>
      <w:proofErr w:type="spellEnd"/>
      <w:r>
        <w:t xml:space="preserve">) be amended to introduce a positive duty on all employers to take reasonable and proportionate measures to eliminate sex discrimination, sexual </w:t>
      </w:r>
      <w:proofErr w:type="gramStart"/>
      <w:r>
        <w:t>harassment</w:t>
      </w:r>
      <w:proofErr w:type="gramEnd"/>
      <w:r>
        <w:t xml:space="preserve"> and victimisation, as far as possible.  In determining whether a measure is reasonable and proportionate, the Act should prescribe the factors that must be considered, including, but not limited to:</w:t>
      </w:r>
    </w:p>
    <w:p w14:paraId="367D1299" w14:textId="77777777" w:rsidR="00C870B2" w:rsidRDefault="00C870B2" w:rsidP="00C870B2">
      <w:pPr>
        <w:pStyle w:val="ListNumber"/>
        <w:numPr>
          <w:ilvl w:val="0"/>
          <w:numId w:val="0"/>
        </w:numPr>
        <w:ind w:left="1094"/>
      </w:pPr>
      <w:r>
        <w:t>(a)</w:t>
      </w:r>
      <w:r>
        <w:tab/>
        <w:t>the size of the person’s business or operations</w:t>
      </w:r>
    </w:p>
    <w:p w14:paraId="773F3BC4" w14:textId="77777777" w:rsidR="00C870B2" w:rsidRDefault="00C870B2" w:rsidP="00C870B2">
      <w:pPr>
        <w:pStyle w:val="ListNumber"/>
        <w:numPr>
          <w:ilvl w:val="0"/>
          <w:numId w:val="0"/>
        </w:numPr>
        <w:ind w:left="1440" w:hanging="346"/>
      </w:pPr>
      <w:r>
        <w:lastRenderedPageBreak/>
        <w:t>(b)</w:t>
      </w:r>
      <w:r>
        <w:tab/>
        <w:t>the nature and circumstances of the person’s business or operations</w:t>
      </w:r>
    </w:p>
    <w:p w14:paraId="4FE4B348" w14:textId="77777777" w:rsidR="00C870B2" w:rsidRDefault="00C870B2" w:rsidP="00C870B2">
      <w:pPr>
        <w:pStyle w:val="ListNumber"/>
        <w:numPr>
          <w:ilvl w:val="0"/>
          <w:numId w:val="0"/>
        </w:numPr>
        <w:ind w:left="1094"/>
      </w:pPr>
      <w:r>
        <w:t>(c)</w:t>
      </w:r>
      <w:r>
        <w:tab/>
        <w:t>the person’s resources</w:t>
      </w:r>
    </w:p>
    <w:p w14:paraId="13BEAC59" w14:textId="77777777" w:rsidR="00C870B2" w:rsidRDefault="00C870B2" w:rsidP="00C870B2">
      <w:pPr>
        <w:pStyle w:val="ListNumber"/>
        <w:numPr>
          <w:ilvl w:val="0"/>
          <w:numId w:val="0"/>
        </w:numPr>
        <w:ind w:left="1094"/>
      </w:pPr>
      <w:r>
        <w:t>(d)</w:t>
      </w:r>
      <w:r>
        <w:tab/>
        <w:t>the person’s business and operational priorities</w:t>
      </w:r>
    </w:p>
    <w:p w14:paraId="14E687FC" w14:textId="77777777" w:rsidR="00C870B2" w:rsidRDefault="00C870B2" w:rsidP="00C870B2">
      <w:pPr>
        <w:pStyle w:val="ListNumber"/>
        <w:numPr>
          <w:ilvl w:val="0"/>
          <w:numId w:val="0"/>
        </w:numPr>
        <w:ind w:left="1094"/>
      </w:pPr>
      <w:r>
        <w:t>(e)</w:t>
      </w:r>
      <w:r>
        <w:tab/>
        <w:t>the practicability and the cost of the measures</w:t>
      </w:r>
    </w:p>
    <w:p w14:paraId="6AFB841E" w14:textId="77777777" w:rsidR="00C870B2" w:rsidRDefault="00C870B2" w:rsidP="00C870B2">
      <w:pPr>
        <w:pStyle w:val="ListNumber"/>
        <w:numPr>
          <w:ilvl w:val="0"/>
          <w:numId w:val="0"/>
        </w:numPr>
        <w:ind w:left="1094"/>
      </w:pPr>
      <w:r>
        <w:t>(f)</w:t>
      </w:r>
      <w:r>
        <w:tab/>
        <w:t>all other relevant facts and circumstances.</w:t>
      </w:r>
    </w:p>
    <w:p w14:paraId="5A381D28" w14:textId="77777777" w:rsidR="00C870B2" w:rsidRPr="00A25D10" w:rsidRDefault="00C870B2" w:rsidP="00C870B2">
      <w:pPr>
        <w:pStyle w:val="ListNumber"/>
        <w:keepNext/>
        <w:numPr>
          <w:ilvl w:val="0"/>
          <w:numId w:val="0"/>
        </w:numPr>
        <w:ind w:left="1094"/>
        <w:rPr>
          <w:b/>
          <w:bCs/>
        </w:rPr>
      </w:pPr>
      <w:r w:rsidRPr="00A25D10">
        <w:rPr>
          <w:b/>
          <w:bCs/>
        </w:rPr>
        <w:t>Recommendation 6</w:t>
      </w:r>
    </w:p>
    <w:p w14:paraId="35C3754D" w14:textId="6E049205" w:rsidR="00C870B2" w:rsidRDefault="00C870B2" w:rsidP="00C870B2">
      <w:pPr>
        <w:pStyle w:val="ListNumber"/>
        <w:numPr>
          <w:ilvl w:val="0"/>
          <w:numId w:val="0"/>
        </w:numPr>
        <w:ind w:left="1094"/>
      </w:pPr>
      <w:r>
        <w:t>The Commission be given the function of assessing compliance with the positive duty, and for enforcement. This may include providing the Commission with the power to:</w:t>
      </w:r>
    </w:p>
    <w:p w14:paraId="2677E8C9" w14:textId="77777777" w:rsidR="00C870B2" w:rsidRDefault="00C870B2" w:rsidP="00C870B2">
      <w:pPr>
        <w:pStyle w:val="ListNumber"/>
        <w:numPr>
          <w:ilvl w:val="0"/>
          <w:numId w:val="0"/>
        </w:numPr>
        <w:ind w:left="1440" w:hanging="346"/>
      </w:pPr>
      <w:r>
        <w:t>(a)</w:t>
      </w:r>
      <w:r>
        <w:tab/>
        <w:t>undertake assessments of the extent to which an organisation has complied with the duty, and issue compliance notices if it considers that an organisation has failed to comply</w:t>
      </w:r>
    </w:p>
    <w:p w14:paraId="612A2A61" w14:textId="77777777" w:rsidR="00C870B2" w:rsidRDefault="00C870B2" w:rsidP="00C870B2">
      <w:pPr>
        <w:pStyle w:val="ListNumber"/>
        <w:numPr>
          <w:ilvl w:val="0"/>
          <w:numId w:val="0"/>
        </w:numPr>
        <w:ind w:left="1440" w:hanging="346"/>
      </w:pPr>
      <w:r>
        <w:t>(b)</w:t>
      </w:r>
      <w:r>
        <w:tab/>
      </w:r>
      <w:proofErr w:type="gramStart"/>
      <w:r>
        <w:t>enter into</w:t>
      </w:r>
      <w:proofErr w:type="gramEnd"/>
      <w:r>
        <w:t xml:space="preserve"> agreements/enforceable undertakings with the organisation</w:t>
      </w:r>
    </w:p>
    <w:p w14:paraId="29A8B065" w14:textId="77777777" w:rsidR="00C870B2" w:rsidRDefault="00C870B2" w:rsidP="00C870B2">
      <w:pPr>
        <w:pStyle w:val="ListNumber"/>
        <w:numPr>
          <w:ilvl w:val="0"/>
          <w:numId w:val="0"/>
        </w:numPr>
        <w:ind w:left="1094"/>
      </w:pPr>
      <w:r>
        <w:t>(c)</w:t>
      </w:r>
      <w:r>
        <w:tab/>
        <w:t>apply to the Court for an order requiring compliance with the duty.</w:t>
      </w:r>
    </w:p>
    <w:p w14:paraId="35884B06" w14:textId="77777777" w:rsidR="003A55F8" w:rsidRPr="00C011D4" w:rsidRDefault="003A55F8" w:rsidP="003A55F8">
      <w:pPr>
        <w:pStyle w:val="ListNumber"/>
        <w:keepNext/>
        <w:numPr>
          <w:ilvl w:val="0"/>
          <w:numId w:val="0"/>
        </w:numPr>
        <w:ind w:left="1094"/>
        <w:rPr>
          <w:b/>
          <w:bCs/>
        </w:rPr>
      </w:pPr>
      <w:r w:rsidRPr="00C011D4">
        <w:rPr>
          <w:b/>
          <w:bCs/>
        </w:rPr>
        <w:t>Recommendation 7</w:t>
      </w:r>
    </w:p>
    <w:p w14:paraId="48B30563" w14:textId="77777777" w:rsidR="003A55F8" w:rsidRDefault="003A55F8" w:rsidP="003A55F8">
      <w:pPr>
        <w:pStyle w:val="ListNumber"/>
        <w:numPr>
          <w:ilvl w:val="0"/>
          <w:numId w:val="0"/>
        </w:numPr>
        <w:ind w:left="1094"/>
      </w:pPr>
      <w:r>
        <w:t xml:space="preserve">The Commission recommends that the </w:t>
      </w:r>
      <w:r w:rsidRPr="00C011D4">
        <w:rPr>
          <w:i/>
          <w:iCs/>
        </w:rPr>
        <w:t>Fair Work Act 2009</w:t>
      </w:r>
      <w:r>
        <w:t xml:space="preserve"> (</w:t>
      </w:r>
      <w:proofErr w:type="spellStart"/>
      <w:r>
        <w:t>Cth</w:t>
      </w:r>
      <w:proofErr w:type="spellEnd"/>
      <w:r>
        <w:t>) be amended to allow the Fair Work Commission to make a stop sex-based harassment order.</w:t>
      </w:r>
    </w:p>
    <w:p w14:paraId="1EE95CE0" w14:textId="77777777" w:rsidR="003A55F8" w:rsidRPr="00336D92" w:rsidRDefault="003A55F8" w:rsidP="003A55F8">
      <w:pPr>
        <w:pStyle w:val="ListNumber"/>
        <w:keepNext/>
        <w:numPr>
          <w:ilvl w:val="0"/>
          <w:numId w:val="0"/>
        </w:numPr>
        <w:ind w:left="1094"/>
        <w:rPr>
          <w:b/>
          <w:bCs/>
        </w:rPr>
      </w:pPr>
      <w:r w:rsidRPr="00336D92">
        <w:rPr>
          <w:b/>
          <w:bCs/>
        </w:rPr>
        <w:t>Recommendation 8</w:t>
      </w:r>
    </w:p>
    <w:p w14:paraId="799CC47B" w14:textId="77777777" w:rsidR="003A55F8" w:rsidRDefault="003A55F8" w:rsidP="003A55F8">
      <w:pPr>
        <w:pStyle w:val="ListNumber"/>
        <w:numPr>
          <w:ilvl w:val="0"/>
          <w:numId w:val="0"/>
        </w:numPr>
        <w:ind w:left="1094"/>
      </w:pPr>
      <w:r>
        <w:t xml:space="preserve">The Commission recommends that clause 10 of the Bill be amended to clarify that sex-based harassment can be conduct amounting to a valid reason for dismissal, in determining whether a dismissal was harsh, </w:t>
      </w:r>
      <w:proofErr w:type="gramStart"/>
      <w:r>
        <w:t>unjust</w:t>
      </w:r>
      <w:proofErr w:type="gramEnd"/>
      <w:r>
        <w:t xml:space="preserve"> or unreasonable.</w:t>
      </w:r>
    </w:p>
    <w:p w14:paraId="0E2A8AFD" w14:textId="77777777" w:rsidR="003A55F8" w:rsidRPr="006248D6" w:rsidRDefault="003A55F8" w:rsidP="003A55F8">
      <w:pPr>
        <w:pStyle w:val="ListNumber"/>
        <w:keepNext/>
        <w:numPr>
          <w:ilvl w:val="0"/>
          <w:numId w:val="0"/>
        </w:numPr>
        <w:ind w:left="1094"/>
        <w:rPr>
          <w:b/>
          <w:bCs/>
        </w:rPr>
      </w:pPr>
      <w:r w:rsidRPr="006248D6">
        <w:rPr>
          <w:b/>
          <w:bCs/>
        </w:rPr>
        <w:t>Recommendation 9</w:t>
      </w:r>
    </w:p>
    <w:p w14:paraId="1122B965" w14:textId="77777777" w:rsidR="003A55F8" w:rsidRPr="00B11B1C" w:rsidRDefault="003A55F8" w:rsidP="003A55F8">
      <w:pPr>
        <w:pStyle w:val="ListNumber"/>
        <w:numPr>
          <w:ilvl w:val="0"/>
          <w:numId w:val="0"/>
        </w:numPr>
        <w:ind w:left="1094"/>
      </w:pPr>
      <w:r>
        <w:t>The Commission recommends that the definition of ‘serious misconduct’ in the Fair Work Regulations 2009 (</w:t>
      </w:r>
      <w:proofErr w:type="spellStart"/>
      <w:r>
        <w:t>Cth</w:t>
      </w:r>
      <w:proofErr w:type="spellEnd"/>
      <w:r>
        <w:t>) be amended to include sex-based harassment.</w:t>
      </w:r>
    </w:p>
    <w:p w14:paraId="7AD703F2" w14:textId="77777777" w:rsidR="00691ACB" w:rsidRPr="005520F9" w:rsidRDefault="00691ACB" w:rsidP="00691ACB">
      <w:pPr>
        <w:pStyle w:val="ListNumber"/>
        <w:keepNext/>
        <w:numPr>
          <w:ilvl w:val="0"/>
          <w:numId w:val="0"/>
        </w:numPr>
        <w:ind w:left="1094"/>
        <w:rPr>
          <w:b/>
          <w:bCs/>
        </w:rPr>
      </w:pPr>
      <w:r w:rsidRPr="005520F9">
        <w:rPr>
          <w:b/>
          <w:bCs/>
        </w:rPr>
        <w:t xml:space="preserve">Recommendation </w:t>
      </w:r>
      <w:r>
        <w:rPr>
          <w:b/>
          <w:bCs/>
        </w:rPr>
        <w:t>10</w:t>
      </w:r>
    </w:p>
    <w:p w14:paraId="25BF6456" w14:textId="77777777" w:rsidR="00691ACB" w:rsidRDefault="00691ACB" w:rsidP="00691ACB">
      <w:pPr>
        <w:pStyle w:val="ListNumber"/>
        <w:numPr>
          <w:ilvl w:val="0"/>
          <w:numId w:val="0"/>
        </w:numPr>
        <w:ind w:left="1094"/>
      </w:pPr>
      <w:r>
        <w:t>The Commission recommends that necessary legislative amendments be made to clarify that victimisation under all four federal discrimination Acts can form the basis of a civil action for unlawful discrimination.</w:t>
      </w:r>
    </w:p>
    <w:p w14:paraId="5AF1CC9F" w14:textId="77777777" w:rsidR="00486825" w:rsidRPr="00624FF1" w:rsidRDefault="00486825" w:rsidP="00486825">
      <w:pPr>
        <w:pStyle w:val="ListNumber"/>
        <w:keepNext/>
        <w:numPr>
          <w:ilvl w:val="0"/>
          <w:numId w:val="0"/>
        </w:numPr>
        <w:ind w:left="1094"/>
        <w:rPr>
          <w:b/>
          <w:bCs/>
        </w:rPr>
      </w:pPr>
      <w:r w:rsidRPr="00624FF1">
        <w:rPr>
          <w:b/>
          <w:bCs/>
        </w:rPr>
        <w:lastRenderedPageBreak/>
        <w:t>Recommendation 11</w:t>
      </w:r>
    </w:p>
    <w:p w14:paraId="0943DD16" w14:textId="77777777" w:rsidR="00486825" w:rsidRDefault="00486825" w:rsidP="00486825">
      <w:pPr>
        <w:pStyle w:val="ListNumber"/>
        <w:numPr>
          <w:ilvl w:val="0"/>
          <w:numId w:val="0"/>
        </w:numPr>
        <w:ind w:left="1094"/>
      </w:pPr>
      <w:r>
        <w:t>The Commission recommends that s 46PH(1)(b) of the AHRC Act be amended to provide that the President may terminate any complaint that was lodged more than 24 months after the alleged acts, omissions or practices took place.</w:t>
      </w:r>
    </w:p>
    <w:p w14:paraId="3AA1DD0C" w14:textId="0A3A6300" w:rsidR="00486825" w:rsidRPr="00B52E4A" w:rsidRDefault="00486825" w:rsidP="00B52E4A">
      <w:pPr>
        <w:pStyle w:val="ListNumber"/>
        <w:keepNext/>
        <w:numPr>
          <w:ilvl w:val="0"/>
          <w:numId w:val="0"/>
        </w:numPr>
        <w:ind w:left="1094"/>
        <w:rPr>
          <w:b/>
        </w:rPr>
      </w:pPr>
      <w:r w:rsidRPr="00B52E4A">
        <w:rPr>
          <w:b/>
        </w:rPr>
        <w:t>Recommendation 12</w:t>
      </w:r>
    </w:p>
    <w:p w14:paraId="53A6E030" w14:textId="477CC313" w:rsidR="00721548" w:rsidRPr="00721548" w:rsidRDefault="00EE5F29" w:rsidP="00721548">
      <w:pPr>
        <w:pStyle w:val="ListNumber"/>
        <w:numPr>
          <w:ilvl w:val="0"/>
          <w:numId w:val="0"/>
        </w:numPr>
        <w:ind w:left="1094"/>
      </w:pPr>
      <w:r>
        <w:t xml:space="preserve">The Commission recommends that, subject to </w:t>
      </w:r>
      <w:r w:rsidR="00B52E4A">
        <w:t>the</w:t>
      </w:r>
      <w:r>
        <w:t xml:space="preserve"> previous recommendations, the Bill be </w:t>
      </w:r>
      <w:r w:rsidR="00B52E4A">
        <w:t>passed.</w:t>
      </w:r>
    </w:p>
    <w:p w14:paraId="705DBECD" w14:textId="2AF0AA64" w:rsidR="003423F4" w:rsidRDefault="00943E9E" w:rsidP="003423F4">
      <w:pPr>
        <w:pStyle w:val="Heading1"/>
      </w:pPr>
      <w:bookmarkStart w:id="12" w:name="_Toc76719770"/>
      <w:r>
        <w:t>Amendments to the Sex Discrimination Act</w:t>
      </w:r>
      <w:bookmarkEnd w:id="12"/>
    </w:p>
    <w:p w14:paraId="576DA652" w14:textId="47C40E86" w:rsidR="003423F4" w:rsidRDefault="002170FC" w:rsidP="002170FC">
      <w:pPr>
        <w:pStyle w:val="Heading2"/>
      </w:pPr>
      <w:bookmarkStart w:id="13" w:name="_Toc76719771"/>
      <w:proofErr w:type="gramStart"/>
      <w:r>
        <w:t>Objects</w:t>
      </w:r>
      <w:proofErr w:type="gramEnd"/>
      <w:r>
        <w:t xml:space="preserve"> clause</w:t>
      </w:r>
      <w:bookmarkEnd w:id="13"/>
    </w:p>
    <w:p w14:paraId="731C66B3" w14:textId="7F426882" w:rsidR="007C43F9" w:rsidRDefault="007C43F9" w:rsidP="00DD2052">
      <w:pPr>
        <w:pStyle w:val="ListNumber"/>
      </w:pPr>
      <w:r>
        <w:t xml:space="preserve">The objects clause </w:t>
      </w:r>
      <w:r w:rsidR="00631B43">
        <w:t>of</w:t>
      </w:r>
      <w:r>
        <w:t xml:space="preserve"> an Act is the mission statement setting out what the piece of legislation seeks to achieve.</w:t>
      </w:r>
      <w:r w:rsidR="006C1571">
        <w:t xml:space="preserve">  It </w:t>
      </w:r>
      <w:r w:rsidR="00AD38C8">
        <w:t xml:space="preserve">has </w:t>
      </w:r>
      <w:r w:rsidR="00F51CD8">
        <w:t>practical</w:t>
      </w:r>
      <w:r w:rsidR="00AD38C8">
        <w:t xml:space="preserve"> legal relevance because, to the extent that the provisions of the Act are ambiguous, </w:t>
      </w:r>
      <w:r w:rsidR="005970AB">
        <w:t xml:space="preserve">they </w:t>
      </w:r>
      <w:r w:rsidR="00AD38C8">
        <w:t xml:space="preserve">will be interpreted in a way that is consistent with its objects. </w:t>
      </w:r>
    </w:p>
    <w:p w14:paraId="476E0112" w14:textId="3B32DA97" w:rsidR="002170FC" w:rsidRDefault="007C43F9" w:rsidP="00DD2052">
      <w:pPr>
        <w:pStyle w:val="ListNumber"/>
      </w:pPr>
      <w:r>
        <w:t xml:space="preserve">The </w:t>
      </w:r>
      <w:proofErr w:type="spellStart"/>
      <w:r>
        <w:t>Respect@Work</w:t>
      </w:r>
      <w:proofErr w:type="spellEnd"/>
      <w:r>
        <w:t xml:space="preserve"> </w:t>
      </w:r>
      <w:r w:rsidR="005970AB">
        <w:t>r</w:t>
      </w:r>
      <w:r>
        <w:t xml:space="preserve">eport recommended that </w:t>
      </w:r>
      <w:r w:rsidR="007F6F42">
        <w:t xml:space="preserve">s 3 </w:t>
      </w:r>
      <w:r w:rsidR="008D138D">
        <w:t xml:space="preserve">of the </w:t>
      </w:r>
      <w:r w:rsidR="00786182">
        <w:t xml:space="preserve">SDA </w:t>
      </w:r>
      <w:r w:rsidR="008D138D">
        <w:t xml:space="preserve">be amended to </w:t>
      </w:r>
      <w:r w:rsidR="005B6EDE">
        <w:t>includ</w:t>
      </w:r>
      <w:r w:rsidR="00803F85">
        <w:t>e</w:t>
      </w:r>
      <w:r w:rsidR="007F6F42">
        <w:t xml:space="preserve"> a statement that one of the objects of the Act is ‘to achieve substantive equality between women and men’.</w:t>
      </w:r>
      <w:r w:rsidR="003A4BD3">
        <w:rPr>
          <w:rStyle w:val="EndnoteReference"/>
        </w:rPr>
        <w:endnoteReference w:id="4"/>
      </w:r>
    </w:p>
    <w:p w14:paraId="31BA8009" w14:textId="3FABE20B" w:rsidR="00BF2BF4" w:rsidRDefault="00912E6C" w:rsidP="00DD2052">
      <w:pPr>
        <w:pStyle w:val="ListNumber"/>
      </w:pPr>
      <w:r>
        <w:t xml:space="preserve">The </w:t>
      </w:r>
      <w:r w:rsidR="000136E3">
        <w:t>concept</w:t>
      </w:r>
      <w:r>
        <w:t xml:space="preserve"> of s</w:t>
      </w:r>
      <w:r w:rsidR="00FA1143" w:rsidRPr="002D7A11">
        <w:t xml:space="preserve">ubstantive equality </w:t>
      </w:r>
      <w:r w:rsidR="00FB5377">
        <w:t xml:space="preserve">recognises that </w:t>
      </w:r>
      <w:r w:rsidR="008D51D9">
        <w:t xml:space="preserve">there is not currently a level playing field for everyone in society.  Some people face individual disadvantage and </w:t>
      </w:r>
      <w:r w:rsidR="009C3E0F">
        <w:t>some groups</w:t>
      </w:r>
      <w:r w:rsidR="0095791D">
        <w:t>, including women,</w:t>
      </w:r>
      <w:r w:rsidR="009C3E0F">
        <w:t xml:space="preserve"> face structural barriers to equal participation in public life. </w:t>
      </w:r>
      <w:r w:rsidR="00BF2BF4">
        <w:t xml:space="preserve"> </w:t>
      </w:r>
    </w:p>
    <w:p w14:paraId="2CC05A64" w14:textId="7BC003BA" w:rsidR="00301552" w:rsidRDefault="00CF23EC" w:rsidP="0032253E">
      <w:pPr>
        <w:pStyle w:val="ListNumber"/>
      </w:pPr>
      <w:r>
        <w:t xml:space="preserve">The SDA already </w:t>
      </w:r>
      <w:r w:rsidR="009A719A">
        <w:t xml:space="preserve">explicitly </w:t>
      </w:r>
      <w:r w:rsidR="00F27A24">
        <w:t>identifies</w:t>
      </w:r>
      <w:r>
        <w:t xml:space="preserve"> </w:t>
      </w:r>
      <w:r w:rsidR="009A719A">
        <w:t>s</w:t>
      </w:r>
      <w:r w:rsidR="00786182">
        <w:t xml:space="preserve">ubstantive equality </w:t>
      </w:r>
      <w:r w:rsidR="009A719A">
        <w:t>as</w:t>
      </w:r>
      <w:r w:rsidR="00786182">
        <w:t xml:space="preserve"> a </w:t>
      </w:r>
      <w:r w:rsidR="009A719A">
        <w:t>goal</w:t>
      </w:r>
      <w:r w:rsidR="00786182">
        <w:t xml:space="preserve">.  Section 7D </w:t>
      </w:r>
      <w:r w:rsidR="007A3ABD">
        <w:t xml:space="preserve">refers to substantive equality when </w:t>
      </w:r>
      <w:r w:rsidR="007A62DB">
        <w:t>deal</w:t>
      </w:r>
      <w:r w:rsidR="007A3ABD">
        <w:t>ing</w:t>
      </w:r>
      <w:r w:rsidR="007A62DB">
        <w:t xml:space="preserve"> with </w:t>
      </w:r>
      <w:r w:rsidR="000D0CBC">
        <w:t xml:space="preserve">‘special </w:t>
      </w:r>
      <w:proofErr w:type="gramStart"/>
      <w:r w:rsidR="000D0CBC">
        <w:t>measures’</w:t>
      </w:r>
      <w:proofErr w:type="gramEnd"/>
      <w:r w:rsidR="000D0CBC">
        <w:t xml:space="preserve">.  The idea behind special measures is that it is sometimes necessary for </w:t>
      </w:r>
      <w:r w:rsidR="00FC1129">
        <w:t xml:space="preserve">differences and disadvantages </w:t>
      </w:r>
      <w:r w:rsidR="00AE5662">
        <w:t xml:space="preserve">between people </w:t>
      </w:r>
      <w:r w:rsidR="00FC1129">
        <w:t xml:space="preserve">to be </w:t>
      </w:r>
      <w:proofErr w:type="gramStart"/>
      <w:r w:rsidR="00FC1129">
        <w:t>taken into account</w:t>
      </w:r>
      <w:proofErr w:type="gramEnd"/>
      <w:r w:rsidR="00FC1129">
        <w:t xml:space="preserve"> in order to ensure that everyone is treated equally and fairly</w:t>
      </w:r>
      <w:r w:rsidR="00AE5662">
        <w:t>.</w:t>
      </w:r>
      <w:r w:rsidR="00FC1129">
        <w:t xml:space="preserve"> </w:t>
      </w:r>
      <w:r w:rsidR="00AE5662">
        <w:t xml:space="preserve"> </w:t>
      </w:r>
    </w:p>
    <w:p w14:paraId="5D75F8F2" w14:textId="5ADCDACA" w:rsidR="00301552" w:rsidRDefault="004720CF" w:rsidP="00DD2052">
      <w:pPr>
        <w:pStyle w:val="ListNumber"/>
      </w:pPr>
      <w:r>
        <w:t xml:space="preserve">Clause 31 of the Bill proposes an amendment to the </w:t>
      </w:r>
      <w:proofErr w:type="gramStart"/>
      <w:r>
        <w:t>objects</w:t>
      </w:r>
      <w:proofErr w:type="gramEnd"/>
      <w:r>
        <w:t xml:space="preserve"> clause</w:t>
      </w:r>
      <w:r w:rsidR="007D1C43">
        <w:t xml:space="preserve">, but one that is </w:t>
      </w:r>
      <w:r w:rsidR="0015377A">
        <w:t xml:space="preserve">different from </w:t>
      </w:r>
      <w:r w:rsidR="007D1C43">
        <w:t xml:space="preserve">that recommended in the </w:t>
      </w:r>
      <w:proofErr w:type="spellStart"/>
      <w:r w:rsidR="007D1C43">
        <w:t>Respect@Work</w:t>
      </w:r>
      <w:proofErr w:type="spellEnd"/>
      <w:r w:rsidR="007D1C43">
        <w:t xml:space="preserve"> report. </w:t>
      </w:r>
      <w:r w:rsidR="001F063F">
        <w:t xml:space="preserve"> </w:t>
      </w:r>
      <w:r w:rsidR="007D1C43">
        <w:t xml:space="preserve">The Bill proposes </w:t>
      </w:r>
      <w:r w:rsidR="00711AA6">
        <w:t xml:space="preserve">to </w:t>
      </w:r>
      <w:r w:rsidR="007134A1">
        <w:t>amend s 3 of the SDA to provide that one of the objects of the Act is ‘to achieve, so far as practicable, equality of opportunity between men and women’.</w:t>
      </w:r>
    </w:p>
    <w:p w14:paraId="008B9B42" w14:textId="36F343D4" w:rsidR="003B1091" w:rsidRDefault="009C22FB" w:rsidP="00DD2052">
      <w:pPr>
        <w:pStyle w:val="ListNumber"/>
      </w:pPr>
      <w:r>
        <w:t xml:space="preserve">The </w:t>
      </w:r>
      <w:r w:rsidRPr="007C709C">
        <w:t>Commission’s</w:t>
      </w:r>
      <w:r>
        <w:t xml:space="preserve"> view is that this is more qualified </w:t>
      </w:r>
      <w:r w:rsidR="007C709C">
        <w:t xml:space="preserve">object </w:t>
      </w:r>
      <w:r w:rsidR="00FB3E7C">
        <w:t xml:space="preserve">and only </w:t>
      </w:r>
      <w:r w:rsidR="004F0BF4">
        <w:t xml:space="preserve">picks up part of Australia’s obligation under </w:t>
      </w:r>
      <w:r w:rsidR="00491C3D">
        <w:t xml:space="preserve">the Convention on the </w:t>
      </w:r>
      <w:r w:rsidR="00491C3D">
        <w:lastRenderedPageBreak/>
        <w:t xml:space="preserve">Elimination of All Forms of Discrimination Against Women which refers to achieving the objective of ‘equality of opportunity </w:t>
      </w:r>
      <w:r w:rsidR="00491C3D" w:rsidRPr="00103905">
        <w:rPr>
          <w:i/>
          <w:iCs/>
        </w:rPr>
        <w:t>and treatment</w:t>
      </w:r>
      <w:r w:rsidR="00491C3D">
        <w:t xml:space="preserve">’ between </w:t>
      </w:r>
      <w:r w:rsidR="00103905">
        <w:t>women and men.</w:t>
      </w:r>
      <w:r w:rsidR="00103905">
        <w:rPr>
          <w:rStyle w:val="EndnoteReference"/>
        </w:rPr>
        <w:endnoteReference w:id="5"/>
      </w:r>
      <w:r w:rsidR="004A711F">
        <w:t xml:space="preserve">  </w:t>
      </w:r>
      <w:r w:rsidR="00ED256F">
        <w:t>Further</w:t>
      </w:r>
      <w:r w:rsidR="004A711F">
        <w:t>, unlike the concept of ‘substantive equality’, the concept of ‘e</w:t>
      </w:r>
      <w:r w:rsidR="001E7276">
        <w:t>quality of opportunity’ is not otherwise contained in the SDA.</w:t>
      </w:r>
    </w:p>
    <w:p w14:paraId="6DF09CC8" w14:textId="4F462B84" w:rsidR="00C07651" w:rsidRDefault="00FD20E0" w:rsidP="00DD2052">
      <w:pPr>
        <w:pStyle w:val="ListNumber"/>
      </w:pPr>
      <w:r>
        <w:t xml:space="preserve">The Commission </w:t>
      </w:r>
      <w:r w:rsidR="001E7276">
        <w:t xml:space="preserve">considers that the proposed object in </w:t>
      </w:r>
      <w:r w:rsidR="00467C5B">
        <w:t xml:space="preserve">recommendation 16(a) </w:t>
      </w:r>
      <w:r w:rsidR="001E7276">
        <w:t xml:space="preserve">of </w:t>
      </w:r>
      <w:r w:rsidR="00467C5B">
        <w:t xml:space="preserve">the </w:t>
      </w:r>
      <w:proofErr w:type="spellStart"/>
      <w:r w:rsidR="00C07651">
        <w:t>Respect@Work</w:t>
      </w:r>
      <w:proofErr w:type="spellEnd"/>
      <w:r w:rsidR="00C07651">
        <w:t xml:space="preserve"> report</w:t>
      </w:r>
      <w:r w:rsidR="001E7276">
        <w:t xml:space="preserve"> is preferrable</w:t>
      </w:r>
      <w:r w:rsidR="00BF5EF2">
        <w:t xml:space="preserve"> and is more in accordance with standard legislative drafting practice because it reflects the existing content of the SDA.</w:t>
      </w:r>
    </w:p>
    <w:p w14:paraId="7AECCF4B" w14:textId="67F6B7F0" w:rsidR="00467C5B" w:rsidRPr="00467C5B" w:rsidRDefault="00467C5B" w:rsidP="00FB6D7B">
      <w:pPr>
        <w:pStyle w:val="ListNumber"/>
        <w:keepNext/>
        <w:numPr>
          <w:ilvl w:val="0"/>
          <w:numId w:val="0"/>
        </w:numPr>
        <w:ind w:left="1094"/>
        <w:rPr>
          <w:b/>
          <w:bCs/>
        </w:rPr>
      </w:pPr>
      <w:r w:rsidRPr="00467C5B">
        <w:rPr>
          <w:b/>
          <w:bCs/>
        </w:rPr>
        <w:t>Recommendation 1</w:t>
      </w:r>
    </w:p>
    <w:p w14:paraId="7EFB51B8" w14:textId="2703E30E" w:rsidR="00467C5B" w:rsidRDefault="00C85CEC" w:rsidP="00467C5B">
      <w:pPr>
        <w:pStyle w:val="ListNumber"/>
        <w:numPr>
          <w:ilvl w:val="0"/>
          <w:numId w:val="0"/>
        </w:numPr>
        <w:ind w:left="1094"/>
      </w:pPr>
      <w:r>
        <w:t>The Commission recommends that c</w:t>
      </w:r>
      <w:r w:rsidR="00467C5B">
        <w:t xml:space="preserve">lause 31 of the Bill be amended to </w:t>
      </w:r>
      <w:r w:rsidR="001D3075">
        <w:t xml:space="preserve">provide that it is an object of the </w:t>
      </w:r>
      <w:r w:rsidR="001D3075" w:rsidRPr="00D411FA">
        <w:rPr>
          <w:i/>
        </w:rPr>
        <w:t>Sex Discrimination Act 1984</w:t>
      </w:r>
      <w:r w:rsidR="001D3075">
        <w:t xml:space="preserve"> (</w:t>
      </w:r>
      <w:proofErr w:type="spellStart"/>
      <w:r w:rsidR="001D3075">
        <w:t>Cth</w:t>
      </w:r>
      <w:proofErr w:type="spellEnd"/>
      <w:r w:rsidR="001D3075">
        <w:t xml:space="preserve">) </w:t>
      </w:r>
      <w:r w:rsidR="00FB6D7B">
        <w:t>‘to achieve substantive equality between women and men’.</w:t>
      </w:r>
    </w:p>
    <w:p w14:paraId="7232495E" w14:textId="1873AB22" w:rsidR="00442629" w:rsidRDefault="00455A1E" w:rsidP="00455A1E">
      <w:pPr>
        <w:pStyle w:val="Heading2"/>
      </w:pPr>
      <w:bookmarkStart w:id="14" w:name="_Toc76719772"/>
      <w:r>
        <w:t>Sex-based harassment</w:t>
      </w:r>
      <w:bookmarkEnd w:id="14"/>
    </w:p>
    <w:p w14:paraId="2878FB03" w14:textId="44D51ACD" w:rsidR="00455A1E" w:rsidRDefault="00E86E97" w:rsidP="00DD2052">
      <w:pPr>
        <w:pStyle w:val="ListNumber"/>
      </w:pPr>
      <w:r>
        <w:t xml:space="preserve">During the Inquiry, the Commission heard that many people experience harassment at work </w:t>
      </w:r>
      <w:r w:rsidR="008F2703">
        <w:t xml:space="preserve">that is </w:t>
      </w:r>
      <w:proofErr w:type="gramStart"/>
      <w:r>
        <w:t>on the basis of</w:t>
      </w:r>
      <w:proofErr w:type="gramEnd"/>
      <w:r>
        <w:t xml:space="preserve"> their sex </w:t>
      </w:r>
      <w:r w:rsidR="00392480">
        <w:t xml:space="preserve">but that is not sexual in nature.  In some cases, courts have found that this kind of conduct may amount to </w:t>
      </w:r>
      <w:r w:rsidR="0061073A">
        <w:t xml:space="preserve">sex discrimination.  However, </w:t>
      </w:r>
      <w:r w:rsidR="002901C3">
        <w:t xml:space="preserve">it would improve </w:t>
      </w:r>
      <w:r w:rsidR="00702330">
        <w:t xml:space="preserve">both the awareness </w:t>
      </w:r>
      <w:r w:rsidR="00CF1C66">
        <w:t xml:space="preserve">about, and availability of, a remedy in these circumstances for </w:t>
      </w:r>
      <w:r w:rsidR="00650A0F">
        <w:t xml:space="preserve">sex-based harassment to be a separate, clearly identified category of unlawful conduct in the SDA. </w:t>
      </w:r>
    </w:p>
    <w:p w14:paraId="4CAC8BE7" w14:textId="6A4DFE6A" w:rsidR="00E367B6" w:rsidRDefault="00650A0F" w:rsidP="00DD2052">
      <w:pPr>
        <w:pStyle w:val="ListNumber"/>
      </w:pPr>
      <w:r>
        <w:t xml:space="preserve">The Commission welcomes </w:t>
      </w:r>
      <w:r w:rsidR="00CF5823">
        <w:t>proposed s </w:t>
      </w:r>
      <w:r w:rsidR="00B9248B">
        <w:t xml:space="preserve">28AA which would prohibit </w:t>
      </w:r>
      <w:r w:rsidR="00177E53">
        <w:t xml:space="preserve">sex-based </w:t>
      </w:r>
      <w:r w:rsidR="00B9248B">
        <w:t>harassment</w:t>
      </w:r>
      <w:r w:rsidR="005B5E0D">
        <w:t>,</w:t>
      </w:r>
      <w:r w:rsidR="00646CA8">
        <w:t xml:space="preserve"> </w:t>
      </w:r>
      <w:r w:rsidR="00283A64">
        <w:t xml:space="preserve">in line with recommendation 16(b) of the </w:t>
      </w:r>
      <w:proofErr w:type="spellStart"/>
      <w:r w:rsidR="00283A64">
        <w:t>Respect@Work</w:t>
      </w:r>
      <w:proofErr w:type="spellEnd"/>
      <w:r w:rsidR="00283A64">
        <w:t xml:space="preserve"> report</w:t>
      </w:r>
      <w:r w:rsidR="00B9248B">
        <w:t>.</w:t>
      </w:r>
      <w:r w:rsidR="007D4EE3">
        <w:t xml:space="preserve">  The </w:t>
      </w:r>
      <w:r w:rsidR="00D3795B">
        <w:t>new provision applies if:</w:t>
      </w:r>
    </w:p>
    <w:p w14:paraId="66499813" w14:textId="2F9DE900" w:rsidR="00D3795B" w:rsidRDefault="000D71CD" w:rsidP="00D3795B">
      <w:pPr>
        <w:pStyle w:val="ListNumber"/>
        <w:numPr>
          <w:ilvl w:val="0"/>
          <w:numId w:val="39"/>
        </w:numPr>
      </w:pPr>
      <w:r>
        <w:t>a</w:t>
      </w:r>
      <w:r w:rsidR="00990C74">
        <w:t xml:space="preserve"> person engages in unwelcome conduct of a seriously demeaning nature </w:t>
      </w:r>
      <w:r w:rsidR="0094643C">
        <w:t xml:space="preserve">in relation to the person harassed because of their sex </w:t>
      </w:r>
      <w:r w:rsidR="00B96EB1">
        <w:t>(or a characteristic that applies to or is generally associated with people of that sex)</w:t>
      </w:r>
      <w:r>
        <w:t>; and</w:t>
      </w:r>
    </w:p>
    <w:p w14:paraId="054AF7BC" w14:textId="25D8323D" w:rsidR="00F16BE7" w:rsidRDefault="000D71CD" w:rsidP="00D3795B">
      <w:pPr>
        <w:pStyle w:val="ListNumber"/>
        <w:numPr>
          <w:ilvl w:val="0"/>
          <w:numId w:val="39"/>
        </w:numPr>
      </w:pPr>
      <w:r>
        <w:t>t</w:t>
      </w:r>
      <w:r w:rsidR="00F16BE7">
        <w:t xml:space="preserve">he person does so in circumstances in which a reasonable person would have anticipated the possibility that the person harassed </w:t>
      </w:r>
      <w:r w:rsidR="00FC51EC">
        <w:t xml:space="preserve">would be offended, </w:t>
      </w:r>
      <w:proofErr w:type="gramStart"/>
      <w:r w:rsidR="00FC51EC">
        <w:t>humiliated</w:t>
      </w:r>
      <w:proofErr w:type="gramEnd"/>
      <w:r w:rsidR="00FC51EC">
        <w:t xml:space="preserve"> or intimidated.</w:t>
      </w:r>
    </w:p>
    <w:p w14:paraId="1D95ACA7" w14:textId="4A91D714" w:rsidR="00B9248B" w:rsidRPr="00133B1D" w:rsidRDefault="000D71CD" w:rsidP="00133B1D">
      <w:pPr>
        <w:pStyle w:val="ListNumber"/>
      </w:pPr>
      <w:r w:rsidRPr="00133B1D">
        <w:t xml:space="preserve">The second of those criteria is </w:t>
      </w:r>
      <w:r w:rsidR="00134FF0">
        <w:t xml:space="preserve">substantially </w:t>
      </w:r>
      <w:r w:rsidRPr="00133B1D">
        <w:t xml:space="preserve">the same as </w:t>
      </w:r>
      <w:r w:rsidR="004D3EEE" w:rsidRPr="00133B1D">
        <w:t>the current sexual harassment provision.  In addition to the (non-ex</w:t>
      </w:r>
      <w:r w:rsidR="00565C1D" w:rsidRPr="00133B1D">
        <w:t>h</w:t>
      </w:r>
      <w:r w:rsidR="004D3EEE" w:rsidRPr="00133B1D">
        <w:t xml:space="preserve">austive) </w:t>
      </w:r>
      <w:r w:rsidR="00565C1D" w:rsidRPr="00133B1D">
        <w:t xml:space="preserve">list of relevant circumstances for the sexual harassment prohibition, the new </w:t>
      </w:r>
      <w:r w:rsidR="0005681D">
        <w:t xml:space="preserve">sex-based harassment </w:t>
      </w:r>
      <w:r w:rsidR="00565C1D" w:rsidRPr="00133B1D">
        <w:t xml:space="preserve">prohibition also </w:t>
      </w:r>
      <w:r w:rsidR="00D16ABC" w:rsidRPr="00133B1D">
        <w:t>identifies the following additional circumstances as relevant:</w:t>
      </w:r>
    </w:p>
    <w:p w14:paraId="38383E02" w14:textId="3A8F86FB" w:rsidR="00D16ABC" w:rsidRDefault="006754BE" w:rsidP="00D16ABC">
      <w:pPr>
        <w:pStyle w:val="ListNumber"/>
        <w:numPr>
          <w:ilvl w:val="0"/>
          <w:numId w:val="39"/>
        </w:numPr>
      </w:pPr>
      <w:r>
        <w:lastRenderedPageBreak/>
        <w:t>any power imbalance in the relationship between the two people</w:t>
      </w:r>
    </w:p>
    <w:p w14:paraId="45A12281" w14:textId="0A23E466" w:rsidR="006754BE" w:rsidRDefault="006754BE" w:rsidP="00D16ABC">
      <w:pPr>
        <w:pStyle w:val="ListNumber"/>
        <w:numPr>
          <w:ilvl w:val="0"/>
          <w:numId w:val="39"/>
        </w:numPr>
      </w:pPr>
      <w:r>
        <w:t>the seriousness of the conduct</w:t>
      </w:r>
    </w:p>
    <w:p w14:paraId="1DFDDED8" w14:textId="30077883" w:rsidR="00133B1D" w:rsidRDefault="00133B1D" w:rsidP="00D16ABC">
      <w:pPr>
        <w:pStyle w:val="ListNumber"/>
        <w:numPr>
          <w:ilvl w:val="0"/>
          <w:numId w:val="39"/>
        </w:numPr>
      </w:pPr>
      <w:r>
        <w:t>whether the conduct has been repeated.</w:t>
      </w:r>
    </w:p>
    <w:p w14:paraId="29A714C7" w14:textId="6F230304" w:rsidR="00133B1D" w:rsidRDefault="00133B1D" w:rsidP="00133B1D">
      <w:pPr>
        <w:pStyle w:val="ListNumber"/>
      </w:pPr>
      <w:r>
        <w:t xml:space="preserve">The Commission considers that there is value in </w:t>
      </w:r>
      <w:r w:rsidR="00C659FB">
        <w:t xml:space="preserve">using the language from the existing sexual harassment provision </w:t>
      </w:r>
      <w:proofErr w:type="gramStart"/>
      <w:r w:rsidR="00C659FB">
        <w:t>in order to</w:t>
      </w:r>
      <w:proofErr w:type="gramEnd"/>
      <w:r w:rsidR="00C659FB">
        <w:t xml:space="preserve"> frame the new </w:t>
      </w:r>
      <w:r w:rsidR="00C00642">
        <w:t>sex-based harassment provision.  This will have the advantage of creating some certainty about the application of the new provision because there is existing caselaw dealing with how the terms in the existing provision should be interpreted.</w:t>
      </w:r>
      <w:r w:rsidR="00E03645">
        <w:t xml:space="preserve">  </w:t>
      </w:r>
      <w:r w:rsidR="00832129">
        <w:t>Improved c</w:t>
      </w:r>
      <w:r w:rsidR="00E03645">
        <w:t xml:space="preserve">onsistency and </w:t>
      </w:r>
      <w:r w:rsidR="00F55F1E">
        <w:t xml:space="preserve">clarity were </w:t>
      </w:r>
      <w:r w:rsidR="00832129">
        <w:t xml:space="preserve">objectives </w:t>
      </w:r>
      <w:r w:rsidR="00D75532">
        <w:t>repeatedly identified by stakeholders th</w:t>
      </w:r>
      <w:r w:rsidR="00D236AB">
        <w:t>roughout the Inquiry</w:t>
      </w:r>
      <w:r w:rsidR="00146574">
        <w:t>.</w:t>
      </w:r>
      <w:r w:rsidR="00146574">
        <w:rPr>
          <w:rStyle w:val="EndnoteReference"/>
        </w:rPr>
        <w:endnoteReference w:id="6"/>
      </w:r>
    </w:p>
    <w:p w14:paraId="45FC0697" w14:textId="1E964F98" w:rsidR="00C00642" w:rsidRDefault="00C00642" w:rsidP="00133B1D">
      <w:pPr>
        <w:pStyle w:val="ListNumber"/>
      </w:pPr>
      <w:r>
        <w:t xml:space="preserve">The key difference between the two provisions </w:t>
      </w:r>
      <w:r w:rsidR="00D73F08">
        <w:t>is that:</w:t>
      </w:r>
    </w:p>
    <w:p w14:paraId="07784E38" w14:textId="0303A62E" w:rsidR="00D73F08" w:rsidRDefault="00DD2B92" w:rsidP="00D73F08">
      <w:pPr>
        <w:pStyle w:val="ListNumber"/>
        <w:numPr>
          <w:ilvl w:val="0"/>
          <w:numId w:val="39"/>
        </w:numPr>
      </w:pPr>
      <w:r>
        <w:t>f</w:t>
      </w:r>
      <w:r w:rsidR="00D73F08">
        <w:t>or sexual harassment, the conduct must be</w:t>
      </w:r>
      <w:r>
        <w:t xml:space="preserve"> an unwelcome sexual advance, an unwelcome request for sexual favours</w:t>
      </w:r>
      <w:r w:rsidR="00604EBB">
        <w:t>, or other unwelcome conduct of a sexual nature</w:t>
      </w:r>
    </w:p>
    <w:p w14:paraId="36F5931C" w14:textId="5272EFD9" w:rsidR="00604EBB" w:rsidRDefault="00604EBB" w:rsidP="00D73F08">
      <w:pPr>
        <w:pStyle w:val="ListNumber"/>
        <w:numPr>
          <w:ilvl w:val="0"/>
          <w:numId w:val="39"/>
        </w:numPr>
      </w:pPr>
      <w:r>
        <w:t xml:space="preserve">for sex-based harassment, the conduct must be </w:t>
      </w:r>
      <w:r w:rsidR="004054B6">
        <w:t>conduct of a seriously demeaning nature.</w:t>
      </w:r>
    </w:p>
    <w:p w14:paraId="5718CAE3" w14:textId="784A8515" w:rsidR="004E6AD6" w:rsidRDefault="00587FDE" w:rsidP="004054B6">
      <w:pPr>
        <w:pStyle w:val="ListNumber"/>
      </w:pPr>
      <w:bookmarkStart w:id="15" w:name="_Ref76232511"/>
      <w:r>
        <w:t xml:space="preserve">The Explanatory Memorandum </w:t>
      </w:r>
      <w:r w:rsidR="00A843CF">
        <w:t xml:space="preserve">says that the intention of the new </w:t>
      </w:r>
      <w:r w:rsidR="007D0796">
        <w:t xml:space="preserve">sex-based harassment </w:t>
      </w:r>
      <w:r w:rsidR="00A843CF">
        <w:t xml:space="preserve">provision is that it would capture conduct of an equivalent degree of </w:t>
      </w:r>
      <w:r w:rsidR="008157E7">
        <w:t>significance</w:t>
      </w:r>
      <w:r w:rsidR="00A843CF">
        <w:t xml:space="preserve"> as the existing </w:t>
      </w:r>
      <w:r w:rsidR="007D0796">
        <w:t>sexual harassment provision.</w:t>
      </w:r>
      <w:r w:rsidR="007D0796">
        <w:rPr>
          <w:rStyle w:val="EndnoteReference"/>
        </w:rPr>
        <w:endnoteReference w:id="7"/>
      </w:r>
      <w:r w:rsidR="008E3EE5">
        <w:t xml:space="preserve">  However, the Commission is concerned that the threshold of ‘seriously demeaning’ for the new provision set</w:t>
      </w:r>
      <w:r w:rsidR="00B32124">
        <w:t>s</w:t>
      </w:r>
      <w:r w:rsidR="008E3EE5">
        <w:t xml:space="preserve"> the bar too high.</w:t>
      </w:r>
      <w:r w:rsidR="00646719">
        <w:t xml:space="preserve">  </w:t>
      </w:r>
      <w:r w:rsidR="00436910">
        <w:t>The Explanatory Memorandum says</w:t>
      </w:r>
      <w:r w:rsidR="004E6AD6">
        <w:t>:</w:t>
      </w:r>
      <w:bookmarkEnd w:id="15"/>
    </w:p>
    <w:p w14:paraId="4E2492DD" w14:textId="739B29E2" w:rsidR="00587FDE" w:rsidRPr="00491653" w:rsidRDefault="004E6AD6" w:rsidP="004E6AD6">
      <w:pPr>
        <w:pStyle w:val="ListNumber"/>
        <w:numPr>
          <w:ilvl w:val="0"/>
          <w:numId w:val="0"/>
        </w:numPr>
        <w:ind w:left="1440"/>
        <w:rPr>
          <w:sz w:val="22"/>
          <w:szCs w:val="22"/>
        </w:rPr>
      </w:pPr>
      <w:proofErr w:type="gramStart"/>
      <w:r w:rsidRPr="00491653">
        <w:rPr>
          <w:sz w:val="22"/>
          <w:szCs w:val="22"/>
        </w:rPr>
        <w:t>B</w:t>
      </w:r>
      <w:r w:rsidR="00436910" w:rsidRPr="00491653">
        <w:rPr>
          <w:sz w:val="22"/>
          <w:szCs w:val="22"/>
        </w:rPr>
        <w:t>y definition, to</w:t>
      </w:r>
      <w:proofErr w:type="gramEnd"/>
      <w:r w:rsidR="00436910" w:rsidRPr="00491653">
        <w:rPr>
          <w:sz w:val="22"/>
          <w:szCs w:val="22"/>
        </w:rPr>
        <w:t xml:space="preserve"> ‘demean’ is to debase or degrade another person</w:t>
      </w:r>
      <w:r w:rsidRPr="00491653">
        <w:rPr>
          <w:sz w:val="22"/>
          <w:szCs w:val="22"/>
        </w:rPr>
        <w:t>.  The inclusion of this term</w:t>
      </w:r>
      <w:r w:rsidR="00491653" w:rsidRPr="00491653">
        <w:rPr>
          <w:sz w:val="22"/>
          <w:szCs w:val="22"/>
        </w:rPr>
        <w:t xml:space="preserve"> is intended to provide an appropriate limit on the scope of conduct captured under this provision.</w:t>
      </w:r>
      <w:r w:rsidR="007B5AEF">
        <w:rPr>
          <w:rStyle w:val="EndnoteReference"/>
        </w:rPr>
        <w:endnoteReference w:id="8"/>
      </w:r>
    </w:p>
    <w:p w14:paraId="3E9B0AF1" w14:textId="719A231A" w:rsidR="00D73F08" w:rsidRDefault="00190F0E" w:rsidP="004054B6">
      <w:pPr>
        <w:pStyle w:val="ListNumber"/>
      </w:pPr>
      <w:r>
        <w:t>The Commission</w:t>
      </w:r>
      <w:r w:rsidR="00491653">
        <w:t>’s view is that conduct that debases or degrades another person is already sufficiently serious to warrant prohibition</w:t>
      </w:r>
      <w:r w:rsidR="000447AC">
        <w:t xml:space="preserve">, and it is unnecessary to further qualify that conduct by requiring that it ‘seriously’ debases or degrades them. </w:t>
      </w:r>
    </w:p>
    <w:p w14:paraId="4141A0EB" w14:textId="51A2D464" w:rsidR="00260B6C" w:rsidRDefault="00494814" w:rsidP="004054B6">
      <w:pPr>
        <w:pStyle w:val="ListNumber"/>
      </w:pPr>
      <w:r>
        <w:t xml:space="preserve">By comparison, the </w:t>
      </w:r>
      <w:r w:rsidR="006D2671">
        <w:t>concept of ‘unwelcome conduct</w:t>
      </w:r>
      <w:r w:rsidR="00B203DD">
        <w:t xml:space="preserve"> of a sexual nature</w:t>
      </w:r>
      <w:r w:rsidR="006D2671">
        <w:t xml:space="preserve">’, has been defined as conduct </w:t>
      </w:r>
      <w:r w:rsidR="00B203DD">
        <w:t>of a sexual nature that is not solic</w:t>
      </w:r>
      <w:r w:rsidR="003B4915">
        <w:t xml:space="preserve">ited or invited, and that the </w:t>
      </w:r>
      <w:r w:rsidR="006A19C0">
        <w:t xml:space="preserve">person on the receiving end </w:t>
      </w:r>
      <w:r w:rsidR="003B4915">
        <w:t>regards as undesir</w:t>
      </w:r>
      <w:r>
        <w:t>able, disagreeable or offensive.</w:t>
      </w:r>
      <w:r w:rsidR="006A19C0">
        <w:rPr>
          <w:rStyle w:val="EndnoteReference"/>
        </w:rPr>
        <w:endnoteReference w:id="9"/>
      </w:r>
    </w:p>
    <w:p w14:paraId="6EBADDFC" w14:textId="4EA97ED9" w:rsidR="00F01DF7" w:rsidRDefault="00F01DF7" w:rsidP="004054B6">
      <w:pPr>
        <w:pStyle w:val="ListNumber"/>
      </w:pPr>
      <w:proofErr w:type="gramStart"/>
      <w:r>
        <w:lastRenderedPageBreak/>
        <w:t>In order to</w:t>
      </w:r>
      <w:proofErr w:type="gramEnd"/>
      <w:r>
        <w:t xml:space="preserve"> achieve the objective of ensuring </w:t>
      </w:r>
      <w:r w:rsidR="008206B5">
        <w:t xml:space="preserve">parity between the </w:t>
      </w:r>
      <w:r w:rsidR="007B2C44">
        <w:t xml:space="preserve">harassment </w:t>
      </w:r>
      <w:r w:rsidR="008206B5">
        <w:t xml:space="preserve">provisions, the Commission recommends that the </w:t>
      </w:r>
      <w:r w:rsidR="00F04A61">
        <w:t>phrase ‘</w:t>
      </w:r>
      <w:r w:rsidR="008206B5">
        <w:t>serious</w:t>
      </w:r>
      <w:r w:rsidR="00F04A61">
        <w:t>ly demeaning’ be replaced with ‘demeaning’.</w:t>
      </w:r>
    </w:p>
    <w:p w14:paraId="710367DD" w14:textId="648E9CFB" w:rsidR="007B6A6F" w:rsidRPr="007B2C44" w:rsidRDefault="007B2C44" w:rsidP="007B2C44">
      <w:pPr>
        <w:pStyle w:val="ListNumber"/>
        <w:keepNext/>
        <w:numPr>
          <w:ilvl w:val="0"/>
          <w:numId w:val="0"/>
        </w:numPr>
        <w:ind w:left="1094"/>
        <w:rPr>
          <w:b/>
          <w:bCs/>
        </w:rPr>
      </w:pPr>
      <w:r w:rsidRPr="007B2C44">
        <w:rPr>
          <w:b/>
          <w:bCs/>
        </w:rPr>
        <w:t>Recommendation 2</w:t>
      </w:r>
    </w:p>
    <w:p w14:paraId="4E29383A" w14:textId="50B90E5D" w:rsidR="007B2C44" w:rsidRDefault="007B2C44" w:rsidP="007B2C44">
      <w:pPr>
        <w:pStyle w:val="ListNumber"/>
        <w:numPr>
          <w:ilvl w:val="0"/>
          <w:numId w:val="0"/>
        </w:numPr>
        <w:ind w:left="1094"/>
      </w:pPr>
      <w:r>
        <w:t xml:space="preserve">The Commission recommends that </w:t>
      </w:r>
      <w:r w:rsidR="00584FBD">
        <w:t xml:space="preserve">proposed s 28AA </w:t>
      </w:r>
      <w:r w:rsidR="009F2A8B">
        <w:t>of the Bill be amended to change the threshold f</w:t>
      </w:r>
      <w:r w:rsidR="00142E03">
        <w:t>or sex-based harassment from unwelcome conduct of a ‘seriously demeaning’ nature to unwelcome conduct of a ‘demeaning’ nature.</w:t>
      </w:r>
    </w:p>
    <w:p w14:paraId="297F74A0" w14:textId="45B9D464" w:rsidR="00AC10EF" w:rsidRPr="00AC10EF" w:rsidRDefault="00847946" w:rsidP="00847946">
      <w:pPr>
        <w:pStyle w:val="Heading2"/>
      </w:pPr>
      <w:bookmarkStart w:id="16" w:name="_Toc76719773"/>
      <w:r>
        <w:t>Hostile work environment</w:t>
      </w:r>
      <w:bookmarkEnd w:id="16"/>
    </w:p>
    <w:p w14:paraId="311AA3E8" w14:textId="2C16A865" w:rsidR="00E74FB7" w:rsidRPr="00E74FB7" w:rsidRDefault="00E106A1" w:rsidP="00E74FB7">
      <w:pPr>
        <w:pStyle w:val="ListNumber"/>
      </w:pPr>
      <w:r>
        <w:t>During the Inquiry, the Commission heard that</w:t>
      </w:r>
      <w:r w:rsidR="00DA5315">
        <w:t xml:space="preserve"> the existence of a sexually permeated, hostile </w:t>
      </w:r>
      <w:r w:rsidR="00A60E3A">
        <w:t xml:space="preserve">work </w:t>
      </w:r>
      <w:r w:rsidR="00DA5315">
        <w:t xml:space="preserve">environment was not routinely recognised </w:t>
      </w:r>
      <w:r w:rsidR="001270D3">
        <w:t xml:space="preserve">as </w:t>
      </w:r>
      <w:r w:rsidR="005B62F6">
        <w:t>constituting sexual harassment.  This includes workplaces</w:t>
      </w:r>
      <w:r w:rsidR="00942A26">
        <w:t xml:space="preserve"> where </w:t>
      </w:r>
      <w:r w:rsidR="00232918">
        <w:t>pornographic material was displayed, or wh</w:t>
      </w:r>
      <w:r w:rsidR="00604F19">
        <w:t>ich were characterised by</w:t>
      </w:r>
      <w:r w:rsidR="00232918">
        <w:t xml:space="preserve"> </w:t>
      </w:r>
      <w:r w:rsidR="00DB0F25">
        <w:t xml:space="preserve">inappropriate </w:t>
      </w:r>
      <w:r w:rsidR="007C3FAB">
        <w:t xml:space="preserve">sexual </w:t>
      </w:r>
      <w:r w:rsidR="001917E8">
        <w:t>comments</w:t>
      </w:r>
      <w:r w:rsidR="007C3FAB">
        <w:t xml:space="preserve">, </w:t>
      </w:r>
      <w:proofErr w:type="gramStart"/>
      <w:r w:rsidR="007C3FAB">
        <w:t>innuendo</w:t>
      </w:r>
      <w:proofErr w:type="gramEnd"/>
      <w:r w:rsidR="007C3FAB">
        <w:t xml:space="preserve"> and offensive jokes.</w:t>
      </w:r>
    </w:p>
    <w:p w14:paraId="3CAEF359" w14:textId="1CD8A8A7" w:rsidR="00983017" w:rsidRDefault="00983017" w:rsidP="004054B6">
      <w:pPr>
        <w:pStyle w:val="ListNumber"/>
      </w:pPr>
      <w:r>
        <w:t>While some early tr</w:t>
      </w:r>
      <w:r w:rsidR="00026271">
        <w:t xml:space="preserve">ibunal decisions recognised that </w:t>
      </w:r>
      <w:r w:rsidR="007D7CD4">
        <w:t xml:space="preserve">a sexually hostile work environment could </w:t>
      </w:r>
      <w:r w:rsidR="00C25075">
        <w:t xml:space="preserve">constitute discrimination on the grounds of sex, there is limited </w:t>
      </w:r>
      <w:r w:rsidR="00222E64">
        <w:t xml:space="preserve">case law on this issue at a federal level under the SDA.  The Inquiry concluded that </w:t>
      </w:r>
      <w:r w:rsidR="00182609">
        <w:t xml:space="preserve">it would be valuable for </w:t>
      </w:r>
      <w:r w:rsidR="00DF6DD5">
        <w:t xml:space="preserve">the SDA to include an </w:t>
      </w:r>
      <w:r w:rsidR="00EB54FE">
        <w:t xml:space="preserve">express prohibition </w:t>
      </w:r>
      <w:r w:rsidR="0070000B">
        <w:t xml:space="preserve">on creating or facilitating </w:t>
      </w:r>
      <w:r w:rsidR="00F9333E">
        <w:t>an intimidating, hostile, humiliating or offensive environment</w:t>
      </w:r>
      <w:r w:rsidR="00D02B78">
        <w:t xml:space="preserve"> </w:t>
      </w:r>
      <w:proofErr w:type="gramStart"/>
      <w:r w:rsidR="00D02B78">
        <w:t>on the basis of</w:t>
      </w:r>
      <w:proofErr w:type="gramEnd"/>
      <w:r w:rsidR="00D02B78">
        <w:t xml:space="preserve"> sex.</w:t>
      </w:r>
      <w:r w:rsidR="008A6035">
        <w:rPr>
          <w:rStyle w:val="EndnoteReference"/>
        </w:rPr>
        <w:endnoteReference w:id="10"/>
      </w:r>
      <w:r w:rsidR="00DF6DD5">
        <w:t xml:space="preserve"> </w:t>
      </w:r>
    </w:p>
    <w:p w14:paraId="2F53E47D" w14:textId="7B920970" w:rsidR="00EB5507" w:rsidRPr="00EB5507" w:rsidRDefault="00CF708C" w:rsidP="00EB5507">
      <w:pPr>
        <w:pStyle w:val="ListNumber"/>
      </w:pPr>
      <w:r>
        <w:t xml:space="preserve">This issue was not directly addressed in the Government’s </w:t>
      </w:r>
      <w:r w:rsidR="002E24BA">
        <w:t>‘</w:t>
      </w:r>
      <w:r>
        <w:t>Roadmap for Respect</w:t>
      </w:r>
      <w:r w:rsidR="002E24BA">
        <w:t>’</w:t>
      </w:r>
      <w:r w:rsidR="002D432C">
        <w:t xml:space="preserve"> </w:t>
      </w:r>
      <w:r w:rsidR="00594D5A">
        <w:t>or in the Bill.</w:t>
      </w:r>
      <w:r w:rsidR="00986077">
        <w:t xml:space="preserve">  The Commission maintains that </w:t>
      </w:r>
      <w:r w:rsidR="00A92C4D">
        <w:t>an amendment of the SDA to this effect would be appropriate.</w:t>
      </w:r>
    </w:p>
    <w:p w14:paraId="61147C1E" w14:textId="3BD090F4" w:rsidR="00A92C4D" w:rsidRPr="00D536B7" w:rsidRDefault="00A92C4D" w:rsidP="00D536B7">
      <w:pPr>
        <w:pStyle w:val="ListNumber"/>
        <w:keepNext/>
        <w:numPr>
          <w:ilvl w:val="0"/>
          <w:numId w:val="0"/>
        </w:numPr>
        <w:ind w:left="1094"/>
        <w:rPr>
          <w:b/>
        </w:rPr>
      </w:pPr>
      <w:r w:rsidRPr="00D536B7">
        <w:rPr>
          <w:b/>
        </w:rPr>
        <w:t>Recommendation 3</w:t>
      </w:r>
    </w:p>
    <w:p w14:paraId="30562F96" w14:textId="7B945C9C" w:rsidR="00EB5507" w:rsidRPr="00EB5507" w:rsidRDefault="00A92C4D" w:rsidP="00D536B7">
      <w:pPr>
        <w:pStyle w:val="ListNumber"/>
        <w:numPr>
          <w:ilvl w:val="0"/>
          <w:numId w:val="0"/>
        </w:numPr>
        <w:ind w:left="1094"/>
      </w:pPr>
      <w:r>
        <w:t>The Co</w:t>
      </w:r>
      <w:r w:rsidR="00D536B7">
        <w:t xml:space="preserve">mmission recommends that the </w:t>
      </w:r>
      <w:r w:rsidR="00D536B7" w:rsidRPr="00D536B7">
        <w:rPr>
          <w:i/>
          <w:iCs/>
        </w:rPr>
        <w:t>Sex Discrimination Act 1984</w:t>
      </w:r>
      <w:r w:rsidR="00D536B7">
        <w:t xml:space="preserve"> (</w:t>
      </w:r>
      <w:proofErr w:type="spellStart"/>
      <w:r w:rsidR="00D536B7">
        <w:t>Cth</w:t>
      </w:r>
      <w:proofErr w:type="spellEnd"/>
      <w:r w:rsidR="00D536B7">
        <w:t xml:space="preserve">) be amended to ensure that creating or facilitating an intimidating, hostile, humiliating or offensive environment </w:t>
      </w:r>
      <w:proofErr w:type="gramStart"/>
      <w:r w:rsidR="00D536B7">
        <w:t>on the basis of</w:t>
      </w:r>
      <w:proofErr w:type="gramEnd"/>
      <w:r w:rsidR="00D536B7">
        <w:t xml:space="preserve"> sex is expressly prohibited. </w:t>
      </w:r>
    </w:p>
    <w:p w14:paraId="4CD99B36" w14:textId="47289E45" w:rsidR="00A7615D" w:rsidRDefault="00916C0D" w:rsidP="00C1609C">
      <w:pPr>
        <w:pStyle w:val="Heading2"/>
      </w:pPr>
      <w:bookmarkStart w:id="17" w:name="_Toc76719774"/>
      <w:r>
        <w:t>Protection for unpaid workplace participants</w:t>
      </w:r>
      <w:bookmarkEnd w:id="17"/>
    </w:p>
    <w:p w14:paraId="0891EF52" w14:textId="03598558" w:rsidR="006E0F3C" w:rsidRDefault="00133730" w:rsidP="00826B69">
      <w:pPr>
        <w:pStyle w:val="ListNumber"/>
      </w:pPr>
      <w:r>
        <w:t xml:space="preserve">The nature of work has fundamentally transformed since the introduction of the </w:t>
      </w:r>
      <w:r w:rsidR="009C73FE">
        <w:t>SDA</w:t>
      </w:r>
      <w:r w:rsidR="003C47D6">
        <w:t xml:space="preserve">.  Traditional definitions of employment </w:t>
      </w:r>
      <w:r w:rsidR="008D6636">
        <w:t xml:space="preserve">and </w:t>
      </w:r>
      <w:r w:rsidR="008D6636">
        <w:lastRenderedPageBreak/>
        <w:t xml:space="preserve">other employment-like relationships </w:t>
      </w:r>
      <w:r w:rsidR="005C30FF">
        <w:t>have failed to keep pace with the ev</w:t>
      </w:r>
      <w:r w:rsidR="008D6636">
        <w:t>olving nature of work and work arrangements.</w:t>
      </w:r>
      <w:r w:rsidR="00DF32C0">
        <w:rPr>
          <w:rStyle w:val="EndnoteReference"/>
        </w:rPr>
        <w:endnoteReference w:id="11"/>
      </w:r>
      <w:r w:rsidR="008D6636">
        <w:t xml:space="preserve"> </w:t>
      </w:r>
    </w:p>
    <w:p w14:paraId="345993BB" w14:textId="7793920C" w:rsidR="009E79AE" w:rsidRDefault="00C1609C" w:rsidP="00F35306">
      <w:pPr>
        <w:pStyle w:val="ListNumber"/>
      </w:pPr>
      <w:r>
        <w:t xml:space="preserve">The Bill </w:t>
      </w:r>
      <w:r w:rsidR="00823857">
        <w:t xml:space="preserve">includes new definitions of ‘worker’ and </w:t>
      </w:r>
      <w:r w:rsidR="00214CA5">
        <w:t xml:space="preserve">‘person conducting a business or undertaking’ </w:t>
      </w:r>
      <w:r w:rsidR="00FF5CF2">
        <w:t xml:space="preserve">that </w:t>
      </w:r>
      <w:r w:rsidR="00214CA5">
        <w:t xml:space="preserve">are taken from the </w:t>
      </w:r>
      <w:r w:rsidR="00214CA5" w:rsidRPr="00D23F8F">
        <w:rPr>
          <w:i/>
          <w:iCs/>
        </w:rPr>
        <w:t>Work Health and Safety Act 2011</w:t>
      </w:r>
      <w:r w:rsidR="00214CA5">
        <w:t xml:space="preserve"> (</w:t>
      </w:r>
      <w:proofErr w:type="spellStart"/>
      <w:r w:rsidR="00214CA5">
        <w:t>Cth</w:t>
      </w:r>
      <w:proofErr w:type="spellEnd"/>
      <w:r w:rsidR="00214CA5">
        <w:t>)</w:t>
      </w:r>
      <w:r w:rsidR="008F6818">
        <w:t xml:space="preserve"> (WHS Act)</w:t>
      </w:r>
      <w:r w:rsidR="00214CA5">
        <w:t>.</w:t>
      </w:r>
      <w:r w:rsidR="009E79AE">
        <w:t xml:space="preserve">  </w:t>
      </w:r>
      <w:r w:rsidR="00A616D6">
        <w:t xml:space="preserve">These definitions </w:t>
      </w:r>
      <w:r w:rsidR="001961CE">
        <w:t xml:space="preserve">are then used in proposed </w:t>
      </w:r>
      <w:r w:rsidR="008B3EFB">
        <w:t>s</w:t>
      </w:r>
      <w:r w:rsidR="001961CE">
        <w:t>s </w:t>
      </w:r>
      <w:r w:rsidR="00784C01">
        <w:t>28</w:t>
      </w:r>
      <w:proofErr w:type="gramStart"/>
      <w:r w:rsidR="00784C01">
        <w:t>B</w:t>
      </w:r>
      <w:r w:rsidR="00BE64D5">
        <w:t>(</w:t>
      </w:r>
      <w:proofErr w:type="gramEnd"/>
      <w:r w:rsidR="00BE64D5">
        <w:t>3)–(7) to</w:t>
      </w:r>
      <w:r w:rsidR="00784C01">
        <w:t xml:space="preserve"> </w:t>
      </w:r>
      <w:r w:rsidR="00933F87">
        <w:t xml:space="preserve">both simplify and </w:t>
      </w:r>
      <w:r w:rsidR="00A616D6">
        <w:t xml:space="preserve">expand </w:t>
      </w:r>
      <w:r w:rsidR="004600BE">
        <w:t>the range of work</w:t>
      </w:r>
      <w:r w:rsidR="00EE3738">
        <w:t>-</w:t>
      </w:r>
      <w:r w:rsidR="006F6AC2">
        <w:t>related</w:t>
      </w:r>
      <w:r w:rsidR="004600BE">
        <w:t xml:space="preserve"> environments in which sexual harassment and sex-based harassment will be prohibited</w:t>
      </w:r>
      <w:r w:rsidR="00BE64D5">
        <w:t xml:space="preserve">.  </w:t>
      </w:r>
    </w:p>
    <w:p w14:paraId="7BA1B544" w14:textId="20AF3C19" w:rsidR="00CE3684" w:rsidRDefault="007150C1" w:rsidP="00F35306">
      <w:pPr>
        <w:pStyle w:val="ListNumber"/>
      </w:pPr>
      <w:r>
        <w:t xml:space="preserve">The new </w:t>
      </w:r>
      <w:r w:rsidR="00173D36">
        <w:t xml:space="preserve">inclusive </w:t>
      </w:r>
      <w:r>
        <w:t xml:space="preserve">definitions </w:t>
      </w:r>
      <w:r w:rsidR="005F712B">
        <w:t xml:space="preserve">will </w:t>
      </w:r>
      <w:r w:rsidR="00D1334A">
        <w:t xml:space="preserve">replace a range of </w:t>
      </w:r>
      <w:r w:rsidR="00173D36">
        <w:t>specific</w:t>
      </w:r>
      <w:r w:rsidR="00D1334A">
        <w:t xml:space="preserve"> </w:t>
      </w:r>
      <w:r w:rsidR="00DA3CDC">
        <w:t xml:space="preserve">work </w:t>
      </w:r>
      <w:r w:rsidR="00D1334A">
        <w:t>relationships</w:t>
      </w:r>
      <w:r w:rsidR="003D1ABD">
        <w:t>,</w:t>
      </w:r>
      <w:r w:rsidR="00D01F8E">
        <w:t xml:space="preserve"> that are not employer/employee relationships</w:t>
      </w:r>
      <w:r w:rsidR="003D1ABD">
        <w:t>,</w:t>
      </w:r>
      <w:r w:rsidR="00D1334A">
        <w:t xml:space="preserve"> in which harassment </w:t>
      </w:r>
      <w:r w:rsidR="005F712B">
        <w:t>is currently</w:t>
      </w:r>
      <w:r w:rsidR="00D1334A">
        <w:t xml:space="preserve"> prohibited.  </w:t>
      </w:r>
      <w:r w:rsidR="004B3222">
        <w:t xml:space="preserve">At present, the SDA prohibits harassment of </w:t>
      </w:r>
      <w:r w:rsidR="00494EB4">
        <w:t>commission agent</w:t>
      </w:r>
      <w:r w:rsidR="00B33BE0">
        <w:t>s,</w:t>
      </w:r>
      <w:r w:rsidR="00494EB4">
        <w:t xml:space="preserve"> contract worker</w:t>
      </w:r>
      <w:r w:rsidR="00B33BE0">
        <w:t xml:space="preserve">s, partners </w:t>
      </w:r>
      <w:r w:rsidR="00494EB4">
        <w:t>in a partnership</w:t>
      </w:r>
      <w:r w:rsidR="000B72D2">
        <w:t xml:space="preserve">, or people seeking to become a worker of that kind.  The </w:t>
      </w:r>
      <w:r w:rsidR="00E46D41">
        <w:t xml:space="preserve">new definitions of ‘worker’ and ‘person conducting a business or undertaking’ will </w:t>
      </w:r>
      <w:r w:rsidR="00AB25B4">
        <w:t xml:space="preserve">replace these specific </w:t>
      </w:r>
      <w:r w:rsidR="00CF7153">
        <w:t>relationships</w:t>
      </w:r>
      <w:r w:rsidR="003667BC">
        <w:t>.  The effect will be to</w:t>
      </w:r>
      <w:r w:rsidR="00CF7153">
        <w:t xml:space="preserve"> </w:t>
      </w:r>
      <w:r w:rsidR="00E46D41">
        <w:t>simplify the</w:t>
      </w:r>
      <w:r w:rsidR="0077249E">
        <w:t xml:space="preserve"> prohibitions, ensure consistency with the WHS Act, </w:t>
      </w:r>
      <w:r w:rsidR="000C5672">
        <w:t xml:space="preserve">and ensure protection for people engaged in work who were not previously </w:t>
      </w:r>
      <w:r w:rsidR="007804A9">
        <w:t xml:space="preserve">protected. </w:t>
      </w:r>
    </w:p>
    <w:p w14:paraId="549C7D1E" w14:textId="7356CF24" w:rsidR="00BE64D5" w:rsidRDefault="00F50413" w:rsidP="00C1609C">
      <w:pPr>
        <w:pStyle w:val="ListNumber"/>
      </w:pPr>
      <w:r>
        <w:t>Crucially, for the first time</w:t>
      </w:r>
      <w:r w:rsidR="003966BD">
        <w:t xml:space="preserve">, the law will </w:t>
      </w:r>
      <w:r w:rsidR="007804A9">
        <w:t xml:space="preserve">clearly </w:t>
      </w:r>
      <w:r w:rsidR="003966BD">
        <w:t xml:space="preserve">protect </w:t>
      </w:r>
      <w:r w:rsidR="00A55D19">
        <w:t xml:space="preserve">unpaid workplace participants like volunteers, </w:t>
      </w:r>
      <w:proofErr w:type="gramStart"/>
      <w:r w:rsidR="00A55D19">
        <w:t>interns</w:t>
      </w:r>
      <w:proofErr w:type="gramEnd"/>
      <w:r w:rsidR="00A55D19">
        <w:t xml:space="preserve"> and students, as well as people who are self-employed</w:t>
      </w:r>
      <w:r w:rsidR="00FE2C77">
        <w:t>,</w:t>
      </w:r>
      <w:r w:rsidR="008C6035">
        <w:t xml:space="preserve"> from harassment</w:t>
      </w:r>
      <w:r w:rsidR="00A55D19">
        <w:t>.</w:t>
      </w:r>
      <w:r w:rsidR="006027FD">
        <w:t xml:space="preserve">  </w:t>
      </w:r>
    </w:p>
    <w:p w14:paraId="6955AA9B" w14:textId="665A7605" w:rsidR="00FC03B8" w:rsidRPr="00FC03B8" w:rsidRDefault="00BE64D5" w:rsidP="00FC03B8">
      <w:pPr>
        <w:pStyle w:val="ListNumber"/>
      </w:pPr>
      <w:r>
        <w:t xml:space="preserve">The Commission welcomes these amendments which </w:t>
      </w:r>
      <w:r w:rsidR="0021616D">
        <w:t>implement</w:t>
      </w:r>
      <w:r w:rsidR="00083177">
        <w:t xml:space="preserve"> recommendation 16(d) of the </w:t>
      </w:r>
      <w:proofErr w:type="spellStart"/>
      <w:r w:rsidR="00083177">
        <w:t>Respect@Work</w:t>
      </w:r>
      <w:proofErr w:type="spellEnd"/>
      <w:r w:rsidR="00083177">
        <w:t xml:space="preserve"> report.</w:t>
      </w:r>
      <w:r w:rsidR="000413CD">
        <w:t xml:space="preserve">  The amendments also </w:t>
      </w:r>
      <w:r w:rsidR="00D9799A">
        <w:t>fit neatly into the model proposed by the Sex Discrimination Commissioner of improv</w:t>
      </w:r>
      <w:r w:rsidR="00DE3EBC">
        <w:t>ing</w:t>
      </w:r>
      <w:r w:rsidR="00D9799A">
        <w:t xml:space="preserve"> the coordination, consistency and clarity between anti-discrimination, employment and work health and safety legislative schemes</w:t>
      </w:r>
      <w:r w:rsidR="00DE3EBC">
        <w:t>.</w:t>
      </w:r>
    </w:p>
    <w:p w14:paraId="34123555" w14:textId="5EC4FB15" w:rsidR="00B42C53" w:rsidRDefault="000A7A0E" w:rsidP="00B42C53">
      <w:pPr>
        <w:pStyle w:val="ListNumber"/>
      </w:pPr>
      <w:r>
        <w:t xml:space="preserve">While the </w:t>
      </w:r>
      <w:proofErr w:type="spellStart"/>
      <w:r>
        <w:t>Respect@Work</w:t>
      </w:r>
      <w:proofErr w:type="spellEnd"/>
      <w:r>
        <w:t xml:space="preserve"> report was focused on issues of sexua</w:t>
      </w:r>
      <w:r w:rsidR="00EA37D4">
        <w:t>l harassment in the workplace</w:t>
      </w:r>
      <w:r w:rsidR="00910BAB">
        <w:t xml:space="preserve">, </w:t>
      </w:r>
      <w:r w:rsidR="00E22034">
        <w:t>the</w:t>
      </w:r>
      <w:r w:rsidR="007F6A01">
        <w:t xml:space="preserve">re are further opportunities to build on </w:t>
      </w:r>
      <w:r w:rsidR="00580769">
        <w:t>this</w:t>
      </w:r>
      <w:r w:rsidR="00E22034">
        <w:t xml:space="preserve"> improved c</w:t>
      </w:r>
      <w:r w:rsidR="00B06870">
        <w:t xml:space="preserve">onsistency between discrimination and </w:t>
      </w:r>
      <w:r w:rsidR="00AD4864">
        <w:t>workplace laws</w:t>
      </w:r>
      <w:r w:rsidR="00580769">
        <w:t>.</w:t>
      </w:r>
      <w:r>
        <w:t xml:space="preserve"> </w:t>
      </w:r>
      <w:r w:rsidR="001A7776">
        <w:t xml:space="preserve"> One aspect of this that the Commission has </w:t>
      </w:r>
      <w:r w:rsidR="004856F9">
        <w:t xml:space="preserve">long advocated for is to expand the coverage of discrimination laws to protect </w:t>
      </w:r>
      <w:r w:rsidR="001C5134">
        <w:t xml:space="preserve">volunteers and </w:t>
      </w:r>
      <w:r w:rsidR="00C5338B">
        <w:t>interns who</w:t>
      </w:r>
      <w:r w:rsidR="004214F2">
        <w:t>, at present,</w:t>
      </w:r>
      <w:r w:rsidR="00C5338B">
        <w:t xml:space="preserve"> are not covered by the </w:t>
      </w:r>
      <w:r w:rsidR="007029F2">
        <w:t>definition</w:t>
      </w:r>
      <w:r w:rsidR="004856F9">
        <w:t xml:space="preserve"> of </w:t>
      </w:r>
      <w:r w:rsidR="007029F2">
        <w:t>employment</w:t>
      </w:r>
      <w:r w:rsidR="004856F9">
        <w:t>.</w:t>
      </w:r>
      <w:r w:rsidR="0034645B">
        <w:rPr>
          <w:rStyle w:val="EndnoteReference"/>
        </w:rPr>
        <w:endnoteReference w:id="12"/>
      </w:r>
    </w:p>
    <w:p w14:paraId="620B6C28" w14:textId="22EAA9AC" w:rsidR="00FA1CD1" w:rsidRDefault="00FA1CD1" w:rsidP="00FB3511">
      <w:pPr>
        <w:pStyle w:val="ListNumber"/>
      </w:pPr>
      <w:r>
        <w:t xml:space="preserve">While the Bill provides </w:t>
      </w:r>
      <w:r w:rsidR="00E13923">
        <w:t xml:space="preserve">volunteers and interns with </w:t>
      </w:r>
      <w:r>
        <w:t xml:space="preserve">protection against sexual harassment and sex-based harassment, they will not be able to make a claim of sex discrimination.  This is problematic because </w:t>
      </w:r>
      <w:r w:rsidR="0003170C">
        <w:t>many claims of sexual harassment also include a claim of sex discrimination.</w:t>
      </w:r>
    </w:p>
    <w:p w14:paraId="73133C43" w14:textId="77777777" w:rsidR="0016212B" w:rsidRDefault="0016212B" w:rsidP="0016212B">
      <w:pPr>
        <w:pStyle w:val="ListNumber"/>
      </w:pPr>
      <w:bookmarkStart w:id="18" w:name="_Ref76462802"/>
      <w:r>
        <w:lastRenderedPageBreak/>
        <w:t xml:space="preserve">The </w:t>
      </w:r>
      <w:proofErr w:type="spellStart"/>
      <w:r>
        <w:t>Respect@Work</w:t>
      </w:r>
      <w:proofErr w:type="spellEnd"/>
      <w:r>
        <w:t xml:space="preserve"> report emphasised that framing an appropriate regulatory response to sexual harassment required examining the problem through an intersectional lens.</w:t>
      </w:r>
      <w:r>
        <w:rPr>
          <w:rStyle w:val="EndnoteReference"/>
        </w:rPr>
        <w:endnoteReference w:id="13"/>
      </w:r>
      <w:r>
        <w:t xml:space="preserve">  The concept of ‘intersectional’ discrimination refers to the fact that people often experience multiple overlapping forms of discrimination and harassment, for example </w:t>
      </w:r>
      <w:proofErr w:type="gramStart"/>
      <w:r>
        <w:t>on the basis of</w:t>
      </w:r>
      <w:proofErr w:type="gramEnd"/>
      <w:r>
        <w:t xml:space="preserve"> gender, race, disability or sexuality.</w:t>
      </w:r>
      <w:r>
        <w:rPr>
          <w:rStyle w:val="EndnoteReference"/>
        </w:rPr>
        <w:endnoteReference w:id="14"/>
      </w:r>
      <w:bookmarkEnd w:id="18"/>
    </w:p>
    <w:p w14:paraId="1F7BFFDB" w14:textId="358009A2" w:rsidR="0016212B" w:rsidRDefault="00965682" w:rsidP="0016212B">
      <w:pPr>
        <w:pStyle w:val="ListNumber"/>
      </w:pPr>
      <w:r>
        <w:t xml:space="preserve">The intersectional nature of discrimination means that </w:t>
      </w:r>
      <w:r w:rsidR="00DC0A55">
        <w:t>it is not only important to have consistency between the coverage of sexual harassment and sex discrimination provisions</w:t>
      </w:r>
      <w:r w:rsidR="00254473">
        <w:t>,</w:t>
      </w:r>
      <w:r w:rsidR="00DC0A55">
        <w:t xml:space="preserve"> </w:t>
      </w:r>
      <w:proofErr w:type="gramStart"/>
      <w:r w:rsidR="00DC0A55">
        <w:t>it is also important</w:t>
      </w:r>
      <w:proofErr w:type="gramEnd"/>
      <w:r w:rsidR="00DC0A55">
        <w:t xml:space="preserve"> that there is consistency </w:t>
      </w:r>
      <w:r w:rsidR="00254473">
        <w:t xml:space="preserve">between </w:t>
      </w:r>
      <w:r w:rsidR="00A94BB8">
        <w:t xml:space="preserve">the coverage of discrimination on different grounds.  </w:t>
      </w:r>
      <w:r w:rsidR="0016212B">
        <w:t xml:space="preserve">The experience of the Commission is that many people who make complaints under the SDA also make related complaints under the DDA or RDA in relation to the same conduct.  </w:t>
      </w:r>
    </w:p>
    <w:p w14:paraId="31D6B284" w14:textId="3B9E05DD" w:rsidR="00A20B25" w:rsidRDefault="00DF4E8B" w:rsidP="00FB3511">
      <w:pPr>
        <w:pStyle w:val="ListNumber"/>
      </w:pPr>
      <w:r>
        <w:t>Each of the four federal discrimination Act</w:t>
      </w:r>
      <w:r w:rsidR="001617E7">
        <w:t>s</w:t>
      </w:r>
      <w:r>
        <w:t xml:space="preserve"> contain</w:t>
      </w:r>
      <w:r w:rsidR="00833502">
        <w:t>s</w:t>
      </w:r>
      <w:r>
        <w:t xml:space="preserve"> specific prohibitions on discrimination in the workplace, but none of them extend to </w:t>
      </w:r>
      <w:r w:rsidR="00B006A0">
        <w:t>unpaid workplace participants</w:t>
      </w:r>
      <w:r w:rsidR="009332D2">
        <w:t>.</w:t>
      </w:r>
      <w:r w:rsidR="009332D2">
        <w:rPr>
          <w:rStyle w:val="EndnoteReference"/>
        </w:rPr>
        <w:endnoteReference w:id="15"/>
      </w:r>
      <w:r w:rsidR="00A26493">
        <w:t xml:space="preserve">  </w:t>
      </w:r>
      <w:r w:rsidR="009223EA">
        <w:t xml:space="preserve">Instead, </w:t>
      </w:r>
      <w:r w:rsidR="001817AA">
        <w:t xml:space="preserve">in addition to protections for employees, </w:t>
      </w:r>
      <w:r w:rsidR="009223EA">
        <w:t xml:space="preserve">they all </w:t>
      </w:r>
      <w:r w:rsidR="00B22C2A">
        <w:t>refer to the particular kinds of relationships (</w:t>
      </w:r>
      <w:r w:rsidR="00917A95">
        <w:t>commission agent</w:t>
      </w:r>
      <w:r w:rsidR="009671E1">
        <w:t xml:space="preserve">s, </w:t>
      </w:r>
      <w:r w:rsidR="00917A95">
        <w:t>contract worker</w:t>
      </w:r>
      <w:r w:rsidR="009671E1">
        <w:t>s,</w:t>
      </w:r>
      <w:r w:rsidR="00917A95">
        <w:t xml:space="preserve"> partners in a partnership) </w:t>
      </w:r>
      <w:r w:rsidR="00B22C2A">
        <w:t>that are replaced</w:t>
      </w:r>
      <w:r w:rsidR="00917A95">
        <w:t xml:space="preserve"> </w:t>
      </w:r>
      <w:r w:rsidR="00B455E1">
        <w:t>in</w:t>
      </w:r>
      <w:r w:rsidR="00652CB9">
        <w:t xml:space="preserve"> the Bill </w:t>
      </w:r>
      <w:r w:rsidR="001018EA">
        <w:t xml:space="preserve">with protection for ‘workers’ against </w:t>
      </w:r>
      <w:r w:rsidR="00652CB9">
        <w:t>sexual harassment.</w:t>
      </w:r>
    </w:p>
    <w:p w14:paraId="4838D386" w14:textId="1A5B473D" w:rsidR="00DF4E8B" w:rsidRDefault="00B0271B" w:rsidP="00FB3511">
      <w:pPr>
        <w:pStyle w:val="ListNumber"/>
      </w:pPr>
      <w:r>
        <w:t>For consistency, t</w:t>
      </w:r>
      <w:r w:rsidR="00A26493">
        <w:t>he</w:t>
      </w:r>
      <w:r w:rsidR="00477F3C">
        <w:t xml:space="preserve"> protections </w:t>
      </w:r>
      <w:r w:rsidR="001963C3">
        <w:t xml:space="preserve">against harassment that the </w:t>
      </w:r>
      <w:r w:rsidR="00A26493">
        <w:t xml:space="preserve">Bill </w:t>
      </w:r>
      <w:r w:rsidR="001963C3">
        <w:t>provides</w:t>
      </w:r>
      <w:r w:rsidR="00477F3C">
        <w:t xml:space="preserve"> to volunteers and </w:t>
      </w:r>
      <w:r w:rsidR="00A26493">
        <w:t>interns</w:t>
      </w:r>
      <w:r w:rsidR="00B41F92">
        <w:t xml:space="preserve"> </w:t>
      </w:r>
      <w:r w:rsidR="00122CB0">
        <w:t xml:space="preserve">through this new definition of ‘worker’ </w:t>
      </w:r>
      <w:r w:rsidR="00B41F92">
        <w:t xml:space="preserve">should </w:t>
      </w:r>
      <w:r w:rsidR="00AE559D">
        <w:t xml:space="preserve">be </w:t>
      </w:r>
      <w:r w:rsidR="00B95873">
        <w:t xml:space="preserve">extended to </w:t>
      </w:r>
      <w:r w:rsidR="001F3C8B">
        <w:t xml:space="preserve">protection against </w:t>
      </w:r>
      <w:r w:rsidR="00B95873">
        <w:t>discrimination under</w:t>
      </w:r>
      <w:r w:rsidR="0044710C">
        <w:t xml:space="preserve"> the SDA and </w:t>
      </w:r>
      <w:r w:rsidR="00972E05">
        <w:t xml:space="preserve">discrimination under </w:t>
      </w:r>
      <w:r w:rsidR="00FB54A5">
        <w:t>the</w:t>
      </w:r>
      <w:r w:rsidR="00AE559D">
        <w:t xml:space="preserve"> other </w:t>
      </w:r>
      <w:r w:rsidR="00FB54A5">
        <w:t xml:space="preserve">three </w:t>
      </w:r>
      <w:r w:rsidR="002F3BFA">
        <w:t>federal discrimination law</w:t>
      </w:r>
      <w:r w:rsidR="006F2AC0">
        <w:t>s</w:t>
      </w:r>
      <w:r w:rsidR="0027627A">
        <w:t>.</w:t>
      </w:r>
      <w:r w:rsidR="00477F3C">
        <w:t xml:space="preserve"> </w:t>
      </w:r>
      <w:r w:rsidR="000910DB">
        <w:t xml:space="preserve"> </w:t>
      </w:r>
      <w:r w:rsidR="00EF2037">
        <w:t>It appears that t</w:t>
      </w:r>
      <w:r w:rsidR="00A20B25">
        <w:t xml:space="preserve">his could most effectively be done by </w:t>
      </w:r>
      <w:r w:rsidR="005136D3">
        <w:t xml:space="preserve">replacing </w:t>
      </w:r>
      <w:r w:rsidR="00FF449E">
        <w:t xml:space="preserve">the various prohibitions </w:t>
      </w:r>
      <w:r w:rsidR="00281B3E">
        <w:t xml:space="preserve">on discriminating against </w:t>
      </w:r>
      <w:r w:rsidR="00FF449E">
        <w:t xml:space="preserve">commission agents, contract workers and partners with simplified prohibitions </w:t>
      </w:r>
      <w:r w:rsidR="00281B3E">
        <w:t xml:space="preserve">on discriminating </w:t>
      </w:r>
      <w:r w:rsidR="00FF449E">
        <w:t xml:space="preserve">against </w:t>
      </w:r>
      <w:r w:rsidR="00281B3E">
        <w:t>‘workers’ as defined in the WHS Act.</w:t>
      </w:r>
    </w:p>
    <w:p w14:paraId="127F33E7" w14:textId="44B69DE9" w:rsidR="00C612E8" w:rsidRPr="00C612E8" w:rsidRDefault="001E4B9E" w:rsidP="00C612E8">
      <w:pPr>
        <w:pStyle w:val="ListNumber"/>
      </w:pPr>
      <w:r w:rsidRPr="001E4B9E">
        <w:t xml:space="preserve">There are many people who participate in public life as </w:t>
      </w:r>
      <w:proofErr w:type="gramStart"/>
      <w:r w:rsidRPr="001E4B9E">
        <w:t>volunteers</w:t>
      </w:r>
      <w:proofErr w:type="gramEnd"/>
      <w:r w:rsidRPr="001E4B9E">
        <w:t xml:space="preserve"> and they should have the benefit of protection from discrimination. </w:t>
      </w:r>
      <w:r w:rsidR="00DB6FC0">
        <w:t xml:space="preserve"> </w:t>
      </w:r>
      <w:r w:rsidR="0066748F">
        <w:t>Similarly, i</w:t>
      </w:r>
      <w:r w:rsidR="000910DB">
        <w:t xml:space="preserve">nternships are commonly part of higher education courses and can be critically important for young people seeking to enter the workforce.  Protecting </w:t>
      </w:r>
      <w:r w:rsidR="005E0F81">
        <w:t>this</w:t>
      </w:r>
      <w:r w:rsidR="000910DB">
        <w:t xml:space="preserve"> vulnerable cohort of people </w:t>
      </w:r>
      <w:r w:rsidR="005E0F81">
        <w:t xml:space="preserve">from sexual harassment and sex-based harassment is a welcome </w:t>
      </w:r>
      <w:r w:rsidR="005675AD">
        <w:t>reform.</w:t>
      </w:r>
      <w:r w:rsidR="0091389B">
        <w:t xml:space="preserve">  The Commission urges the Government to </w:t>
      </w:r>
      <w:proofErr w:type="gramStart"/>
      <w:r w:rsidR="0091389B">
        <w:t xml:space="preserve">now also </w:t>
      </w:r>
      <w:r w:rsidR="00C33B63">
        <w:t>include</w:t>
      </w:r>
      <w:r w:rsidR="0091389B">
        <w:t xml:space="preserve"> them</w:t>
      </w:r>
      <w:proofErr w:type="gramEnd"/>
      <w:r w:rsidR="0091389B">
        <w:t xml:space="preserve"> </w:t>
      </w:r>
      <w:r w:rsidR="00C33B63">
        <w:t xml:space="preserve">within the </w:t>
      </w:r>
      <w:r w:rsidR="0091389B">
        <w:t>protect</w:t>
      </w:r>
      <w:r w:rsidR="00C33B63">
        <w:t xml:space="preserve">ions against </w:t>
      </w:r>
      <w:r w:rsidR="00B35E53">
        <w:t xml:space="preserve">sex discrimination and </w:t>
      </w:r>
      <w:r w:rsidR="00C33B63">
        <w:t xml:space="preserve">other </w:t>
      </w:r>
      <w:r w:rsidR="00FE6E96">
        <w:t>prohibited</w:t>
      </w:r>
      <w:r w:rsidR="0041628C">
        <w:t xml:space="preserve"> </w:t>
      </w:r>
      <w:r w:rsidR="00C33B63">
        <w:t>forms of discriminat</w:t>
      </w:r>
      <w:r w:rsidR="00BA1C98">
        <w:t xml:space="preserve">ory conduct. </w:t>
      </w:r>
    </w:p>
    <w:p w14:paraId="5687B4B0" w14:textId="6208959D" w:rsidR="00FD1EDA" w:rsidRPr="00B34520" w:rsidRDefault="00BA1C98" w:rsidP="00C96902">
      <w:pPr>
        <w:pStyle w:val="ListNumber"/>
        <w:keepNext/>
        <w:numPr>
          <w:ilvl w:val="0"/>
          <w:numId w:val="0"/>
        </w:numPr>
        <w:ind w:left="1094"/>
        <w:rPr>
          <w:b/>
        </w:rPr>
      </w:pPr>
      <w:r w:rsidRPr="00B34520">
        <w:rPr>
          <w:b/>
        </w:rPr>
        <w:lastRenderedPageBreak/>
        <w:t xml:space="preserve">Recommendation </w:t>
      </w:r>
      <w:r w:rsidR="00D64DD6" w:rsidRPr="00B34520">
        <w:rPr>
          <w:b/>
        </w:rPr>
        <w:t>4</w:t>
      </w:r>
    </w:p>
    <w:p w14:paraId="52C3AC64" w14:textId="697C6362" w:rsidR="00A7615D" w:rsidRDefault="00512B28" w:rsidP="00D536B7">
      <w:pPr>
        <w:pStyle w:val="ListNumber"/>
        <w:numPr>
          <w:ilvl w:val="0"/>
          <w:numId w:val="0"/>
        </w:numPr>
        <w:ind w:left="1094"/>
      </w:pPr>
      <w:r>
        <w:t xml:space="preserve">The Commission recommends that </w:t>
      </w:r>
      <w:r w:rsidR="00F61D0F">
        <w:t xml:space="preserve">the </w:t>
      </w:r>
      <w:r w:rsidR="005D33A6">
        <w:t xml:space="preserve">protection </w:t>
      </w:r>
      <w:r w:rsidR="004A66A6">
        <w:t xml:space="preserve">in the Bill </w:t>
      </w:r>
      <w:r w:rsidR="005D33A6">
        <w:t>for unpaid workplace participants including volunteers, interns and students</w:t>
      </w:r>
      <w:r w:rsidR="005914A9">
        <w:t xml:space="preserve"> against sexual harassment and sex-based harassment</w:t>
      </w:r>
      <w:r w:rsidR="005D33A6">
        <w:t xml:space="preserve">, </w:t>
      </w:r>
      <w:r w:rsidR="00B73BDA">
        <w:t xml:space="preserve">also </w:t>
      </w:r>
      <w:r w:rsidR="005D33A6">
        <w:t xml:space="preserve">be extended to </w:t>
      </w:r>
      <w:r w:rsidR="00B73BDA">
        <w:t>protect these groups</w:t>
      </w:r>
      <w:r w:rsidR="00EF69D6">
        <w:t xml:space="preserve"> against </w:t>
      </w:r>
      <w:r w:rsidR="005914A9">
        <w:t xml:space="preserve">sex discrimination and </w:t>
      </w:r>
      <w:r w:rsidR="00B73BDA">
        <w:t xml:space="preserve">discrimination on each of the grounds set out in the </w:t>
      </w:r>
      <w:r w:rsidR="00B73BDA" w:rsidRPr="00B73BDA">
        <w:rPr>
          <w:i/>
          <w:iCs/>
        </w:rPr>
        <w:t>Sex Discrimination Act 1984</w:t>
      </w:r>
      <w:r w:rsidR="00B73BDA">
        <w:t xml:space="preserve"> (</w:t>
      </w:r>
      <w:proofErr w:type="spellStart"/>
      <w:r w:rsidR="00B73BDA">
        <w:t>Cth</w:t>
      </w:r>
      <w:proofErr w:type="spellEnd"/>
      <w:r w:rsidR="00B73BDA">
        <w:t xml:space="preserve">), </w:t>
      </w:r>
      <w:r w:rsidR="00B73BDA" w:rsidRPr="009332D2">
        <w:rPr>
          <w:i/>
        </w:rPr>
        <w:t>Racial Discrimination Act 1975</w:t>
      </w:r>
      <w:r w:rsidR="00B73BDA">
        <w:t xml:space="preserve"> (</w:t>
      </w:r>
      <w:proofErr w:type="spellStart"/>
      <w:r w:rsidR="00B73BDA">
        <w:t>Cth</w:t>
      </w:r>
      <w:proofErr w:type="spellEnd"/>
      <w:r w:rsidR="00B73BDA">
        <w:t xml:space="preserve">), </w:t>
      </w:r>
      <w:r w:rsidR="00B73BDA" w:rsidRPr="00B73BDA">
        <w:rPr>
          <w:i/>
          <w:iCs/>
        </w:rPr>
        <w:t>Disability Discrimination Act 1992</w:t>
      </w:r>
      <w:r w:rsidR="00B73BDA">
        <w:t xml:space="preserve"> (</w:t>
      </w:r>
      <w:proofErr w:type="spellStart"/>
      <w:r w:rsidR="00B73BDA">
        <w:t>Cth</w:t>
      </w:r>
      <w:proofErr w:type="spellEnd"/>
      <w:r w:rsidR="00B73BDA">
        <w:t xml:space="preserve">) and </w:t>
      </w:r>
      <w:r w:rsidR="00B73BDA" w:rsidRPr="00B73BDA">
        <w:rPr>
          <w:i/>
          <w:iCs/>
        </w:rPr>
        <w:t>Age Discrimination Act 2004</w:t>
      </w:r>
      <w:r w:rsidR="00B73BDA">
        <w:t xml:space="preserve"> (</w:t>
      </w:r>
      <w:proofErr w:type="spellStart"/>
      <w:r w:rsidR="00B73BDA">
        <w:t>Cth</w:t>
      </w:r>
      <w:proofErr w:type="spellEnd"/>
      <w:r w:rsidR="00B73BDA">
        <w:t>).</w:t>
      </w:r>
    </w:p>
    <w:p w14:paraId="5E1E8FEF" w14:textId="4876BE4C" w:rsidR="00EC49B2" w:rsidRPr="00EC49B2" w:rsidRDefault="004C3F9C" w:rsidP="00754E2E">
      <w:pPr>
        <w:pStyle w:val="Heading2"/>
      </w:pPr>
      <w:bookmarkStart w:id="19" w:name="_Toc76719775"/>
      <w:r>
        <w:t>Protection for State public servants and others</w:t>
      </w:r>
      <w:bookmarkEnd w:id="19"/>
    </w:p>
    <w:p w14:paraId="701FE8E6" w14:textId="645590C9" w:rsidR="00E91E37" w:rsidRPr="00E91E37" w:rsidRDefault="00CF3321" w:rsidP="00E91E37">
      <w:pPr>
        <w:pStyle w:val="ListNumber"/>
      </w:pPr>
      <w:r>
        <w:t xml:space="preserve">The Bill </w:t>
      </w:r>
      <w:r w:rsidR="003C081F">
        <w:t xml:space="preserve">removes </w:t>
      </w:r>
      <w:r w:rsidR="00DD4C1B">
        <w:t xml:space="preserve">a </w:t>
      </w:r>
      <w:r w:rsidR="003C081F">
        <w:t>long-standing anomalous exemption</w:t>
      </w:r>
      <w:r w:rsidR="009D2A13">
        <w:t xml:space="preserve"> </w:t>
      </w:r>
      <w:r w:rsidR="003C081F">
        <w:t xml:space="preserve">that </w:t>
      </w:r>
      <w:r w:rsidR="002475B7">
        <w:t>prevented</w:t>
      </w:r>
      <w:r w:rsidR="003C081F">
        <w:t xml:space="preserve"> State public servants </w:t>
      </w:r>
      <w:r w:rsidR="007C1A5A">
        <w:t xml:space="preserve">from making claims of </w:t>
      </w:r>
      <w:r w:rsidR="003E53C4">
        <w:t xml:space="preserve">discrimination or </w:t>
      </w:r>
      <w:r w:rsidR="007C1A5A">
        <w:t xml:space="preserve">harassment under the SDA. </w:t>
      </w:r>
      <w:r w:rsidR="00157D0E">
        <w:t xml:space="preserve"> </w:t>
      </w:r>
      <w:r w:rsidR="003816B8">
        <w:t xml:space="preserve">No such exemption exists in other </w:t>
      </w:r>
      <w:r w:rsidR="007E353B">
        <w:t xml:space="preserve">federal discrimination </w:t>
      </w:r>
      <w:proofErr w:type="gramStart"/>
      <w:r w:rsidR="007E353B">
        <w:t>laws</w:t>
      </w:r>
      <w:proofErr w:type="gramEnd"/>
      <w:r w:rsidR="00190ED8">
        <w:t xml:space="preserve"> and this is another example of increased </w:t>
      </w:r>
      <w:r w:rsidR="004F3B04">
        <w:t xml:space="preserve">consistency </w:t>
      </w:r>
      <w:r w:rsidR="00672AB7">
        <w:t xml:space="preserve">in the </w:t>
      </w:r>
      <w:r w:rsidR="00DC7447">
        <w:t xml:space="preserve">federal discrimination law </w:t>
      </w:r>
      <w:r w:rsidR="00F3686E">
        <w:t>framework</w:t>
      </w:r>
      <w:r w:rsidR="00DC7447">
        <w:t>.</w:t>
      </w:r>
      <w:r w:rsidR="00F3686E">
        <w:t xml:space="preserve">  </w:t>
      </w:r>
      <w:r w:rsidR="00AC6BFE">
        <w:t xml:space="preserve">Again, this is a welcome reform and implements </w:t>
      </w:r>
      <w:r w:rsidR="00474936">
        <w:t xml:space="preserve">recommendation </w:t>
      </w:r>
      <w:r w:rsidR="001643E6">
        <w:t xml:space="preserve">16(e) of the </w:t>
      </w:r>
      <w:proofErr w:type="spellStart"/>
      <w:r w:rsidR="001643E6">
        <w:t>Respect@Work</w:t>
      </w:r>
      <w:proofErr w:type="spellEnd"/>
      <w:r w:rsidR="001643E6">
        <w:t xml:space="preserve"> report. </w:t>
      </w:r>
    </w:p>
    <w:p w14:paraId="175765B8" w14:textId="141200C5" w:rsidR="00157D0E" w:rsidRDefault="007B553A" w:rsidP="00500306">
      <w:pPr>
        <w:pStyle w:val="ListNumber"/>
      </w:pPr>
      <w:r>
        <w:t xml:space="preserve">The Bill also </w:t>
      </w:r>
      <w:r w:rsidR="00097756">
        <w:t xml:space="preserve">provides additional clarity that </w:t>
      </w:r>
      <w:r w:rsidR="001534E6">
        <w:t xml:space="preserve">the </w:t>
      </w:r>
      <w:r w:rsidR="007F486F">
        <w:t>provisions of the</w:t>
      </w:r>
      <w:r w:rsidR="001534E6">
        <w:t xml:space="preserve"> SDA extend to </w:t>
      </w:r>
      <w:r w:rsidR="002A2514">
        <w:t>M</w:t>
      </w:r>
      <w:r w:rsidR="000948B4">
        <w:t>embers</w:t>
      </w:r>
      <w:r w:rsidR="002A2514">
        <w:t xml:space="preserve"> of Parliament, their </w:t>
      </w:r>
      <w:proofErr w:type="gramStart"/>
      <w:r w:rsidR="002A2514">
        <w:t>staff</w:t>
      </w:r>
      <w:proofErr w:type="gramEnd"/>
      <w:r w:rsidR="002A2514">
        <w:t xml:space="preserve"> and judges </w:t>
      </w:r>
      <w:r w:rsidR="00796112">
        <w:t>in</w:t>
      </w:r>
      <w:r w:rsidR="002A2514">
        <w:t xml:space="preserve"> all </w:t>
      </w:r>
      <w:r w:rsidR="00796112">
        <w:t>jurisdictions.</w:t>
      </w:r>
    </w:p>
    <w:p w14:paraId="5F198C77" w14:textId="5C9CC8F2" w:rsidR="00793EF1" w:rsidRPr="00793EF1" w:rsidRDefault="000B3B1C" w:rsidP="000B3B1C">
      <w:pPr>
        <w:pStyle w:val="Heading2"/>
      </w:pPr>
      <w:bookmarkStart w:id="20" w:name="_Toc76719776"/>
      <w:r>
        <w:t>Ancillary liability</w:t>
      </w:r>
      <w:bookmarkEnd w:id="20"/>
    </w:p>
    <w:p w14:paraId="77BC7001" w14:textId="6DAA037C" w:rsidR="008A27D0" w:rsidRPr="008A27D0" w:rsidRDefault="00C228AB" w:rsidP="008A27D0">
      <w:pPr>
        <w:pStyle w:val="ListNumber"/>
      </w:pPr>
      <w:r>
        <w:t xml:space="preserve">The </w:t>
      </w:r>
      <w:r w:rsidR="00F177FE">
        <w:t>Bill amends s 105 of</w:t>
      </w:r>
      <w:r>
        <w:t xml:space="preserve"> the SDA to </w:t>
      </w:r>
      <w:r w:rsidR="00E524E8">
        <w:t>ensure that there is ancillary liability for</w:t>
      </w:r>
      <w:r>
        <w:t xml:space="preserve"> </w:t>
      </w:r>
      <w:r w:rsidR="00A80B72">
        <w:t xml:space="preserve">sexual harassment and sex-based harassment.  </w:t>
      </w:r>
      <w:r w:rsidR="00E936D3">
        <w:t xml:space="preserve">This </w:t>
      </w:r>
      <w:r w:rsidR="00580B52">
        <w:t>will</w:t>
      </w:r>
      <w:r w:rsidR="00BA6391">
        <w:t xml:space="preserve"> ensure that those who </w:t>
      </w:r>
      <w:r w:rsidR="00F759DD">
        <w:t>cause, instruct, induce</w:t>
      </w:r>
      <w:r w:rsidR="007F3C1F">
        <w:t xml:space="preserve">, </w:t>
      </w:r>
      <w:proofErr w:type="gramStart"/>
      <w:r w:rsidR="007F3C1F">
        <w:t>aid</w:t>
      </w:r>
      <w:proofErr w:type="gramEnd"/>
      <w:r w:rsidR="007F3C1F">
        <w:t xml:space="preserve"> or permit </w:t>
      </w:r>
      <w:r w:rsidR="00494FB4">
        <w:t xml:space="preserve">another person to engage in </w:t>
      </w:r>
      <w:r w:rsidR="005C37FE">
        <w:t xml:space="preserve">unlawful </w:t>
      </w:r>
      <w:r w:rsidR="00494FB4">
        <w:t xml:space="preserve">sexual harassment or sex-based harassment will also </w:t>
      </w:r>
      <w:r w:rsidR="009155DA">
        <w:t>be liable for the conduct.</w:t>
      </w:r>
    </w:p>
    <w:p w14:paraId="01404DD0" w14:textId="5EDA4DD1" w:rsidR="009155DA" w:rsidRDefault="00672447" w:rsidP="00DC556F">
      <w:pPr>
        <w:pStyle w:val="ListNumber"/>
      </w:pPr>
      <w:r>
        <w:t xml:space="preserve">This amendment </w:t>
      </w:r>
      <w:r w:rsidR="00956807">
        <w:t xml:space="preserve">implements recommendation </w:t>
      </w:r>
      <w:r w:rsidR="00A6556B">
        <w:t xml:space="preserve">20 of the </w:t>
      </w:r>
      <w:proofErr w:type="spellStart"/>
      <w:r w:rsidR="00A6556B">
        <w:t>Respect@Work</w:t>
      </w:r>
      <w:proofErr w:type="spellEnd"/>
      <w:r w:rsidR="00A6556B">
        <w:t xml:space="preserve"> report</w:t>
      </w:r>
      <w:r w:rsidR="00EC4EED">
        <w:t xml:space="preserve"> and </w:t>
      </w:r>
      <w:r w:rsidR="00DB1882">
        <w:t xml:space="preserve">will provide greater </w:t>
      </w:r>
      <w:r w:rsidR="007D002E">
        <w:t xml:space="preserve">responsibility and </w:t>
      </w:r>
      <w:r w:rsidR="00DB1882">
        <w:t xml:space="preserve">accountability </w:t>
      </w:r>
      <w:r w:rsidR="009457FA">
        <w:t xml:space="preserve">for preventing </w:t>
      </w:r>
      <w:r w:rsidR="00371BC6">
        <w:t>sexual harassment and sex-based harassment.</w:t>
      </w:r>
    </w:p>
    <w:p w14:paraId="78091608" w14:textId="2A16C729" w:rsidR="00DC556F" w:rsidRDefault="00DC556F" w:rsidP="00DC556F">
      <w:pPr>
        <w:pStyle w:val="Heading2"/>
      </w:pPr>
      <w:bookmarkStart w:id="21" w:name="_Toc76719777"/>
      <w:r>
        <w:lastRenderedPageBreak/>
        <w:t>Positive duty</w:t>
      </w:r>
      <w:r w:rsidR="00DE1AAE">
        <w:t xml:space="preserve"> to eliminate sex discrimination</w:t>
      </w:r>
      <w:r w:rsidR="00083CD2">
        <w:t xml:space="preserve">, </w:t>
      </w:r>
      <w:proofErr w:type="gramStart"/>
      <w:r w:rsidR="00C0395E">
        <w:t>harassment</w:t>
      </w:r>
      <w:proofErr w:type="gramEnd"/>
      <w:r w:rsidR="00C0395E">
        <w:t xml:space="preserve"> and victimisation</w:t>
      </w:r>
      <w:bookmarkEnd w:id="21"/>
    </w:p>
    <w:p w14:paraId="24DDC56F" w14:textId="38569DAC" w:rsidR="004E1D5B" w:rsidRPr="00AF296E" w:rsidRDefault="00395B77" w:rsidP="00395B77">
      <w:pPr>
        <w:pStyle w:val="Heading3"/>
        <w:rPr>
          <w:b/>
        </w:rPr>
      </w:pPr>
      <w:bookmarkStart w:id="22" w:name="_Toc76719778"/>
      <w:r w:rsidRPr="00AF296E">
        <w:rPr>
          <w:b/>
        </w:rPr>
        <w:t>Introduction of a positive duty</w:t>
      </w:r>
      <w:bookmarkEnd w:id="22"/>
    </w:p>
    <w:p w14:paraId="405E1659" w14:textId="2D41F36C" w:rsidR="004B7067" w:rsidRPr="004B7067" w:rsidRDefault="001C1CC1" w:rsidP="004B7067">
      <w:pPr>
        <w:pStyle w:val="ListNumber"/>
      </w:pPr>
      <w:r>
        <w:t>A</w:t>
      </w:r>
      <w:r w:rsidR="007D50AC">
        <w:t>n important</w:t>
      </w:r>
      <w:r>
        <w:t xml:space="preserve"> re</w:t>
      </w:r>
      <w:r w:rsidR="00461DAF">
        <w:t xml:space="preserve">form recommended in the </w:t>
      </w:r>
      <w:proofErr w:type="spellStart"/>
      <w:r w:rsidR="00461DAF">
        <w:t>Respect@Work</w:t>
      </w:r>
      <w:proofErr w:type="spellEnd"/>
      <w:r w:rsidR="00461DAF">
        <w:t xml:space="preserve"> report was the introduction of a positive duty on </w:t>
      </w:r>
      <w:r w:rsidR="007C28D2">
        <w:t xml:space="preserve">all </w:t>
      </w:r>
      <w:r w:rsidR="000977D8">
        <w:t xml:space="preserve">employers to take </w:t>
      </w:r>
      <w:r w:rsidR="007C28D2">
        <w:t xml:space="preserve">reasonable and proportionate </w:t>
      </w:r>
      <w:r w:rsidR="00AC4AED">
        <w:t xml:space="preserve">measures to eliminate </w:t>
      </w:r>
      <w:r w:rsidR="000F163D">
        <w:t xml:space="preserve">sex discrimination, sexual </w:t>
      </w:r>
      <w:proofErr w:type="gramStart"/>
      <w:r w:rsidR="000F163D">
        <w:t>harassment</w:t>
      </w:r>
      <w:proofErr w:type="gramEnd"/>
      <w:r w:rsidR="000F163D">
        <w:t xml:space="preserve"> and victimisation, as far as possible.</w:t>
      </w:r>
      <w:r w:rsidR="000F163D">
        <w:rPr>
          <w:rStyle w:val="EndnoteReference"/>
        </w:rPr>
        <w:endnoteReference w:id="16"/>
      </w:r>
      <w:r w:rsidR="00F978F5">
        <w:t xml:space="preserve">  </w:t>
      </w:r>
      <w:r w:rsidR="00502438">
        <w:t xml:space="preserve">While the Government noted this reform in its ‘Roadmap for Respect’, </w:t>
      </w:r>
      <w:r w:rsidR="006E751E">
        <w:t xml:space="preserve">the Commission’s </w:t>
      </w:r>
      <w:r w:rsidR="00F978F5">
        <w:t>recommendation has not been adopted in the Bill.</w:t>
      </w:r>
    </w:p>
    <w:p w14:paraId="200BFF0B" w14:textId="23E2D94B" w:rsidR="00EC1371" w:rsidRDefault="003D7A40" w:rsidP="00DC556F">
      <w:pPr>
        <w:pStyle w:val="ListNumber"/>
      </w:pPr>
      <w:r>
        <w:t xml:space="preserve">The </w:t>
      </w:r>
      <w:r w:rsidR="00EC1371">
        <w:t>vicarious liability provisions in the SDA provide some incentive for employers to take proactive steps to prevent discrimination and harassment in the workplace.</w:t>
      </w:r>
      <w:r w:rsidR="006F6368">
        <w:t xml:space="preserve">  If a complaint of discrimination or harassment is made, an employer will not be vicariously liable if they can show that </w:t>
      </w:r>
      <w:r w:rsidR="00FA23DC">
        <w:t xml:space="preserve">they took </w:t>
      </w:r>
      <w:r w:rsidR="004209EA">
        <w:t xml:space="preserve">all reasonable steps to prevent the </w:t>
      </w:r>
      <w:r w:rsidR="00D62FD5">
        <w:t>conduct.</w:t>
      </w:r>
      <w:r w:rsidR="00D62FD5">
        <w:rPr>
          <w:rStyle w:val="EndnoteReference"/>
        </w:rPr>
        <w:endnoteReference w:id="17"/>
      </w:r>
      <w:r w:rsidR="00A87E47">
        <w:t xml:space="preserve">  The Commission has published guidelines to assist </w:t>
      </w:r>
      <w:r w:rsidR="001C6B35">
        <w:t xml:space="preserve">employers </w:t>
      </w:r>
      <w:r w:rsidR="007A2E41">
        <w:t xml:space="preserve">to </w:t>
      </w:r>
      <w:r w:rsidR="001C6B35">
        <w:t xml:space="preserve">develop policies to </w:t>
      </w:r>
      <w:r w:rsidR="00A045A2">
        <w:t>prevent workplace discrimination and harassment and to respond appropriately to incidents if they occur.</w:t>
      </w:r>
      <w:r w:rsidR="00A045A2">
        <w:rPr>
          <w:rStyle w:val="EndnoteReference"/>
        </w:rPr>
        <w:endnoteReference w:id="18"/>
      </w:r>
    </w:p>
    <w:p w14:paraId="6EEF73F9" w14:textId="41A060D6" w:rsidR="00242092" w:rsidRDefault="000D28D9" w:rsidP="00DC556F">
      <w:pPr>
        <w:pStyle w:val="ListNumber"/>
      </w:pPr>
      <w:r>
        <w:t xml:space="preserve">However, </w:t>
      </w:r>
      <w:r w:rsidR="00F215E6">
        <w:t xml:space="preserve">there are limitations on </w:t>
      </w:r>
      <w:r>
        <w:t xml:space="preserve">the </w:t>
      </w:r>
      <w:r w:rsidR="003D7A40">
        <w:t>current frame</w:t>
      </w:r>
      <w:r w:rsidR="00134DDC">
        <w:t xml:space="preserve">work </w:t>
      </w:r>
      <w:proofErr w:type="gramStart"/>
      <w:r w:rsidR="00F215E6">
        <w:t>as a result of</w:t>
      </w:r>
      <w:proofErr w:type="gramEnd"/>
      <w:r w:rsidR="00F215E6">
        <w:t xml:space="preserve"> its</w:t>
      </w:r>
      <w:r w:rsidR="006A1BB0">
        <w:t xml:space="preserve"> remedial</w:t>
      </w:r>
      <w:r w:rsidR="009D139D">
        <w:t xml:space="preserve"> and reactive</w:t>
      </w:r>
      <w:r w:rsidR="00591D2E">
        <w:t xml:space="preserve"> focus</w:t>
      </w:r>
      <w:r w:rsidR="006A1BB0">
        <w:t xml:space="preserve">.  The question of whether </w:t>
      </w:r>
      <w:r w:rsidR="00591D2E">
        <w:t xml:space="preserve">an employer has taken reasonable steps to prevent sexual discrimination or harassment will only be asked in the context of a </w:t>
      </w:r>
      <w:r w:rsidR="00A1378F">
        <w:t xml:space="preserve">complaint.  </w:t>
      </w:r>
      <w:r w:rsidR="00A46505">
        <w:t xml:space="preserve">As the Inquiry heard, there are a range of </w:t>
      </w:r>
      <w:r w:rsidR="00603C26">
        <w:t>reasons why</w:t>
      </w:r>
      <w:r w:rsidR="00A46505">
        <w:t xml:space="preserve"> people </w:t>
      </w:r>
      <w:r w:rsidR="004238A4">
        <w:t xml:space="preserve">may be </w:t>
      </w:r>
      <w:r w:rsidR="00A46505">
        <w:t xml:space="preserve">reluctant to make a complaint of </w:t>
      </w:r>
      <w:r w:rsidR="00F457B4">
        <w:t xml:space="preserve">sexual harassment. </w:t>
      </w:r>
      <w:r w:rsidR="004238A4">
        <w:t xml:space="preserve"> These include </w:t>
      </w:r>
      <w:r w:rsidR="00BE42B7">
        <w:t xml:space="preserve">fear that it will impact on </w:t>
      </w:r>
      <w:r w:rsidR="003424EC">
        <w:t>career prospects</w:t>
      </w:r>
      <w:r w:rsidR="00313DC5">
        <w:t xml:space="preserve">, contract renewal or </w:t>
      </w:r>
      <w:r w:rsidR="002C12E4">
        <w:t>hours of work</w:t>
      </w:r>
      <w:r w:rsidR="00376B6E">
        <w:t>;</w:t>
      </w:r>
      <w:r w:rsidR="00C326E1">
        <w:rPr>
          <w:rStyle w:val="EndnoteReference"/>
        </w:rPr>
        <w:endnoteReference w:id="19"/>
      </w:r>
      <w:r w:rsidR="003424EC">
        <w:t xml:space="preserve"> </w:t>
      </w:r>
      <w:r w:rsidR="00376B6E">
        <w:t>a</w:t>
      </w:r>
      <w:r w:rsidR="003424EC">
        <w:t xml:space="preserve"> </w:t>
      </w:r>
      <w:r w:rsidR="00E762F2">
        <w:t>fear that they will not be believed</w:t>
      </w:r>
      <w:r w:rsidR="0027148A">
        <w:t>;</w:t>
      </w:r>
      <w:r w:rsidR="00CC32B2">
        <w:rPr>
          <w:rStyle w:val="EndnoteReference"/>
        </w:rPr>
        <w:endnoteReference w:id="20"/>
      </w:r>
      <w:r w:rsidR="00CC32B2">
        <w:t xml:space="preserve"> </w:t>
      </w:r>
      <w:r w:rsidR="008747B9">
        <w:t xml:space="preserve">a fear that </w:t>
      </w:r>
      <w:r w:rsidR="0072156D">
        <w:t>employers</w:t>
      </w:r>
      <w:r w:rsidR="008747B9">
        <w:t xml:space="preserve"> may </w:t>
      </w:r>
      <w:r w:rsidR="00684FB8">
        <w:t>retaliate and claim they had not complied with the terms of their visas</w:t>
      </w:r>
      <w:r w:rsidR="00732F4B">
        <w:t>;</w:t>
      </w:r>
      <w:r w:rsidR="00E82C09">
        <w:rPr>
          <w:rStyle w:val="EndnoteReference"/>
        </w:rPr>
        <w:endnoteReference w:id="21"/>
      </w:r>
      <w:r w:rsidR="005A61C6">
        <w:t xml:space="preserve"> as well as a range of</w:t>
      </w:r>
      <w:r w:rsidR="002A08D4">
        <w:t xml:space="preserve"> </w:t>
      </w:r>
      <w:r w:rsidR="008E71BE">
        <w:t xml:space="preserve">other </w:t>
      </w:r>
      <w:r w:rsidR="002A08D4">
        <w:t>cultural and language barriers</w:t>
      </w:r>
      <w:r w:rsidR="00CC32B2">
        <w:t>.</w:t>
      </w:r>
      <w:r w:rsidR="00CC32B2">
        <w:rPr>
          <w:rStyle w:val="EndnoteReference"/>
        </w:rPr>
        <w:endnoteReference w:id="22"/>
      </w:r>
      <w:r w:rsidR="00CC32B2">
        <w:t xml:space="preserve"> </w:t>
      </w:r>
      <w:r w:rsidR="00E504DE">
        <w:t xml:space="preserve"> </w:t>
      </w:r>
      <w:r w:rsidR="00C76A5E">
        <w:t>The most recent national survey on sexual harassment</w:t>
      </w:r>
      <w:r w:rsidR="00E504DE">
        <w:t xml:space="preserve"> </w:t>
      </w:r>
      <w:r w:rsidR="00DE7A61">
        <w:t xml:space="preserve">found that </w:t>
      </w:r>
      <w:r w:rsidR="00100A66">
        <w:t>only 17</w:t>
      </w:r>
      <w:r w:rsidR="003A1E08">
        <w:t>%</w:t>
      </w:r>
      <w:r w:rsidR="00100A66">
        <w:t xml:space="preserve"> of </w:t>
      </w:r>
      <w:r w:rsidR="00DF2B95">
        <w:t>people who experienced sexual harassment in the workplace in the last five years made a formal report or complaint.</w:t>
      </w:r>
      <w:r w:rsidR="00E315CE">
        <w:rPr>
          <w:rStyle w:val="EndnoteReference"/>
        </w:rPr>
        <w:endnoteReference w:id="23"/>
      </w:r>
      <w:r w:rsidR="00BA50A6">
        <w:t xml:space="preserve"> </w:t>
      </w:r>
    </w:p>
    <w:p w14:paraId="0300F7E7" w14:textId="7DE47E29" w:rsidR="009650CD" w:rsidRPr="009650CD" w:rsidRDefault="00BA50A6" w:rsidP="009650CD">
      <w:pPr>
        <w:pStyle w:val="ListNumber"/>
      </w:pPr>
      <w:r>
        <w:t>By contrast, a positive duty would be</w:t>
      </w:r>
      <w:r w:rsidR="00C170D7">
        <w:t xml:space="preserve"> forward looking and</w:t>
      </w:r>
      <w:r>
        <w:t xml:space="preserve"> immediately applicable to all employers</w:t>
      </w:r>
      <w:r w:rsidR="00C170D7">
        <w:t>.  It would</w:t>
      </w:r>
      <w:r>
        <w:t xml:space="preserve"> </w:t>
      </w:r>
      <w:r w:rsidR="00306330">
        <w:t xml:space="preserve">require </w:t>
      </w:r>
      <w:r w:rsidR="0013216E">
        <w:t xml:space="preserve">them to take </w:t>
      </w:r>
      <w:r w:rsidR="00A21D6B">
        <w:t>pro</w:t>
      </w:r>
      <w:r w:rsidR="00306330">
        <w:t xml:space="preserve">active </w:t>
      </w:r>
      <w:r w:rsidR="0013216E">
        <w:t>and preventative measures</w:t>
      </w:r>
      <w:r w:rsidR="00306330">
        <w:t xml:space="preserve"> to </w:t>
      </w:r>
      <w:r w:rsidR="00363CD9">
        <w:t>ensure compliance.</w:t>
      </w:r>
      <w:r w:rsidR="00C631AD">
        <w:t xml:space="preserve">  In the Commission’s view, this would be a powerful tool to </w:t>
      </w:r>
      <w:r w:rsidR="007A4B0D">
        <w:t xml:space="preserve">promote </w:t>
      </w:r>
      <w:r w:rsidR="00FC26DA">
        <w:t>broad systemic and cultural change.</w:t>
      </w:r>
    </w:p>
    <w:p w14:paraId="67805F74" w14:textId="766DE796" w:rsidR="001706F4" w:rsidRPr="001706F4" w:rsidRDefault="00686383" w:rsidP="001706F4">
      <w:pPr>
        <w:pStyle w:val="ListNumber"/>
      </w:pPr>
      <w:r>
        <w:lastRenderedPageBreak/>
        <w:t>The idea of a positive duty is not new.</w:t>
      </w:r>
      <w:r w:rsidR="00F5311C">
        <w:t xml:space="preserve"> </w:t>
      </w:r>
      <w:r w:rsidR="00F126E0">
        <w:t xml:space="preserve"> </w:t>
      </w:r>
      <w:r w:rsidR="00CB0EF3">
        <w:t xml:space="preserve">Section </w:t>
      </w:r>
      <w:r w:rsidR="004D2400">
        <w:t xml:space="preserve">15 of </w:t>
      </w:r>
      <w:r w:rsidR="00E2394D">
        <w:t xml:space="preserve">the </w:t>
      </w:r>
      <w:r w:rsidR="00E2394D" w:rsidRPr="00E2394D">
        <w:rPr>
          <w:i/>
          <w:iCs/>
        </w:rPr>
        <w:t>Equal Opportunity Act 2010</w:t>
      </w:r>
      <w:r w:rsidR="00E2394D">
        <w:t xml:space="preserve"> (Vic) provides </w:t>
      </w:r>
      <w:r w:rsidR="00493939">
        <w:t>that people who have duties to comply with an</w:t>
      </w:r>
      <w:r w:rsidR="00D83D63">
        <w:t xml:space="preserve">ti-discrimination law, including employers, </w:t>
      </w:r>
      <w:r w:rsidR="00793CEE">
        <w:t>must take reasonable and proportionate measures to eliminate that discrimination, sexual</w:t>
      </w:r>
      <w:r w:rsidR="00FF16F9">
        <w:t xml:space="preserve"> </w:t>
      </w:r>
      <w:proofErr w:type="gramStart"/>
      <w:r w:rsidR="00793CEE">
        <w:t>harassment</w:t>
      </w:r>
      <w:proofErr w:type="gramEnd"/>
      <w:r w:rsidR="00793CEE">
        <w:t xml:space="preserve"> or victimisation as far as possible.</w:t>
      </w:r>
      <w:r w:rsidR="002561EA">
        <w:t xml:space="preserve">  </w:t>
      </w:r>
      <w:r w:rsidR="00B24500">
        <w:t>In de</w:t>
      </w:r>
      <w:r w:rsidR="00DE04AE">
        <w:t>t</w:t>
      </w:r>
      <w:r w:rsidR="00B24500">
        <w:t>ermin</w:t>
      </w:r>
      <w:r w:rsidR="009D4E9F">
        <w:t xml:space="preserve">ing whether </w:t>
      </w:r>
      <w:r w:rsidR="00A6294B">
        <w:t>a measure is reasonable and proportionate</w:t>
      </w:r>
      <w:r w:rsidR="00641EA1">
        <w:t>, a range of factors must be considered</w:t>
      </w:r>
      <w:r w:rsidR="009823BF">
        <w:t xml:space="preserve"> that go to the ability of the employer to take steps.  For example, any assessment will </w:t>
      </w:r>
      <w:proofErr w:type="gramStart"/>
      <w:r w:rsidR="009823BF">
        <w:t>take into account</w:t>
      </w:r>
      <w:proofErr w:type="gramEnd"/>
      <w:r w:rsidR="009823BF">
        <w:t xml:space="preserve"> the size of the business</w:t>
      </w:r>
      <w:r w:rsidR="00CF4791">
        <w:t>, the resources available to it and the practicability and cost of the relevant measures.</w:t>
      </w:r>
      <w:r w:rsidR="009823BF">
        <w:t xml:space="preserve"> </w:t>
      </w:r>
      <w:r w:rsidR="00107313">
        <w:t xml:space="preserve"> The </w:t>
      </w:r>
      <w:r w:rsidR="00C8584C">
        <w:t xml:space="preserve">legislation </w:t>
      </w:r>
      <w:r w:rsidR="00107313">
        <w:t xml:space="preserve">provides </w:t>
      </w:r>
      <w:r w:rsidR="00C8584C">
        <w:t xml:space="preserve">two </w:t>
      </w:r>
      <w:r w:rsidR="00107313">
        <w:t>examples</w:t>
      </w:r>
      <w:r w:rsidR="00C8584C">
        <w:t xml:space="preserve"> of proportionate responses:</w:t>
      </w:r>
    </w:p>
    <w:p w14:paraId="34EDA48C" w14:textId="6EC59076" w:rsidR="005267B4" w:rsidRPr="00441460" w:rsidRDefault="00C65E56" w:rsidP="00662CEC">
      <w:pPr>
        <w:pStyle w:val="ListNumber"/>
        <w:numPr>
          <w:ilvl w:val="0"/>
          <w:numId w:val="39"/>
        </w:numPr>
        <w:ind w:left="2160"/>
        <w:rPr>
          <w:sz w:val="22"/>
          <w:szCs w:val="22"/>
        </w:rPr>
      </w:pPr>
      <w:r w:rsidRPr="00441460">
        <w:rPr>
          <w:sz w:val="22"/>
          <w:szCs w:val="22"/>
        </w:rPr>
        <w:t>A small, not-for-profit community organisation takes steps to ensure that its staff are aware of the organisation</w:t>
      </w:r>
      <w:r w:rsidR="00D63697" w:rsidRPr="00441460">
        <w:rPr>
          <w:sz w:val="22"/>
          <w:szCs w:val="22"/>
        </w:rPr>
        <w:t>’</w:t>
      </w:r>
      <w:r w:rsidRPr="00441460">
        <w:rPr>
          <w:sz w:val="22"/>
          <w:szCs w:val="22"/>
        </w:rPr>
        <w:t>s commitment to treating staff with dignity, fairness and respect and makes a clear statement about how complaints from staff will be managed.</w:t>
      </w:r>
    </w:p>
    <w:p w14:paraId="665B448E" w14:textId="03E7D092" w:rsidR="00C65E56" w:rsidRDefault="00191C45" w:rsidP="00662CEC">
      <w:pPr>
        <w:pStyle w:val="ListNumber"/>
        <w:numPr>
          <w:ilvl w:val="0"/>
          <w:numId w:val="39"/>
        </w:numPr>
        <w:ind w:left="2160"/>
      </w:pPr>
      <w:r w:rsidRPr="00441460">
        <w:rPr>
          <w:sz w:val="22"/>
          <w:szCs w:val="22"/>
        </w:rPr>
        <w:t>A large company undertakes an assessment of its compliance with this Act. As a result of the assessment, the company develops a compliance strategy that includes regular monitoring and provides for continuous improvement of the strategy.</w:t>
      </w:r>
    </w:p>
    <w:p w14:paraId="60479D53" w14:textId="674DC3BB" w:rsidR="00BA0338" w:rsidRPr="00BA0338" w:rsidRDefault="008B6E23" w:rsidP="00BA0338">
      <w:pPr>
        <w:pStyle w:val="ListNumber"/>
      </w:pPr>
      <w:r>
        <w:t xml:space="preserve">This </w:t>
      </w:r>
      <w:r w:rsidR="00585465">
        <w:t>positive duty</w:t>
      </w:r>
      <w:r>
        <w:t xml:space="preserve"> has successfully operated </w:t>
      </w:r>
      <w:r w:rsidR="00CB0EF3">
        <w:t xml:space="preserve">in Victoria </w:t>
      </w:r>
      <w:r>
        <w:t xml:space="preserve">for </w:t>
      </w:r>
      <w:r w:rsidR="00362FFE">
        <w:t xml:space="preserve">more than </w:t>
      </w:r>
      <w:r w:rsidR="00CB0EF3">
        <w:t>a decade</w:t>
      </w:r>
      <w:r>
        <w:t>.</w:t>
      </w:r>
      <w:r w:rsidR="00E47F64">
        <w:t xml:space="preserve">  The Commission’s recommendation is modelled on the Victorian provision.</w:t>
      </w:r>
    </w:p>
    <w:p w14:paraId="75EA28DF" w14:textId="0591B95A" w:rsidR="00597714" w:rsidRDefault="00AF3A10" w:rsidP="00DC556F">
      <w:pPr>
        <w:pStyle w:val="ListNumber"/>
      </w:pPr>
      <w:r>
        <w:t xml:space="preserve">The </w:t>
      </w:r>
      <w:r w:rsidR="00A10482">
        <w:t xml:space="preserve">Inquiry heard concerns from some business groups </w:t>
      </w:r>
      <w:r w:rsidR="0011453D">
        <w:t xml:space="preserve">about the potential for an increased regulatory burden </w:t>
      </w:r>
      <w:r w:rsidR="00CD05AC">
        <w:t xml:space="preserve">if </w:t>
      </w:r>
      <w:r w:rsidR="005165B1">
        <w:t>a positive duty were introduced.</w:t>
      </w:r>
      <w:r w:rsidR="00A15242">
        <w:rPr>
          <w:rStyle w:val="EndnoteReference"/>
        </w:rPr>
        <w:endnoteReference w:id="24"/>
      </w:r>
      <w:r w:rsidR="005165B1">
        <w:t xml:space="preserve">  However, </w:t>
      </w:r>
      <w:r w:rsidR="002D451D">
        <w:t xml:space="preserve">businesses that operate in Victoria will already be familiar with </w:t>
      </w:r>
      <w:r w:rsidR="00A3618F">
        <w:t xml:space="preserve">positive duties in relation to anti-discrimination law, and </w:t>
      </w:r>
      <w:r w:rsidR="002378FA">
        <w:t xml:space="preserve">similar positive duties already exist </w:t>
      </w:r>
      <w:r w:rsidR="00A3618F">
        <w:t xml:space="preserve">nationally </w:t>
      </w:r>
      <w:r w:rsidR="002378FA">
        <w:t xml:space="preserve">under </w:t>
      </w:r>
      <w:r w:rsidR="00CD440C">
        <w:t xml:space="preserve">work, </w:t>
      </w:r>
      <w:proofErr w:type="gramStart"/>
      <w:r w:rsidR="00CD440C">
        <w:t>health</w:t>
      </w:r>
      <w:proofErr w:type="gramEnd"/>
      <w:r w:rsidR="00CD440C">
        <w:t xml:space="preserve"> and safety laws.  </w:t>
      </w:r>
    </w:p>
    <w:p w14:paraId="3592B1BF" w14:textId="68B77689" w:rsidR="00F9039F" w:rsidRDefault="00E164BB" w:rsidP="00DC556F">
      <w:pPr>
        <w:pStyle w:val="ListNumber"/>
      </w:pPr>
      <w:r>
        <w:t>T</w:t>
      </w:r>
      <w:r w:rsidR="00F44661">
        <w:t xml:space="preserve">he positive duty </w:t>
      </w:r>
      <w:r w:rsidR="00C66EF1">
        <w:t>on a person conducting a business or undertaking to ensure</w:t>
      </w:r>
      <w:r w:rsidR="00925ACB">
        <w:t xml:space="preserve"> the health and safety of</w:t>
      </w:r>
      <w:r w:rsidR="00C66EF1">
        <w:t xml:space="preserve"> </w:t>
      </w:r>
      <w:r w:rsidR="00253463">
        <w:t>their workers</w:t>
      </w:r>
      <w:r w:rsidR="00F44661">
        <w:t xml:space="preserve"> </w:t>
      </w:r>
      <w:r w:rsidR="0052204E">
        <w:t xml:space="preserve">includes </w:t>
      </w:r>
      <w:r w:rsidR="009923C2">
        <w:t xml:space="preserve">protecting them from </w:t>
      </w:r>
      <w:r w:rsidR="0052204E">
        <w:t>risks to their p</w:t>
      </w:r>
      <w:r w:rsidR="00AD33A5">
        <w:t>sychological health</w:t>
      </w:r>
      <w:r w:rsidR="002C019C">
        <w:t>.</w:t>
      </w:r>
      <w:r w:rsidR="00826E01">
        <w:rPr>
          <w:rStyle w:val="EndnoteReference"/>
        </w:rPr>
        <w:endnoteReference w:id="25"/>
      </w:r>
      <w:r w:rsidR="00F44661">
        <w:t xml:space="preserve"> </w:t>
      </w:r>
      <w:r w:rsidR="002C019C">
        <w:t xml:space="preserve"> As a result,</w:t>
      </w:r>
      <w:r w:rsidR="00E048D5">
        <w:t xml:space="preserve"> </w:t>
      </w:r>
      <w:r w:rsidR="00381167">
        <w:t>t</w:t>
      </w:r>
      <w:r>
        <w:t>here are good arguments that t</w:t>
      </w:r>
      <w:r w:rsidR="00381167">
        <w:t xml:space="preserve">his </w:t>
      </w:r>
      <w:r w:rsidR="00E048D5">
        <w:t xml:space="preserve">would extend to a duty to </w:t>
      </w:r>
      <w:r w:rsidR="00B95BFA">
        <w:t xml:space="preserve">prevent sexual harassment.  </w:t>
      </w:r>
      <w:r w:rsidR="00A97CD9">
        <w:t xml:space="preserve">For example, </w:t>
      </w:r>
      <w:r w:rsidR="009364B5">
        <w:t xml:space="preserve">a guideline released by Safe Work Australia </w:t>
      </w:r>
      <w:r w:rsidR="00AA1BED">
        <w:t xml:space="preserve">dealing with </w:t>
      </w:r>
      <w:r w:rsidR="00E4158B">
        <w:t>work-related psychological hea</w:t>
      </w:r>
      <w:r w:rsidR="00FA73AC">
        <w:t>l</w:t>
      </w:r>
      <w:r w:rsidR="00E4158B">
        <w:t>th and safety</w:t>
      </w:r>
      <w:r w:rsidR="00925135">
        <w:t xml:space="preserve"> mentioned sexual harassment as a factor that can contribute to poor workplace relationships and as an area that requires clear administrative controls.</w:t>
      </w:r>
      <w:r w:rsidR="00925135">
        <w:rPr>
          <w:rStyle w:val="EndnoteReference"/>
        </w:rPr>
        <w:endnoteReference w:id="26"/>
      </w:r>
      <w:r w:rsidR="00925135">
        <w:t xml:space="preserve">  </w:t>
      </w:r>
      <w:r w:rsidR="00B95BFA">
        <w:t xml:space="preserve">However, as the Inquiry found, </w:t>
      </w:r>
      <w:r w:rsidR="006C1786">
        <w:t>despite this duty</w:t>
      </w:r>
      <w:r w:rsidR="00B36AF3">
        <w:t xml:space="preserve"> </w:t>
      </w:r>
      <w:r w:rsidR="00453F8B">
        <w:t xml:space="preserve">there is no express </w:t>
      </w:r>
      <w:r w:rsidR="0053472A">
        <w:t xml:space="preserve">prohibition on sexual harassment in the WHS </w:t>
      </w:r>
      <w:r w:rsidR="000B6B2E">
        <w:t>re</w:t>
      </w:r>
      <w:r w:rsidR="00FF0455">
        <w:t xml:space="preserve">gime and </w:t>
      </w:r>
      <w:r w:rsidR="00B36AF3">
        <w:lastRenderedPageBreak/>
        <w:t>sexual</w:t>
      </w:r>
      <w:r w:rsidR="00F44661">
        <w:t xml:space="preserve"> </w:t>
      </w:r>
      <w:r w:rsidR="006C1786">
        <w:t>harassment has not been ad</w:t>
      </w:r>
      <w:r w:rsidR="004C1750">
        <w:t xml:space="preserve">equately understood and </w:t>
      </w:r>
      <w:r w:rsidR="0024420A">
        <w:t>treated as a health and safety hazard and risk in the workplace.</w:t>
      </w:r>
      <w:r w:rsidR="007D4ADB">
        <w:rPr>
          <w:rStyle w:val="EndnoteReference"/>
        </w:rPr>
        <w:endnoteReference w:id="27"/>
      </w:r>
      <w:r w:rsidR="00F9039F">
        <w:t xml:space="preserve"> </w:t>
      </w:r>
    </w:p>
    <w:p w14:paraId="55A9317F" w14:textId="1D900CC7" w:rsidR="002B5CE5" w:rsidRDefault="00042600" w:rsidP="002B5CE5">
      <w:pPr>
        <w:pStyle w:val="ListNumber"/>
      </w:pPr>
      <w:r>
        <w:t xml:space="preserve">A key </w:t>
      </w:r>
      <w:r w:rsidR="00237238">
        <w:t xml:space="preserve">advantage of </w:t>
      </w:r>
      <w:r w:rsidR="00F9039F">
        <w:t xml:space="preserve">introducing </w:t>
      </w:r>
      <w:r w:rsidR="00237238">
        <w:t xml:space="preserve">a specific </w:t>
      </w:r>
      <w:r w:rsidR="00F9039F">
        <w:t xml:space="preserve">positive duty </w:t>
      </w:r>
      <w:r w:rsidR="006944E9">
        <w:t xml:space="preserve">into the SDA </w:t>
      </w:r>
      <w:r>
        <w:t xml:space="preserve">is one of clarity. </w:t>
      </w:r>
      <w:r w:rsidR="0039699B">
        <w:t xml:space="preserve"> </w:t>
      </w:r>
      <w:r w:rsidR="00C86385">
        <w:t xml:space="preserve">Far from increasing the burden on </w:t>
      </w:r>
      <w:r w:rsidR="00523515">
        <w:t xml:space="preserve">employers, a new positive duty under the SDA would </w:t>
      </w:r>
      <w:r w:rsidR="00DC5608">
        <w:t>clarify existing obligations</w:t>
      </w:r>
      <w:r w:rsidR="008740CB">
        <w:t xml:space="preserve"> and encourage better practice on the part of employers to meet those obligations.</w:t>
      </w:r>
    </w:p>
    <w:p w14:paraId="041DD674" w14:textId="47841954" w:rsidR="00DD7EC8" w:rsidRPr="002B5CE5" w:rsidRDefault="004F7361" w:rsidP="002B5CE5">
      <w:pPr>
        <w:pStyle w:val="ListNumber"/>
      </w:pPr>
      <w:r w:rsidRPr="004F7361">
        <w:t xml:space="preserve">To ensure that there is broad understanding of the actions required as a result of a positive duty in discrimination law, and to enable organisations time to assess their current business practices, the Commission considers that it would be appropriate to stage the introduction of a positive duty by providing a </w:t>
      </w:r>
      <w:proofErr w:type="gramStart"/>
      <w:r w:rsidRPr="004F7361">
        <w:t>12 month</w:t>
      </w:r>
      <w:proofErr w:type="gramEnd"/>
      <w:r w:rsidRPr="004F7361">
        <w:t xml:space="preserve"> period of time before it came into legal effect.</w:t>
      </w:r>
    </w:p>
    <w:p w14:paraId="01C0C8A3" w14:textId="3B0357C7" w:rsidR="008C6BC3" w:rsidRPr="001A743C" w:rsidRDefault="001A743C" w:rsidP="001A743C">
      <w:pPr>
        <w:pStyle w:val="ListNumber"/>
        <w:keepNext/>
        <w:numPr>
          <w:ilvl w:val="0"/>
          <w:numId w:val="0"/>
        </w:numPr>
        <w:ind w:left="1094"/>
        <w:rPr>
          <w:b/>
        </w:rPr>
      </w:pPr>
      <w:r w:rsidRPr="001A743C">
        <w:rPr>
          <w:b/>
          <w:bCs/>
        </w:rPr>
        <w:t>Recommendation 5</w:t>
      </w:r>
    </w:p>
    <w:p w14:paraId="01685DE5" w14:textId="24799088" w:rsidR="00D54B55" w:rsidRPr="00D54B55" w:rsidRDefault="0014094D" w:rsidP="00D54B55">
      <w:pPr>
        <w:pStyle w:val="ListNumber"/>
        <w:numPr>
          <w:ilvl w:val="0"/>
          <w:numId w:val="0"/>
        </w:numPr>
        <w:ind w:left="1094"/>
      </w:pPr>
      <w:r>
        <w:t>The Commission recommends t</w:t>
      </w:r>
      <w:r w:rsidR="00491EC1">
        <w:t xml:space="preserve">hat the </w:t>
      </w:r>
      <w:r w:rsidR="00491EC1" w:rsidRPr="00491EC1">
        <w:rPr>
          <w:i/>
          <w:iCs/>
        </w:rPr>
        <w:t>Sex Discrimination Act 1984</w:t>
      </w:r>
      <w:r w:rsidR="00491EC1">
        <w:t xml:space="preserve"> (</w:t>
      </w:r>
      <w:proofErr w:type="spellStart"/>
      <w:r w:rsidR="00491EC1">
        <w:t>Cth</w:t>
      </w:r>
      <w:proofErr w:type="spellEnd"/>
      <w:r w:rsidR="00491EC1">
        <w:t xml:space="preserve">) be amended to introduce a positive duty on all employers to take reasonable and proportionate measures to eliminate sex discrimination, sexual </w:t>
      </w:r>
      <w:proofErr w:type="gramStart"/>
      <w:r w:rsidR="00491EC1">
        <w:t>harassment</w:t>
      </w:r>
      <w:proofErr w:type="gramEnd"/>
      <w:r w:rsidR="00491EC1">
        <w:t xml:space="preserve"> and victimisation, as far as possible</w:t>
      </w:r>
      <w:r w:rsidR="00325DDE">
        <w:t xml:space="preserve">.  In determining whether a measure is reasonable and proportionate, the Act should prescribe </w:t>
      </w:r>
      <w:r w:rsidR="00F41DAE">
        <w:t xml:space="preserve">the </w:t>
      </w:r>
      <w:r w:rsidR="00325DDE">
        <w:t xml:space="preserve">factors </w:t>
      </w:r>
      <w:r w:rsidR="00F41DAE">
        <w:t>that must be considered, including, but not limited to:</w:t>
      </w:r>
    </w:p>
    <w:p w14:paraId="37568570" w14:textId="7F3BF815" w:rsidR="00F41DAE" w:rsidRDefault="00F41DAE" w:rsidP="001A743C">
      <w:pPr>
        <w:pStyle w:val="ListNumber"/>
        <w:numPr>
          <w:ilvl w:val="0"/>
          <w:numId w:val="0"/>
        </w:numPr>
        <w:ind w:left="1094"/>
      </w:pPr>
      <w:r>
        <w:t>(a)</w:t>
      </w:r>
      <w:r>
        <w:tab/>
        <w:t>the size of the person’s business or operations</w:t>
      </w:r>
    </w:p>
    <w:p w14:paraId="0B59933F" w14:textId="5BF840CD" w:rsidR="00D77187" w:rsidRPr="00D77187" w:rsidRDefault="00F41DAE" w:rsidP="00156033">
      <w:pPr>
        <w:pStyle w:val="ListNumber"/>
        <w:numPr>
          <w:ilvl w:val="0"/>
          <w:numId w:val="0"/>
        </w:numPr>
        <w:ind w:left="1440" w:hanging="346"/>
      </w:pPr>
      <w:r>
        <w:t>(b)</w:t>
      </w:r>
      <w:r>
        <w:tab/>
        <w:t xml:space="preserve">the nature </w:t>
      </w:r>
      <w:r w:rsidR="00156033">
        <w:t xml:space="preserve">and circumstances </w:t>
      </w:r>
      <w:r>
        <w:t xml:space="preserve">of </w:t>
      </w:r>
      <w:r w:rsidR="00156033">
        <w:t>the person’s business or operations</w:t>
      </w:r>
    </w:p>
    <w:p w14:paraId="338BA1A5" w14:textId="04142851" w:rsidR="00156033" w:rsidRDefault="00156033" w:rsidP="001A743C">
      <w:pPr>
        <w:pStyle w:val="ListNumber"/>
        <w:numPr>
          <w:ilvl w:val="0"/>
          <w:numId w:val="0"/>
        </w:numPr>
        <w:ind w:left="1094"/>
      </w:pPr>
      <w:r>
        <w:t>(c)</w:t>
      </w:r>
      <w:r>
        <w:tab/>
        <w:t>the person’s resources</w:t>
      </w:r>
    </w:p>
    <w:p w14:paraId="0D60979B" w14:textId="574CACB5" w:rsidR="00156033" w:rsidRDefault="00156033" w:rsidP="001A743C">
      <w:pPr>
        <w:pStyle w:val="ListNumber"/>
        <w:numPr>
          <w:ilvl w:val="0"/>
          <w:numId w:val="0"/>
        </w:numPr>
        <w:ind w:left="1094"/>
      </w:pPr>
      <w:r>
        <w:t>(d)</w:t>
      </w:r>
      <w:r>
        <w:tab/>
        <w:t>the person’s business and operational priorities</w:t>
      </w:r>
    </w:p>
    <w:p w14:paraId="622CF59F" w14:textId="2ECFC45E" w:rsidR="00156033" w:rsidRDefault="00156033" w:rsidP="001A743C">
      <w:pPr>
        <w:pStyle w:val="ListNumber"/>
        <w:numPr>
          <w:ilvl w:val="0"/>
          <w:numId w:val="0"/>
        </w:numPr>
        <w:ind w:left="1094"/>
      </w:pPr>
      <w:r>
        <w:t>(e)</w:t>
      </w:r>
      <w:r>
        <w:tab/>
        <w:t>the practicability and the cost of the measures</w:t>
      </w:r>
    </w:p>
    <w:p w14:paraId="50F4B8FE" w14:textId="3945C371" w:rsidR="00F970CB" w:rsidRPr="00F970CB" w:rsidRDefault="00156033" w:rsidP="00F970CB">
      <w:pPr>
        <w:pStyle w:val="ListNumber"/>
        <w:numPr>
          <w:ilvl w:val="0"/>
          <w:numId w:val="0"/>
        </w:numPr>
        <w:ind w:left="1094"/>
      </w:pPr>
      <w:r>
        <w:t>(f)</w:t>
      </w:r>
      <w:r>
        <w:tab/>
        <w:t>all other relevant fact</w:t>
      </w:r>
      <w:r w:rsidR="00BC6491">
        <w:t>s and circumstances.</w:t>
      </w:r>
    </w:p>
    <w:p w14:paraId="5675CE85" w14:textId="6043ECB6" w:rsidR="00AF296E" w:rsidRPr="00AF296E" w:rsidRDefault="00AF296E" w:rsidP="00AF296E">
      <w:pPr>
        <w:pStyle w:val="Heading3"/>
        <w:rPr>
          <w:b/>
          <w:bCs w:val="0"/>
        </w:rPr>
      </w:pPr>
      <w:bookmarkStart w:id="23" w:name="_Toc76719779"/>
      <w:r w:rsidRPr="00AF296E">
        <w:rPr>
          <w:b/>
          <w:bCs w:val="0"/>
        </w:rPr>
        <w:t>Enforcement of a positive duty</w:t>
      </w:r>
      <w:bookmarkEnd w:id="23"/>
    </w:p>
    <w:p w14:paraId="39E43243" w14:textId="0D822FF0" w:rsidR="008B07F1" w:rsidRPr="008B07F1" w:rsidRDefault="003E76BB" w:rsidP="008B07F1">
      <w:pPr>
        <w:pStyle w:val="ListNumber"/>
      </w:pPr>
      <w:r>
        <w:t xml:space="preserve">The Inquiry heard from the Victorian Equal Opportunity and Human Rights Commission (VEOHRC) that </w:t>
      </w:r>
      <w:proofErr w:type="gramStart"/>
      <w:r>
        <w:t>in order for</w:t>
      </w:r>
      <w:proofErr w:type="gramEnd"/>
      <w:r>
        <w:t xml:space="preserve"> a positive duty to be most effective, it should be accompanied by </w:t>
      </w:r>
      <w:r w:rsidR="00A31F82">
        <w:t>powers of enforcement</w:t>
      </w:r>
      <w:r w:rsidR="00E93891">
        <w:t>.</w:t>
      </w:r>
      <w:r w:rsidR="00E93891">
        <w:rPr>
          <w:rStyle w:val="EndnoteReference"/>
        </w:rPr>
        <w:endnoteReference w:id="28"/>
      </w:r>
    </w:p>
    <w:p w14:paraId="74BD0716" w14:textId="11B0B600" w:rsidR="00DF20B0" w:rsidRPr="00DF20B0" w:rsidRDefault="00D66A3A" w:rsidP="00DF20B0">
      <w:pPr>
        <w:pStyle w:val="ListNumber"/>
      </w:pPr>
      <w:r>
        <w:t xml:space="preserve">In the </w:t>
      </w:r>
      <w:proofErr w:type="spellStart"/>
      <w:r>
        <w:t>Respect@Work</w:t>
      </w:r>
      <w:proofErr w:type="spellEnd"/>
      <w:r>
        <w:t xml:space="preserve"> report, the Commission </w:t>
      </w:r>
      <w:r w:rsidR="00184E61">
        <w:t xml:space="preserve">recommended that </w:t>
      </w:r>
      <w:r w:rsidR="00EB5E30">
        <w:t xml:space="preserve">it be given the function of assessing compliance with a positive duty and for </w:t>
      </w:r>
      <w:r w:rsidR="00EB5E30">
        <w:lastRenderedPageBreak/>
        <w:t xml:space="preserve">enforcement.  It made </w:t>
      </w:r>
      <w:proofErr w:type="gramStart"/>
      <w:r w:rsidR="00EB5E30">
        <w:t>a number of</w:t>
      </w:r>
      <w:proofErr w:type="gramEnd"/>
      <w:r w:rsidR="00EB5E30">
        <w:t xml:space="preserve"> </w:t>
      </w:r>
      <w:r w:rsidR="00D06DCD">
        <w:t xml:space="preserve">suggestions as to how this </w:t>
      </w:r>
      <w:r w:rsidR="00EF7D20">
        <w:t>enforcement function could be carried out</w:t>
      </w:r>
      <w:r w:rsidR="003A72DA">
        <w:t xml:space="preserve"> which were based on similar existing regulatory models</w:t>
      </w:r>
      <w:r w:rsidR="00EF7D20">
        <w:t>.</w:t>
      </w:r>
      <w:r w:rsidR="00852192">
        <w:t xml:space="preserve">  </w:t>
      </w:r>
    </w:p>
    <w:p w14:paraId="1ECE51AE" w14:textId="3AA9C78F" w:rsidR="00E73EF3" w:rsidRPr="00E73EF3" w:rsidRDefault="005108B0" w:rsidP="00E73EF3">
      <w:pPr>
        <w:pStyle w:val="ListNumber"/>
      </w:pPr>
      <w:r>
        <w:t>V</w:t>
      </w:r>
      <w:r w:rsidR="00EF2FC1">
        <w:t>EOHRC has a number of e</w:t>
      </w:r>
      <w:r w:rsidR="00B47776">
        <w:t xml:space="preserve">xisting </w:t>
      </w:r>
      <w:r w:rsidR="00EF2FC1">
        <w:t>enforcement powers</w:t>
      </w:r>
      <w:r w:rsidR="00A8168D">
        <w:t xml:space="preserve"> including </w:t>
      </w:r>
      <w:r w:rsidR="00BD6C31">
        <w:t>conducting inquiries</w:t>
      </w:r>
      <w:r w:rsidR="00672B8A">
        <w:t xml:space="preserve"> into </w:t>
      </w:r>
      <w:r w:rsidR="00D85B0C">
        <w:t xml:space="preserve">compliance with positive </w:t>
      </w:r>
      <w:proofErr w:type="gramStart"/>
      <w:r w:rsidR="00D85B0C">
        <w:t>duties, and</w:t>
      </w:r>
      <w:proofErr w:type="gramEnd"/>
      <w:r w:rsidR="00D85B0C">
        <w:t xml:space="preserve"> entering into </w:t>
      </w:r>
      <w:r w:rsidR="00AA09A9">
        <w:t xml:space="preserve">an agreement with a person about action </w:t>
      </w:r>
      <w:r w:rsidR="00F36A9B">
        <w:t xml:space="preserve">required to comply with a positive duty which can then be registered with the Victorian Civil and Administrative Tribunal (VCAT) and enforced as an order of VCAT. </w:t>
      </w:r>
    </w:p>
    <w:p w14:paraId="7E85D026" w14:textId="40AFC836" w:rsidR="00700FAC" w:rsidRPr="00700FAC" w:rsidRDefault="008934DF" w:rsidP="00700FAC">
      <w:pPr>
        <w:pStyle w:val="ListNumber"/>
      </w:pPr>
      <w:r>
        <w:t xml:space="preserve">The UK Equality and Human Rights Commission </w:t>
      </w:r>
      <w:r w:rsidR="007A3FE7">
        <w:t>is responsible for regulating the public sector equality duty</w:t>
      </w:r>
      <w:r w:rsidR="00CB21A0">
        <w:t xml:space="preserve"> and has the power to </w:t>
      </w:r>
      <w:r w:rsidR="00805EE2">
        <w:t xml:space="preserve">issue a compliance notice if it </w:t>
      </w:r>
      <w:r w:rsidR="001C325E">
        <w:t xml:space="preserve">considers </w:t>
      </w:r>
      <w:r w:rsidR="00805EE2">
        <w:t>that an organisation has failed to comply</w:t>
      </w:r>
      <w:r w:rsidR="00D846B2">
        <w:t xml:space="preserve">.  It may also </w:t>
      </w:r>
      <w:r w:rsidR="00493626">
        <w:t>apply to the courts for an order requiring compliance with the equality duty.</w:t>
      </w:r>
    </w:p>
    <w:p w14:paraId="05591530" w14:textId="46A7BF96" w:rsidR="001F5451" w:rsidRDefault="00680E8F" w:rsidP="00FD35A2">
      <w:pPr>
        <w:pStyle w:val="ListNumber"/>
      </w:pPr>
      <w:r>
        <w:t>It would be appropriate for equivalent functions to be given to t</w:t>
      </w:r>
      <w:r w:rsidR="001F5451">
        <w:t xml:space="preserve">he Commission </w:t>
      </w:r>
      <w:r w:rsidR="002F2A1B">
        <w:t xml:space="preserve">in relation to </w:t>
      </w:r>
      <w:r w:rsidR="00B46234">
        <w:t>a positive duty included in the SDA.</w:t>
      </w:r>
    </w:p>
    <w:p w14:paraId="453A8E31" w14:textId="792E334D" w:rsidR="00F3138F" w:rsidRPr="00A25D10" w:rsidRDefault="00B83E0E" w:rsidP="00A25D10">
      <w:pPr>
        <w:pStyle w:val="ListNumber"/>
        <w:keepNext/>
        <w:numPr>
          <w:ilvl w:val="0"/>
          <w:numId w:val="0"/>
        </w:numPr>
        <w:ind w:left="1094"/>
        <w:rPr>
          <w:b/>
        </w:rPr>
      </w:pPr>
      <w:r w:rsidRPr="00A25D10">
        <w:rPr>
          <w:b/>
        </w:rPr>
        <w:t xml:space="preserve">Recommendation </w:t>
      </w:r>
      <w:r w:rsidR="00A25D10" w:rsidRPr="00A25D10">
        <w:rPr>
          <w:b/>
          <w:bCs/>
        </w:rPr>
        <w:t>6</w:t>
      </w:r>
    </w:p>
    <w:p w14:paraId="06B4BFD5" w14:textId="1D660618" w:rsidR="00A25D10" w:rsidRDefault="00A25D10" w:rsidP="00C870B2">
      <w:pPr>
        <w:pStyle w:val="ListNumber"/>
        <w:numPr>
          <w:ilvl w:val="0"/>
          <w:numId w:val="0"/>
        </w:numPr>
        <w:ind w:left="1094"/>
      </w:pPr>
      <w:r>
        <w:t>The Commission be given the function of assessing compliance with the positive duty, and for enforcement. This may include providing the Commission with the power to:</w:t>
      </w:r>
    </w:p>
    <w:p w14:paraId="41BF164D" w14:textId="4828A3CD" w:rsidR="00A25D10" w:rsidRDefault="009F23A4" w:rsidP="009F23A4">
      <w:pPr>
        <w:pStyle w:val="ListNumber"/>
        <w:numPr>
          <w:ilvl w:val="0"/>
          <w:numId w:val="0"/>
        </w:numPr>
        <w:ind w:left="1440" w:hanging="346"/>
      </w:pPr>
      <w:r>
        <w:t>(</w:t>
      </w:r>
      <w:r w:rsidR="00A25D10">
        <w:t>a</w:t>
      </w:r>
      <w:r>
        <w:t>)</w:t>
      </w:r>
      <w:r>
        <w:tab/>
      </w:r>
      <w:r w:rsidR="00A25D10">
        <w:t>undertake assessments of the extent to which an organisation has complied with the duty, and issue compliance notices if it considers that an organisation has failed to comply</w:t>
      </w:r>
    </w:p>
    <w:p w14:paraId="0F5102D7" w14:textId="5CDAFD8A" w:rsidR="00A25D10" w:rsidRDefault="009F23A4" w:rsidP="009F23A4">
      <w:pPr>
        <w:pStyle w:val="ListNumber"/>
        <w:numPr>
          <w:ilvl w:val="0"/>
          <w:numId w:val="0"/>
        </w:numPr>
        <w:ind w:left="1440" w:hanging="346"/>
      </w:pPr>
      <w:r>
        <w:t>(</w:t>
      </w:r>
      <w:r w:rsidR="00A25D10">
        <w:t>b</w:t>
      </w:r>
      <w:r>
        <w:t>)</w:t>
      </w:r>
      <w:r>
        <w:tab/>
      </w:r>
      <w:proofErr w:type="gramStart"/>
      <w:r w:rsidR="00A25D10">
        <w:t>enter into</w:t>
      </w:r>
      <w:proofErr w:type="gramEnd"/>
      <w:r w:rsidR="00A25D10">
        <w:t xml:space="preserve"> agreements/enforceable undertakings with the organisation</w:t>
      </w:r>
    </w:p>
    <w:p w14:paraId="64332ADB" w14:textId="7C46F67A" w:rsidR="00A25D10" w:rsidRDefault="009F23A4" w:rsidP="009F23A4">
      <w:pPr>
        <w:pStyle w:val="ListNumber"/>
        <w:numPr>
          <w:ilvl w:val="0"/>
          <w:numId w:val="0"/>
        </w:numPr>
        <w:ind w:left="1094"/>
      </w:pPr>
      <w:r>
        <w:t>(</w:t>
      </w:r>
      <w:r w:rsidR="00A25D10">
        <w:t>c</w:t>
      </w:r>
      <w:r>
        <w:t>)</w:t>
      </w:r>
      <w:r>
        <w:tab/>
      </w:r>
      <w:r w:rsidR="00A25D10">
        <w:t>apply to the Court for an order requiring compliance with the duty.</w:t>
      </w:r>
    </w:p>
    <w:p w14:paraId="2F7F7AD2" w14:textId="77777777" w:rsidR="005C6C2C" w:rsidRDefault="005C6C2C" w:rsidP="005C6C2C">
      <w:pPr>
        <w:pStyle w:val="Heading1"/>
      </w:pPr>
      <w:bookmarkStart w:id="24" w:name="_Toc76719780"/>
      <w:r>
        <w:t>Amendments to the Fair Work Act</w:t>
      </w:r>
      <w:bookmarkEnd w:id="24"/>
    </w:p>
    <w:p w14:paraId="48979225" w14:textId="379BDE99" w:rsidR="00B67507" w:rsidRPr="00B67507" w:rsidRDefault="0062029F" w:rsidP="004F06B3">
      <w:pPr>
        <w:pStyle w:val="Heading2"/>
      </w:pPr>
      <w:bookmarkStart w:id="25" w:name="_Ref76233806"/>
      <w:bookmarkStart w:id="26" w:name="_Toc76719781"/>
      <w:r>
        <w:t>Stop sex</w:t>
      </w:r>
      <w:r w:rsidR="004F06B3">
        <w:t>ual harassment orders</w:t>
      </w:r>
      <w:bookmarkEnd w:id="25"/>
      <w:bookmarkEnd w:id="26"/>
    </w:p>
    <w:p w14:paraId="3D2B88FE" w14:textId="281E7214" w:rsidR="0065269D" w:rsidRPr="0065269D" w:rsidRDefault="00CB36BB" w:rsidP="0065269D">
      <w:pPr>
        <w:pStyle w:val="ListNumber"/>
      </w:pPr>
      <w:r>
        <w:t xml:space="preserve">An important part of integrating </w:t>
      </w:r>
      <w:r w:rsidR="0004045D">
        <w:t>protections against sexual harassment across discrimination and workplace</w:t>
      </w:r>
      <w:r w:rsidR="00C059CC">
        <w:t xml:space="preserve"> laws is the introduction of </w:t>
      </w:r>
      <w:r w:rsidR="006444F2">
        <w:t xml:space="preserve">‘stop sexual harassment orders’ which </w:t>
      </w:r>
      <w:r w:rsidR="00D54B0A">
        <w:t>will be able to be issued</w:t>
      </w:r>
      <w:r w:rsidR="006444F2">
        <w:t xml:space="preserve"> </w:t>
      </w:r>
      <w:r w:rsidR="00875C06">
        <w:t>by the Fair Work Commission.</w:t>
      </w:r>
    </w:p>
    <w:p w14:paraId="4509FCC7" w14:textId="0F2C42A2" w:rsidR="002A7296" w:rsidRPr="002A7296" w:rsidRDefault="00875C06" w:rsidP="002A7296">
      <w:pPr>
        <w:pStyle w:val="ListNumber"/>
      </w:pPr>
      <w:r>
        <w:t>The</w:t>
      </w:r>
      <w:r w:rsidR="0099663B">
        <w:t xml:space="preserve"> </w:t>
      </w:r>
      <w:r w:rsidR="00B94710">
        <w:t>‘</w:t>
      </w:r>
      <w:r>
        <w:t>stop sexual harassment orders</w:t>
      </w:r>
      <w:r w:rsidR="00B94710">
        <w:t>’</w:t>
      </w:r>
      <w:r>
        <w:t xml:space="preserve"> </w:t>
      </w:r>
      <w:r w:rsidR="00FD27C4">
        <w:t xml:space="preserve">in proposed </w:t>
      </w:r>
      <w:r w:rsidR="000444AB">
        <w:t>new s </w:t>
      </w:r>
      <w:r w:rsidR="00AB1903">
        <w:t>789</w:t>
      </w:r>
      <w:proofErr w:type="gramStart"/>
      <w:r w:rsidR="00AB1903">
        <w:t>FF</w:t>
      </w:r>
      <w:r w:rsidR="00C100B5">
        <w:t>(</w:t>
      </w:r>
      <w:proofErr w:type="gramEnd"/>
      <w:r w:rsidR="00C100B5">
        <w:t xml:space="preserve">1) of the </w:t>
      </w:r>
      <w:r w:rsidR="00C100B5" w:rsidRPr="00333E6D">
        <w:rPr>
          <w:i/>
        </w:rPr>
        <w:t xml:space="preserve">Fair Work Act </w:t>
      </w:r>
      <w:r w:rsidR="00C100B5" w:rsidRPr="00333E6D">
        <w:rPr>
          <w:i/>
          <w:iCs/>
        </w:rPr>
        <w:t>2</w:t>
      </w:r>
      <w:r w:rsidR="00333E6D" w:rsidRPr="00333E6D">
        <w:rPr>
          <w:i/>
          <w:iCs/>
        </w:rPr>
        <w:t>009</w:t>
      </w:r>
      <w:r w:rsidR="00333E6D">
        <w:t xml:space="preserve"> (</w:t>
      </w:r>
      <w:proofErr w:type="spellStart"/>
      <w:r w:rsidR="00333E6D">
        <w:t>Cth</w:t>
      </w:r>
      <w:proofErr w:type="spellEnd"/>
      <w:r w:rsidR="00333E6D">
        <w:t xml:space="preserve">) </w:t>
      </w:r>
      <w:r w:rsidR="00A13A52">
        <w:t xml:space="preserve">(Fair Work Act) </w:t>
      </w:r>
      <w:r w:rsidR="0099663B">
        <w:t xml:space="preserve">are based on the existing ‘stop </w:t>
      </w:r>
      <w:r w:rsidR="0099663B">
        <w:lastRenderedPageBreak/>
        <w:t xml:space="preserve">bullying orders’ and implement </w:t>
      </w:r>
      <w:r w:rsidR="00A7540B">
        <w:t xml:space="preserve">recommendation </w:t>
      </w:r>
      <w:r w:rsidR="002035B0">
        <w:t xml:space="preserve">29 of the </w:t>
      </w:r>
      <w:proofErr w:type="spellStart"/>
      <w:r w:rsidR="002035B0">
        <w:t>Respect@Work</w:t>
      </w:r>
      <w:proofErr w:type="spellEnd"/>
      <w:r w:rsidR="002035B0">
        <w:t xml:space="preserve"> report.</w:t>
      </w:r>
    </w:p>
    <w:p w14:paraId="37F50AC8" w14:textId="78D31494" w:rsidR="0034527C" w:rsidRDefault="009D3996" w:rsidP="001E1A16">
      <w:pPr>
        <w:pStyle w:val="ListNumber"/>
      </w:pPr>
      <w:r>
        <w:t xml:space="preserve">A worker will be able to apply to the </w:t>
      </w:r>
      <w:r w:rsidR="000F5B30">
        <w:t>Fair Work Commission</w:t>
      </w:r>
      <w:r>
        <w:t xml:space="preserve"> for an order.  </w:t>
      </w:r>
      <w:r w:rsidR="009A4927">
        <w:t xml:space="preserve">If the </w:t>
      </w:r>
      <w:r w:rsidR="000F5B30">
        <w:t>Fair Work Commission</w:t>
      </w:r>
      <w:r>
        <w:t xml:space="preserve"> </w:t>
      </w:r>
      <w:r w:rsidR="00636689">
        <w:t>is satisfied that the worker has been sexually harassed at work by one or more individuals</w:t>
      </w:r>
      <w:r w:rsidR="004C1E8E">
        <w:t xml:space="preserve">, and that there is a risk </w:t>
      </w:r>
      <w:r w:rsidR="00472D17">
        <w:t xml:space="preserve">that this conduct will be repeated, </w:t>
      </w:r>
      <w:r w:rsidR="00174937">
        <w:t xml:space="preserve">it may make </w:t>
      </w:r>
      <w:r w:rsidR="00494044">
        <w:t>an appropriate</w:t>
      </w:r>
      <w:r w:rsidR="00174937">
        <w:t xml:space="preserve"> order </w:t>
      </w:r>
      <w:r w:rsidR="00AD2CA1">
        <w:t xml:space="preserve">to prevent the </w:t>
      </w:r>
      <w:r w:rsidR="000B7981">
        <w:t xml:space="preserve">worker from being </w:t>
      </w:r>
      <w:r w:rsidR="00AD2CA1">
        <w:t>s</w:t>
      </w:r>
      <w:r w:rsidR="00220E46">
        <w:t>exual</w:t>
      </w:r>
      <w:r w:rsidR="000B7981">
        <w:t>ly</w:t>
      </w:r>
      <w:r w:rsidR="00220E46">
        <w:t xml:space="preserve"> harass</w:t>
      </w:r>
      <w:r w:rsidR="000B7981">
        <w:t>ed</w:t>
      </w:r>
      <w:r w:rsidR="00AD4095">
        <w:t xml:space="preserve"> in the future</w:t>
      </w:r>
      <w:r w:rsidR="000B7981">
        <w:t>.</w:t>
      </w:r>
      <w:r w:rsidR="00CB792C">
        <w:t xml:space="preserve">  </w:t>
      </w:r>
      <w:r w:rsidR="00410CB3">
        <w:t xml:space="preserve">Importantly, unlike the existing stop bullying orders, </w:t>
      </w:r>
      <w:r w:rsidR="00982751">
        <w:t xml:space="preserve">a worker will be able to apply for a stop sexual harassment order </w:t>
      </w:r>
      <w:r w:rsidR="008C7EB7">
        <w:t xml:space="preserve">after a single instance of sexual harassment and </w:t>
      </w:r>
      <w:r w:rsidR="00410CB3">
        <w:t xml:space="preserve">it will not be necessary for the worker to </w:t>
      </w:r>
      <w:r w:rsidR="008C7EB7">
        <w:t xml:space="preserve">separately </w:t>
      </w:r>
      <w:r w:rsidR="00410CB3">
        <w:t xml:space="preserve">demonstrate </w:t>
      </w:r>
      <w:r w:rsidR="008C7EB7">
        <w:t xml:space="preserve">that the sexual harassment </w:t>
      </w:r>
      <w:r w:rsidR="00DA7E90">
        <w:t xml:space="preserve">is a risk to health and safety.  </w:t>
      </w:r>
      <w:r w:rsidR="00E23F1F">
        <w:t>This is because, a</w:t>
      </w:r>
      <w:r w:rsidR="00DA7E90">
        <w:t xml:space="preserve">s the Government has identified in the Explanatory Memorandum, </w:t>
      </w:r>
      <w:r w:rsidR="00C3036C">
        <w:t xml:space="preserve">sexual harassment is a </w:t>
      </w:r>
      <w:r w:rsidR="003E70F4">
        <w:t>known and accepted work health and safety risk.</w:t>
      </w:r>
      <w:r w:rsidR="003E70F4">
        <w:rPr>
          <w:rStyle w:val="EndnoteReference"/>
        </w:rPr>
        <w:endnoteReference w:id="29"/>
      </w:r>
      <w:r w:rsidR="00127B26">
        <w:t xml:space="preserve">  Breach of a</w:t>
      </w:r>
      <w:r w:rsidR="007950C9">
        <w:t xml:space="preserve"> stop bullying </w:t>
      </w:r>
      <w:proofErr w:type="gramStart"/>
      <w:r w:rsidR="007950C9">
        <w:t>order</w:t>
      </w:r>
      <w:proofErr w:type="gramEnd"/>
      <w:r w:rsidR="007950C9">
        <w:t xml:space="preserve"> or a stop sexual harassment order </w:t>
      </w:r>
      <w:r w:rsidR="00BC0298">
        <w:t>gives rise to civil remedies.</w:t>
      </w:r>
    </w:p>
    <w:p w14:paraId="7CF81106" w14:textId="2E38111B" w:rsidR="00BE2C43" w:rsidRPr="00BE2C43" w:rsidRDefault="00EF6503" w:rsidP="00BE2C43">
      <w:pPr>
        <w:pStyle w:val="ListNumber"/>
      </w:pPr>
      <w:r>
        <w:t xml:space="preserve">These kinds of orders </w:t>
      </w:r>
      <w:r w:rsidR="00204BEB">
        <w:t xml:space="preserve">provide a </w:t>
      </w:r>
      <w:r w:rsidR="00EE64B5">
        <w:t>quick</w:t>
      </w:r>
      <w:r w:rsidR="00D13862">
        <w:t xml:space="preserve">, </w:t>
      </w:r>
      <w:proofErr w:type="gramStart"/>
      <w:r w:rsidR="00D13862">
        <w:t>inexpensive</w:t>
      </w:r>
      <w:proofErr w:type="gramEnd"/>
      <w:r w:rsidR="00D13862">
        <w:t xml:space="preserve"> and flexible </w:t>
      </w:r>
      <w:r w:rsidR="00ED0974">
        <w:t xml:space="preserve">way to deal with workplace </w:t>
      </w:r>
      <w:r w:rsidR="00F70669">
        <w:t xml:space="preserve">misconduct where the ultimate aim of </w:t>
      </w:r>
      <w:r w:rsidR="002F41A2">
        <w:t xml:space="preserve">both the worker and the business </w:t>
      </w:r>
      <w:r w:rsidR="00042F66">
        <w:t>is to restore the working relationship.</w:t>
      </w:r>
      <w:r w:rsidR="005E7EE1">
        <w:t xml:space="preserve">  The introduction of a specific stop sexual harassment order will provide an alternative, and less adversarial, way for </w:t>
      </w:r>
      <w:r w:rsidR="001F67E0">
        <w:t xml:space="preserve">victims of sexual harassment to </w:t>
      </w:r>
      <w:r w:rsidR="00A656B6">
        <w:t>have their concerns addressed</w:t>
      </w:r>
      <w:r w:rsidR="00A273DD">
        <w:t>.</w:t>
      </w:r>
    </w:p>
    <w:p w14:paraId="790C06EF" w14:textId="68E82158" w:rsidR="00D67A8B" w:rsidRDefault="002D0780" w:rsidP="001E1A16">
      <w:pPr>
        <w:pStyle w:val="ListNumber"/>
      </w:pPr>
      <w:r>
        <w:t xml:space="preserve">When the </w:t>
      </w:r>
      <w:r w:rsidR="00F972F4">
        <w:t xml:space="preserve">Commission </w:t>
      </w:r>
      <w:r w:rsidR="00FF025F">
        <w:t xml:space="preserve">made its recommendations in the </w:t>
      </w:r>
      <w:proofErr w:type="spellStart"/>
      <w:r w:rsidR="00FF025F">
        <w:t>Respect@Work</w:t>
      </w:r>
      <w:proofErr w:type="spellEnd"/>
      <w:r w:rsidR="00FF025F">
        <w:t xml:space="preserve"> report dealing with </w:t>
      </w:r>
      <w:r w:rsidR="007E02B7">
        <w:t xml:space="preserve">the introduction of a stop sexual harassment order, sexual harassment was the only kind of harassment then prohibited in the SDA.  As noted above, the Bill will now </w:t>
      </w:r>
      <w:r w:rsidR="00043193">
        <w:t xml:space="preserve">introduce a separate prohibition against sex-based harassment.  The Government’s aim in </w:t>
      </w:r>
      <w:r w:rsidR="00D67A8B">
        <w:t xml:space="preserve">delineating the scope of sex-based harassment has been to prohibit harassment that is different in kind but of the same degree of </w:t>
      </w:r>
      <w:r w:rsidR="00C724C6">
        <w:t>significance</w:t>
      </w:r>
      <w:r w:rsidR="00D67A8B">
        <w:t xml:space="preserve"> </w:t>
      </w:r>
      <w:r w:rsidR="00A66CC3">
        <w:t xml:space="preserve">as sexual harassment </w:t>
      </w:r>
      <w:r w:rsidR="00D67A8B">
        <w:t>(see [</w:t>
      </w:r>
      <w:r w:rsidR="00C724C6">
        <w:fldChar w:fldCharType="begin"/>
      </w:r>
      <w:r w:rsidR="00C724C6">
        <w:instrText xml:space="preserve"> REF _Ref76232511 \r \h </w:instrText>
      </w:r>
      <w:r w:rsidR="00C724C6">
        <w:fldChar w:fldCharType="separate"/>
      </w:r>
      <w:r w:rsidR="00532A8C">
        <w:t>31</w:t>
      </w:r>
      <w:r w:rsidR="00C724C6">
        <w:fldChar w:fldCharType="end"/>
      </w:r>
      <w:r w:rsidR="00D67A8B">
        <w:t>] above).</w:t>
      </w:r>
      <w:r w:rsidR="00A66CC3">
        <w:t xml:space="preserve">  </w:t>
      </w:r>
      <w:proofErr w:type="gramStart"/>
      <w:r w:rsidR="00A66CC3">
        <w:t>It is clear that sex-based</w:t>
      </w:r>
      <w:proofErr w:type="gramEnd"/>
      <w:r w:rsidR="00A66CC3">
        <w:t xml:space="preserve"> harassment is also a work health and safety issue.</w:t>
      </w:r>
    </w:p>
    <w:p w14:paraId="17C3FFCE" w14:textId="5294CF1E" w:rsidR="00830F3B" w:rsidRPr="00830F3B" w:rsidRDefault="00D67A8B" w:rsidP="00830F3B">
      <w:pPr>
        <w:pStyle w:val="ListNumber"/>
      </w:pPr>
      <w:r>
        <w:t>The Commission considers that it is appropr</w:t>
      </w:r>
      <w:r w:rsidR="000E244C">
        <w:t xml:space="preserve">iate </w:t>
      </w:r>
      <w:r w:rsidR="0069546B">
        <w:t xml:space="preserve">for the </w:t>
      </w:r>
      <w:r w:rsidR="005F297F">
        <w:t>Fair Work Commission</w:t>
      </w:r>
      <w:r w:rsidR="0069546B">
        <w:t xml:space="preserve"> to also </w:t>
      </w:r>
      <w:proofErr w:type="gramStart"/>
      <w:r w:rsidR="0069546B">
        <w:t>have the ability to</w:t>
      </w:r>
      <w:proofErr w:type="gramEnd"/>
      <w:r w:rsidR="0069546B">
        <w:t xml:space="preserve"> make orders </w:t>
      </w:r>
      <w:r w:rsidR="006F4374">
        <w:t xml:space="preserve">that may be necessary to </w:t>
      </w:r>
      <w:r w:rsidR="00EE06F6">
        <w:t>stop</w:t>
      </w:r>
      <w:r w:rsidR="0069546B">
        <w:t xml:space="preserve"> sex-based </w:t>
      </w:r>
      <w:r w:rsidR="00EE06F6">
        <w:t xml:space="preserve">harassment from occurring. </w:t>
      </w:r>
      <w:r w:rsidR="0052314E">
        <w:t xml:space="preserve"> Such an amendment is consistent with the </w:t>
      </w:r>
      <w:r w:rsidR="004D3B79">
        <w:t xml:space="preserve">Government’s objectives in </w:t>
      </w:r>
      <w:r w:rsidR="006F63F5">
        <w:t xml:space="preserve">introducing the Bill and with the way in which </w:t>
      </w:r>
      <w:r w:rsidR="006D43EE">
        <w:t>its reforms in this area have been structured.</w:t>
      </w:r>
    </w:p>
    <w:p w14:paraId="6C33EFB2" w14:textId="4B234EA0" w:rsidR="00650382" w:rsidRDefault="00635B80" w:rsidP="001E1A16">
      <w:pPr>
        <w:pStyle w:val="ListNumber"/>
      </w:pPr>
      <w:r>
        <w:lastRenderedPageBreak/>
        <w:t>The Bill treats s</w:t>
      </w:r>
      <w:r w:rsidR="00650382">
        <w:t xml:space="preserve">exual harassment and sex-based harassment in </w:t>
      </w:r>
      <w:r w:rsidR="00DF67C8">
        <w:t xml:space="preserve">the same </w:t>
      </w:r>
      <w:r w:rsidR="00650382">
        <w:t>way throughout the SDA, for example in relation to the availability of ancillary liability or vicarious liability.  It is appropriate that they are also treated the same way in the Fair Work Act.</w:t>
      </w:r>
      <w:r w:rsidR="005D6D27">
        <w:t xml:space="preserve">  This will improve the coordination, consistency and clarity between </w:t>
      </w:r>
      <w:r w:rsidR="00822906">
        <w:t xml:space="preserve">the </w:t>
      </w:r>
      <w:r w:rsidR="005D6D27">
        <w:t>anti-discrimination and work health and safety legislative schemes</w:t>
      </w:r>
      <w:r w:rsidR="000D6F6F">
        <w:t xml:space="preserve">.  It will also </w:t>
      </w:r>
      <w:r w:rsidR="00FE7281">
        <w:t>ensure</w:t>
      </w:r>
      <w:r w:rsidR="00BE4647">
        <w:t>, appropriately,</w:t>
      </w:r>
      <w:r w:rsidR="00FE7281">
        <w:t xml:space="preserve"> that there </w:t>
      </w:r>
      <w:r w:rsidR="00D73AB6">
        <w:t>is a range of</w:t>
      </w:r>
      <w:r w:rsidR="00FE7281">
        <w:t xml:space="preserve"> graduated altern</w:t>
      </w:r>
      <w:r w:rsidR="00845E16">
        <w:t>a</w:t>
      </w:r>
      <w:r w:rsidR="00FE7281">
        <w:t>tiv</w:t>
      </w:r>
      <w:r w:rsidR="00845E16">
        <w:t>es available to respond to sex-based harassment.</w:t>
      </w:r>
    </w:p>
    <w:p w14:paraId="68499AE2" w14:textId="1F527BD5" w:rsidR="00C011D4" w:rsidRPr="00C011D4" w:rsidRDefault="00C011D4" w:rsidP="00C011D4">
      <w:pPr>
        <w:pStyle w:val="ListNumber"/>
        <w:keepNext/>
        <w:numPr>
          <w:ilvl w:val="0"/>
          <w:numId w:val="0"/>
        </w:numPr>
        <w:ind w:left="1094"/>
        <w:rPr>
          <w:b/>
          <w:bCs/>
        </w:rPr>
      </w:pPr>
      <w:r w:rsidRPr="00C011D4">
        <w:rPr>
          <w:b/>
          <w:bCs/>
        </w:rPr>
        <w:t>Recommendation 7</w:t>
      </w:r>
    </w:p>
    <w:p w14:paraId="5B0120E3" w14:textId="099048D6" w:rsidR="00C011D4" w:rsidRDefault="00C011D4" w:rsidP="00C011D4">
      <w:pPr>
        <w:pStyle w:val="ListNumber"/>
        <w:numPr>
          <w:ilvl w:val="0"/>
          <w:numId w:val="0"/>
        </w:numPr>
        <w:ind w:left="1094"/>
      </w:pPr>
      <w:r>
        <w:t xml:space="preserve">The Commission recommends that the </w:t>
      </w:r>
      <w:r w:rsidRPr="00C011D4">
        <w:rPr>
          <w:i/>
          <w:iCs/>
        </w:rPr>
        <w:t>Fair Work Act 2009</w:t>
      </w:r>
      <w:r>
        <w:t xml:space="preserve"> (</w:t>
      </w:r>
      <w:proofErr w:type="spellStart"/>
      <w:r>
        <w:t>Cth</w:t>
      </w:r>
      <w:proofErr w:type="spellEnd"/>
      <w:r>
        <w:t>) be amended to allow the Fair Work Commission to make a stop sex-based harassment order.</w:t>
      </w:r>
    </w:p>
    <w:p w14:paraId="555AF2C7" w14:textId="29F72CDC" w:rsidR="00395674" w:rsidRPr="00395674" w:rsidRDefault="00B11B1C" w:rsidP="00B11B1C">
      <w:pPr>
        <w:pStyle w:val="Heading2"/>
      </w:pPr>
      <w:bookmarkStart w:id="27" w:name="_Toc76719782"/>
      <w:r>
        <w:t>Termination of employment for sexual harassment</w:t>
      </w:r>
      <w:bookmarkEnd w:id="27"/>
    </w:p>
    <w:p w14:paraId="0751C6D2" w14:textId="47A57D21" w:rsidR="00FB3388" w:rsidRPr="00FB3388" w:rsidRDefault="000D72F1" w:rsidP="00FB3388">
      <w:pPr>
        <w:pStyle w:val="ListNumber"/>
      </w:pPr>
      <w:r>
        <w:t xml:space="preserve">In response to concerns raised by </w:t>
      </w:r>
      <w:r w:rsidR="002663CC">
        <w:t xml:space="preserve">employers, the Commission recommended in the </w:t>
      </w:r>
      <w:proofErr w:type="spellStart"/>
      <w:r w:rsidR="002663CC">
        <w:t>Respect@Work</w:t>
      </w:r>
      <w:proofErr w:type="spellEnd"/>
      <w:r w:rsidR="002663CC">
        <w:t xml:space="preserve"> report that </w:t>
      </w:r>
      <w:r w:rsidR="002A1C6E">
        <w:t>s </w:t>
      </w:r>
      <w:r w:rsidR="00673784">
        <w:t xml:space="preserve">387 of the </w:t>
      </w:r>
      <w:r w:rsidR="00673784" w:rsidRPr="00A13A52">
        <w:t>Fair Work Act</w:t>
      </w:r>
      <w:r w:rsidR="002253B7" w:rsidRPr="00A13A52">
        <w:t xml:space="preserve"> </w:t>
      </w:r>
      <w:r w:rsidR="002253B7">
        <w:t xml:space="preserve">be amended </w:t>
      </w:r>
      <w:r w:rsidR="00CD2C42">
        <w:t xml:space="preserve">to clarify </w:t>
      </w:r>
      <w:r w:rsidR="00C76DC2">
        <w:t xml:space="preserve">that sexual harassment can be conduct amounting to a valid </w:t>
      </w:r>
      <w:r w:rsidR="00F852D7">
        <w:t xml:space="preserve">reason for dismissal, in determining whether </w:t>
      </w:r>
      <w:r w:rsidR="005C60FA">
        <w:t xml:space="preserve">a dismissal was harsh, </w:t>
      </w:r>
      <w:proofErr w:type="gramStart"/>
      <w:r w:rsidR="005C60FA">
        <w:t>unjust</w:t>
      </w:r>
      <w:proofErr w:type="gramEnd"/>
      <w:r w:rsidR="005C60FA">
        <w:t xml:space="preserve"> or unreasonable.</w:t>
      </w:r>
      <w:r w:rsidR="00A13A52">
        <w:rPr>
          <w:rStyle w:val="EndnoteReference"/>
        </w:rPr>
        <w:endnoteReference w:id="30"/>
      </w:r>
    </w:p>
    <w:p w14:paraId="2598EA51" w14:textId="1BD7F7DF" w:rsidR="00E5134F" w:rsidRPr="00E5134F" w:rsidRDefault="003654D5" w:rsidP="00E5134F">
      <w:pPr>
        <w:pStyle w:val="ListNumber"/>
      </w:pPr>
      <w:r>
        <w:t xml:space="preserve">The Bill </w:t>
      </w:r>
      <w:r w:rsidR="009D759F">
        <w:t xml:space="preserve">would insert a </w:t>
      </w:r>
      <w:r w:rsidR="0075009A">
        <w:t>legislative N</w:t>
      </w:r>
      <w:r w:rsidR="009D759F">
        <w:t>ote</w:t>
      </w:r>
      <w:r w:rsidR="0075009A">
        <w:t xml:space="preserve"> to s 387 </w:t>
      </w:r>
      <w:r w:rsidR="005507C3">
        <w:t>in the following form</w:t>
      </w:r>
      <w:r w:rsidR="00D3520C">
        <w:t>:</w:t>
      </w:r>
    </w:p>
    <w:p w14:paraId="6BF54E6C" w14:textId="49605125" w:rsidR="005E6584" w:rsidRPr="00056071" w:rsidRDefault="005507C3" w:rsidP="005507C3">
      <w:pPr>
        <w:pStyle w:val="ListNumber"/>
        <w:numPr>
          <w:ilvl w:val="0"/>
          <w:numId w:val="0"/>
        </w:numPr>
        <w:ind w:left="2160" w:hanging="1066"/>
        <w:rPr>
          <w:sz w:val="22"/>
          <w:szCs w:val="22"/>
        </w:rPr>
      </w:pPr>
      <w:r w:rsidRPr="00056071">
        <w:rPr>
          <w:sz w:val="22"/>
          <w:szCs w:val="22"/>
        </w:rPr>
        <w:tab/>
        <w:t>Note:</w:t>
      </w:r>
      <w:r w:rsidRPr="00056071">
        <w:rPr>
          <w:sz w:val="22"/>
          <w:szCs w:val="22"/>
        </w:rPr>
        <w:tab/>
        <w:t>For the purposes of paragraph (a), the following conduct can amount to a valid reason for the dismissal:</w:t>
      </w:r>
    </w:p>
    <w:p w14:paraId="3B84DB65" w14:textId="23CD0E09" w:rsidR="001040EB" w:rsidRPr="00056071" w:rsidDel="009B7C2F" w:rsidRDefault="0089319D" w:rsidP="005507C3">
      <w:pPr>
        <w:pStyle w:val="ListNumber"/>
        <w:numPr>
          <w:ilvl w:val="0"/>
          <w:numId w:val="0"/>
        </w:numPr>
        <w:ind w:left="2160" w:hanging="1066"/>
        <w:rPr>
          <w:sz w:val="22"/>
          <w:szCs w:val="22"/>
        </w:rPr>
      </w:pPr>
      <w:r w:rsidRPr="00056071">
        <w:rPr>
          <w:sz w:val="22"/>
          <w:szCs w:val="22"/>
        </w:rPr>
        <w:tab/>
      </w:r>
      <w:r w:rsidRPr="00056071">
        <w:rPr>
          <w:sz w:val="22"/>
          <w:szCs w:val="22"/>
        </w:rPr>
        <w:tab/>
        <w:t>(a)</w:t>
      </w:r>
      <w:r w:rsidRPr="00056071">
        <w:rPr>
          <w:sz w:val="22"/>
          <w:szCs w:val="22"/>
        </w:rPr>
        <w:tab/>
        <w:t>the person sexually harasses another person; and</w:t>
      </w:r>
    </w:p>
    <w:p w14:paraId="755F5DEB" w14:textId="41B2FB75" w:rsidR="000541EE" w:rsidRPr="00056071" w:rsidRDefault="000541EE" w:rsidP="005507C3">
      <w:pPr>
        <w:pStyle w:val="ListNumber"/>
        <w:numPr>
          <w:ilvl w:val="0"/>
          <w:numId w:val="0"/>
        </w:numPr>
        <w:ind w:left="2160" w:hanging="1066"/>
        <w:rPr>
          <w:sz w:val="22"/>
          <w:szCs w:val="22"/>
        </w:rPr>
      </w:pPr>
      <w:r w:rsidRPr="00056071">
        <w:rPr>
          <w:sz w:val="22"/>
          <w:szCs w:val="22"/>
        </w:rPr>
        <w:tab/>
      </w:r>
      <w:r w:rsidR="0089319D" w:rsidRPr="00056071">
        <w:rPr>
          <w:sz w:val="22"/>
          <w:szCs w:val="22"/>
        </w:rPr>
        <w:tab/>
      </w:r>
      <w:r w:rsidR="00DA1DA2" w:rsidRPr="00056071">
        <w:rPr>
          <w:sz w:val="22"/>
          <w:szCs w:val="22"/>
        </w:rPr>
        <w:t>(b)</w:t>
      </w:r>
      <w:r w:rsidR="0089319D" w:rsidRPr="00056071">
        <w:rPr>
          <w:sz w:val="22"/>
          <w:szCs w:val="22"/>
        </w:rPr>
        <w:tab/>
        <w:t xml:space="preserve">the person does so in connection with the person’s </w:t>
      </w:r>
      <w:r w:rsidR="009C63B3" w:rsidRPr="00056071">
        <w:rPr>
          <w:sz w:val="22"/>
          <w:szCs w:val="22"/>
        </w:rPr>
        <w:tab/>
      </w:r>
      <w:r w:rsidR="0089319D" w:rsidRPr="00056071">
        <w:rPr>
          <w:sz w:val="22"/>
          <w:szCs w:val="22"/>
        </w:rPr>
        <w:t>employment.</w:t>
      </w:r>
    </w:p>
    <w:p w14:paraId="41D1D440" w14:textId="1B7239E6" w:rsidR="00D3520C" w:rsidRDefault="006A0EA2" w:rsidP="00B11B1C">
      <w:pPr>
        <w:pStyle w:val="ListNumber"/>
      </w:pPr>
      <w:r>
        <w:t xml:space="preserve">Legislative Notes form </w:t>
      </w:r>
      <w:r w:rsidR="00E259B9">
        <w:t>part of the A</w:t>
      </w:r>
      <w:r w:rsidR="00A37DB1">
        <w:t>ct</w:t>
      </w:r>
      <w:r w:rsidR="00423F43">
        <w:t xml:space="preserve"> and may be referred to for interpretative purposes</w:t>
      </w:r>
      <w:r w:rsidR="00A37DB1">
        <w:t>.</w:t>
      </w:r>
      <w:r w:rsidR="00C02842">
        <w:rPr>
          <w:rStyle w:val="EndnoteReference"/>
        </w:rPr>
        <w:endnoteReference w:id="31"/>
      </w:r>
      <w:r w:rsidR="00423F43">
        <w:t xml:space="preserve"> </w:t>
      </w:r>
    </w:p>
    <w:p w14:paraId="228F7FB9" w14:textId="7F972718" w:rsidR="00AB3465" w:rsidRPr="00AB3465" w:rsidRDefault="009D759F" w:rsidP="00AB3465">
      <w:pPr>
        <w:pStyle w:val="ListNumber"/>
      </w:pPr>
      <w:r>
        <w:t xml:space="preserve">Separately, the Government has confirmed that it will also </w:t>
      </w:r>
      <w:r w:rsidR="00F466BA">
        <w:t xml:space="preserve">implement recommendation 31 from the </w:t>
      </w:r>
      <w:proofErr w:type="spellStart"/>
      <w:r w:rsidR="00F466BA">
        <w:t>Respect@Work</w:t>
      </w:r>
      <w:proofErr w:type="spellEnd"/>
      <w:r w:rsidR="00F466BA">
        <w:t xml:space="preserve"> report and</w:t>
      </w:r>
      <w:r>
        <w:t xml:space="preserve"> </w:t>
      </w:r>
      <w:r w:rsidR="001730BB">
        <w:t xml:space="preserve">amend the definition of ‘serious misconduct’ in the Fair Work Regulations </w:t>
      </w:r>
      <w:r w:rsidR="00301BD9">
        <w:t>to include sexual harassment.</w:t>
      </w:r>
      <w:r w:rsidR="008D0376">
        <w:rPr>
          <w:rStyle w:val="EndnoteReference"/>
        </w:rPr>
        <w:endnoteReference w:id="32"/>
      </w:r>
    </w:p>
    <w:p w14:paraId="211C7379" w14:textId="2F2B7E26" w:rsidR="0074289D" w:rsidRPr="0074289D" w:rsidRDefault="00DC19CF" w:rsidP="0074289D">
      <w:pPr>
        <w:pStyle w:val="ListNumber"/>
      </w:pPr>
      <w:r>
        <w:t xml:space="preserve">For the reasons set out in section </w:t>
      </w:r>
      <w:r w:rsidR="00E904CF">
        <w:fldChar w:fldCharType="begin"/>
      </w:r>
      <w:r w:rsidR="00E904CF">
        <w:instrText xml:space="preserve"> REF _Ref76233806 \n \h </w:instrText>
      </w:r>
      <w:r w:rsidR="00E904CF">
        <w:fldChar w:fldCharType="separate"/>
      </w:r>
      <w:r w:rsidR="00532A8C">
        <w:t>5.1</w:t>
      </w:r>
      <w:r w:rsidR="00E904CF">
        <w:fldChar w:fldCharType="end"/>
      </w:r>
      <w:r>
        <w:t xml:space="preserve"> above</w:t>
      </w:r>
      <w:r w:rsidR="00E904CF">
        <w:t xml:space="preserve">, these </w:t>
      </w:r>
      <w:r w:rsidR="00677378">
        <w:t xml:space="preserve">reforms should also be extended to the new </w:t>
      </w:r>
      <w:r w:rsidR="0065740C">
        <w:t>prohibition on sex-based harassment introduced by this Bill.</w:t>
      </w:r>
    </w:p>
    <w:p w14:paraId="41C1E840" w14:textId="49E8BD26" w:rsidR="00E66887" w:rsidRPr="00336D92" w:rsidRDefault="00FF24DF" w:rsidP="006248D6">
      <w:pPr>
        <w:pStyle w:val="ListNumber"/>
        <w:keepNext/>
        <w:numPr>
          <w:ilvl w:val="0"/>
          <w:numId w:val="0"/>
        </w:numPr>
        <w:ind w:left="1094"/>
        <w:rPr>
          <w:b/>
        </w:rPr>
      </w:pPr>
      <w:r w:rsidRPr="00336D92">
        <w:rPr>
          <w:b/>
        </w:rPr>
        <w:lastRenderedPageBreak/>
        <w:t xml:space="preserve">Recommendation </w:t>
      </w:r>
      <w:r w:rsidR="00336D92" w:rsidRPr="00336D92">
        <w:rPr>
          <w:b/>
          <w:bCs/>
        </w:rPr>
        <w:t>8</w:t>
      </w:r>
    </w:p>
    <w:p w14:paraId="12A94E82" w14:textId="7C150B02" w:rsidR="0088349B" w:rsidRPr="0088349B" w:rsidRDefault="0065342E" w:rsidP="006248D6">
      <w:pPr>
        <w:pStyle w:val="ListNumber"/>
        <w:numPr>
          <w:ilvl w:val="0"/>
          <w:numId w:val="0"/>
        </w:numPr>
        <w:ind w:left="1094"/>
      </w:pPr>
      <w:r>
        <w:t xml:space="preserve">The Commission recommends that clause 10 of the Bill be amended </w:t>
      </w:r>
      <w:r w:rsidR="003138D0">
        <w:t xml:space="preserve">to </w:t>
      </w:r>
      <w:r w:rsidR="006248D6">
        <w:t xml:space="preserve">clarify that sex-based harassment can be conduct amounting to a valid reason for dismissal, in determining whether a dismissal was harsh, </w:t>
      </w:r>
      <w:proofErr w:type="gramStart"/>
      <w:r w:rsidR="006248D6">
        <w:t>unjust</w:t>
      </w:r>
      <w:proofErr w:type="gramEnd"/>
      <w:r w:rsidR="006248D6">
        <w:t xml:space="preserve"> or unreasonable.</w:t>
      </w:r>
    </w:p>
    <w:p w14:paraId="11792C14" w14:textId="708A73C2" w:rsidR="006248D6" w:rsidRPr="006248D6" w:rsidRDefault="006248D6" w:rsidP="006248D6">
      <w:pPr>
        <w:pStyle w:val="ListNumber"/>
        <w:keepNext/>
        <w:numPr>
          <w:ilvl w:val="0"/>
          <w:numId w:val="0"/>
        </w:numPr>
        <w:ind w:left="1094"/>
        <w:rPr>
          <w:b/>
          <w:bCs/>
        </w:rPr>
      </w:pPr>
      <w:r w:rsidRPr="006248D6">
        <w:rPr>
          <w:b/>
          <w:bCs/>
        </w:rPr>
        <w:t>Recommendation 9</w:t>
      </w:r>
    </w:p>
    <w:p w14:paraId="17AE45DC" w14:textId="574FC2DA" w:rsidR="006248D6" w:rsidRDefault="002006D3" w:rsidP="002006D3">
      <w:pPr>
        <w:pStyle w:val="ListNumber"/>
        <w:numPr>
          <w:ilvl w:val="0"/>
          <w:numId w:val="0"/>
        </w:numPr>
        <w:ind w:left="1094"/>
      </w:pPr>
      <w:r>
        <w:t xml:space="preserve">The Commission recommends that </w:t>
      </w:r>
      <w:r w:rsidR="007E6CC4">
        <w:t xml:space="preserve">the definition of ‘serious misconduct’ in the Fair Work Regulations </w:t>
      </w:r>
      <w:r w:rsidR="00D1089E">
        <w:t>2009 (</w:t>
      </w:r>
      <w:proofErr w:type="spellStart"/>
      <w:r w:rsidR="00D1089E">
        <w:t>Cth</w:t>
      </w:r>
      <w:proofErr w:type="spellEnd"/>
      <w:r w:rsidR="00D1089E">
        <w:t xml:space="preserve">) </w:t>
      </w:r>
      <w:r w:rsidR="007E6CC4">
        <w:t>be amended to include sex-based harassment.</w:t>
      </w:r>
    </w:p>
    <w:p w14:paraId="29F303E8" w14:textId="6C1E155A" w:rsidR="00F01A55" w:rsidRDefault="00F01A55" w:rsidP="00F01A55">
      <w:pPr>
        <w:pStyle w:val="Heading2"/>
      </w:pPr>
      <w:bookmarkStart w:id="28" w:name="_Toc76719783"/>
      <w:r>
        <w:t>Further review of the Fair Work system</w:t>
      </w:r>
      <w:bookmarkEnd w:id="28"/>
    </w:p>
    <w:p w14:paraId="5925FC2E" w14:textId="2A42EE17" w:rsidR="00F01A55" w:rsidRDefault="00A27A8F" w:rsidP="001C6455">
      <w:pPr>
        <w:pStyle w:val="ListNumber"/>
      </w:pPr>
      <w:r>
        <w:t xml:space="preserve">Section 5.5 of the </w:t>
      </w:r>
      <w:proofErr w:type="spellStart"/>
      <w:r>
        <w:t>Respect@Work</w:t>
      </w:r>
      <w:proofErr w:type="spellEnd"/>
      <w:r>
        <w:t xml:space="preserve"> report examined </w:t>
      </w:r>
      <w:proofErr w:type="gramStart"/>
      <w:r>
        <w:t>a number of</w:t>
      </w:r>
      <w:proofErr w:type="gramEnd"/>
      <w:r>
        <w:t xml:space="preserve"> ways in which sexual harassment </w:t>
      </w:r>
      <w:r w:rsidR="00E61A38">
        <w:t>is</w:t>
      </w:r>
      <w:r w:rsidR="00057461">
        <w:t xml:space="preserve"> </w:t>
      </w:r>
      <w:r>
        <w:t>indirectly regulated through the Fair Work system</w:t>
      </w:r>
      <w:r w:rsidR="00057461">
        <w:t xml:space="preserve"> but noted that there was no express prohibition on sexual harassment</w:t>
      </w:r>
      <w:r>
        <w:t>.</w:t>
      </w:r>
      <w:r w:rsidR="00BB6BDB">
        <w:t xml:space="preserve"> T</w:t>
      </w:r>
      <w:r w:rsidR="00053F12">
        <w:t>he Commission recommended that the Fair Work system be reviewed to ensure and clarify that sexual harassment, using the definition in the Sex Discrimination Act, is expressly prohibited.</w:t>
      </w:r>
      <w:r w:rsidR="004D5438">
        <w:rPr>
          <w:rStyle w:val="EndnoteReference"/>
        </w:rPr>
        <w:endnoteReference w:id="33"/>
      </w:r>
    </w:p>
    <w:p w14:paraId="2CD98C5D" w14:textId="4F99B32F" w:rsidR="00053F12" w:rsidRDefault="00053F12" w:rsidP="00F01A55">
      <w:pPr>
        <w:pStyle w:val="ListNumber"/>
      </w:pPr>
      <w:r>
        <w:t>The Government</w:t>
      </w:r>
      <w:r w:rsidR="004A139D">
        <w:t xml:space="preserve"> agreed with this recommendation in principle in its</w:t>
      </w:r>
      <w:r>
        <w:t xml:space="preserve"> ‘Road</w:t>
      </w:r>
      <w:r w:rsidR="004A139D">
        <w:t>map for Respect’ and committed to reviewing the Fair Work system</w:t>
      </w:r>
      <w:r w:rsidR="00E56653">
        <w:t xml:space="preserve"> for this purpose once these initial amendments have been implemented and </w:t>
      </w:r>
      <w:r w:rsidR="00FA12A2">
        <w:t>their impact assessed.</w:t>
      </w:r>
    </w:p>
    <w:p w14:paraId="567C035D" w14:textId="59CE4848" w:rsidR="00FA12A2" w:rsidRPr="00B11B1C" w:rsidRDefault="00FA12A2" w:rsidP="00F01A55">
      <w:pPr>
        <w:pStyle w:val="ListNumber"/>
      </w:pPr>
      <w:r>
        <w:t xml:space="preserve">The Commission looks forward to working with the Government and the </w:t>
      </w:r>
      <w:proofErr w:type="spellStart"/>
      <w:r>
        <w:t>Respect@Work</w:t>
      </w:r>
      <w:proofErr w:type="spellEnd"/>
      <w:r>
        <w:t xml:space="preserve"> Council on this review.</w:t>
      </w:r>
    </w:p>
    <w:p w14:paraId="56324D13" w14:textId="7AF19F3A" w:rsidR="00B11B1C" w:rsidRDefault="00907CF7" w:rsidP="00907CF7">
      <w:pPr>
        <w:pStyle w:val="Heading2"/>
      </w:pPr>
      <w:bookmarkStart w:id="29" w:name="_Toc76719784"/>
      <w:r>
        <w:t>Miscarriage leave</w:t>
      </w:r>
      <w:bookmarkEnd w:id="29"/>
    </w:p>
    <w:p w14:paraId="06C8D366" w14:textId="215C39B2" w:rsidR="00CC7BC4" w:rsidRPr="00CC7BC4" w:rsidRDefault="00B913B5" w:rsidP="00CC7BC4">
      <w:pPr>
        <w:pStyle w:val="ListNumber"/>
      </w:pPr>
      <w:r>
        <w:t xml:space="preserve">In addition to </w:t>
      </w:r>
      <w:r w:rsidR="00F05859">
        <w:t xml:space="preserve">implementing a range of recommendations from the </w:t>
      </w:r>
      <w:proofErr w:type="spellStart"/>
      <w:r w:rsidR="00F05859">
        <w:t>Respect@Work</w:t>
      </w:r>
      <w:proofErr w:type="spellEnd"/>
      <w:r w:rsidR="00F05859">
        <w:t xml:space="preserve"> report, the Bill would also make an amendment to the Fair Work Act to </w:t>
      </w:r>
      <w:r w:rsidR="003E4288">
        <w:t>provide</w:t>
      </w:r>
      <w:r w:rsidR="00BF2DE0">
        <w:t xml:space="preserve"> that national system employees </w:t>
      </w:r>
      <w:r w:rsidR="003E4288">
        <w:t xml:space="preserve">are entitled to </w:t>
      </w:r>
      <w:r w:rsidR="00E9715F">
        <w:t xml:space="preserve">take up to two days </w:t>
      </w:r>
      <w:r w:rsidR="00047F94">
        <w:t xml:space="preserve">compassionate leave </w:t>
      </w:r>
      <w:r w:rsidR="00442D61">
        <w:t>if they, or their spouse or de facto partner</w:t>
      </w:r>
      <w:r w:rsidR="00BD7084">
        <w:t>, has a miscarriage.</w:t>
      </w:r>
    </w:p>
    <w:p w14:paraId="57B85C30" w14:textId="1BF501E1" w:rsidR="00044ADA" w:rsidRPr="00044ADA" w:rsidRDefault="00D5600B" w:rsidP="00044ADA">
      <w:pPr>
        <w:pStyle w:val="ListNumber"/>
      </w:pPr>
      <w:r>
        <w:t xml:space="preserve">This builds on </w:t>
      </w:r>
      <w:r w:rsidR="0025554F">
        <w:t xml:space="preserve">amendments to the Fair Work Act made by the </w:t>
      </w:r>
      <w:r w:rsidR="0000762B" w:rsidRPr="00DB3283">
        <w:rPr>
          <w:i/>
        </w:rPr>
        <w:t xml:space="preserve">Fair Work Amendment (Improving Unpaid Parental Leave </w:t>
      </w:r>
      <w:r w:rsidR="00DB3283" w:rsidRPr="00DB3283">
        <w:rPr>
          <w:i/>
          <w:iCs/>
        </w:rPr>
        <w:t>for Parents of Stillborn Babies and Other Measures) Act 2020</w:t>
      </w:r>
      <w:r w:rsidR="00DB3283">
        <w:t xml:space="preserve"> (</w:t>
      </w:r>
      <w:proofErr w:type="spellStart"/>
      <w:r w:rsidR="00DB3283">
        <w:t>Cth</w:t>
      </w:r>
      <w:proofErr w:type="spellEnd"/>
      <w:r w:rsidR="00DB3283">
        <w:t xml:space="preserve">).  That Act </w:t>
      </w:r>
      <w:r w:rsidR="00203224">
        <w:t xml:space="preserve">introduced improved access to unpaid parental leave and compassionate leave for families </w:t>
      </w:r>
      <w:r w:rsidR="00440AFC">
        <w:t xml:space="preserve">dealing with the trauma of stillbirths, infant </w:t>
      </w:r>
      <w:proofErr w:type="gramStart"/>
      <w:r w:rsidR="00440AFC">
        <w:t>deaths</w:t>
      </w:r>
      <w:proofErr w:type="gramEnd"/>
      <w:r w:rsidR="00440AFC">
        <w:t xml:space="preserve"> and premature births.</w:t>
      </w:r>
    </w:p>
    <w:p w14:paraId="3408EA0C" w14:textId="47B712E7" w:rsidR="00A95445" w:rsidRDefault="00ED5E65" w:rsidP="00907CF7">
      <w:pPr>
        <w:pStyle w:val="ListNumber"/>
      </w:pPr>
      <w:r>
        <w:lastRenderedPageBreak/>
        <w:t>The Commission supports the new provisions.</w:t>
      </w:r>
    </w:p>
    <w:p w14:paraId="6BED2DB2" w14:textId="4D6D8D1B" w:rsidR="00316352" w:rsidRPr="00316352" w:rsidRDefault="00982FF1" w:rsidP="00316352">
      <w:pPr>
        <w:pStyle w:val="Heading1"/>
      </w:pPr>
      <w:bookmarkStart w:id="30" w:name="_Toc76719785"/>
      <w:r>
        <w:t>Amendments to the Australian Human Rights Commission Act</w:t>
      </w:r>
      <w:bookmarkEnd w:id="30"/>
    </w:p>
    <w:p w14:paraId="05C575E5" w14:textId="4E33641E" w:rsidR="004531FC" w:rsidRPr="004531FC" w:rsidRDefault="004531FC" w:rsidP="004531FC">
      <w:pPr>
        <w:pStyle w:val="ListNumber"/>
      </w:pPr>
      <w:r>
        <w:t xml:space="preserve">The Bill proposes two sets </w:t>
      </w:r>
      <w:r w:rsidR="001E72DD">
        <w:t xml:space="preserve">of amendments to the </w:t>
      </w:r>
      <w:r w:rsidR="001E72DD" w:rsidRPr="001E72DD">
        <w:rPr>
          <w:i/>
          <w:iCs/>
        </w:rPr>
        <w:t>Australian Human Rights Commission Act 1986</w:t>
      </w:r>
      <w:r w:rsidR="001E72DD">
        <w:t xml:space="preserve"> (</w:t>
      </w:r>
      <w:proofErr w:type="spellStart"/>
      <w:r w:rsidR="001E72DD">
        <w:t>Cth</w:t>
      </w:r>
      <w:proofErr w:type="spellEnd"/>
      <w:r w:rsidR="001E72DD">
        <w:t>)</w:t>
      </w:r>
      <w:r w:rsidR="0084000B">
        <w:t xml:space="preserve"> (AHRC Act)</w:t>
      </w:r>
      <w:r w:rsidR="001E72DD">
        <w:t xml:space="preserve">.  </w:t>
      </w:r>
      <w:r w:rsidR="00180F4D">
        <w:t>Both sets of amendments are welcome</w:t>
      </w:r>
      <w:r w:rsidR="00291355">
        <w:t xml:space="preserve"> and implement important recommendations from the </w:t>
      </w:r>
      <w:proofErr w:type="spellStart"/>
      <w:r w:rsidR="00291355">
        <w:t>Respect@Work</w:t>
      </w:r>
      <w:proofErr w:type="spellEnd"/>
      <w:r w:rsidR="00291355">
        <w:t xml:space="preserve"> report.  H</w:t>
      </w:r>
      <w:r w:rsidR="00C52B2D">
        <w:t xml:space="preserve">owever, </w:t>
      </w:r>
      <w:r w:rsidR="00291355">
        <w:t>because the AHRC Act</w:t>
      </w:r>
      <w:r w:rsidR="00C52B2D">
        <w:t xml:space="preserve"> </w:t>
      </w:r>
      <w:r w:rsidR="00A47837">
        <w:t xml:space="preserve">deals with </w:t>
      </w:r>
      <w:r w:rsidR="00431290">
        <w:t xml:space="preserve">complaints of unlawful discrimination under all federal </w:t>
      </w:r>
      <w:r w:rsidR="001A3956">
        <w:t xml:space="preserve">discrimination laws, </w:t>
      </w:r>
      <w:r w:rsidR="00392D13">
        <w:t xml:space="preserve">and not just the SDA, </w:t>
      </w:r>
      <w:r w:rsidR="00B52A5F">
        <w:t xml:space="preserve">some further amendments are required </w:t>
      </w:r>
      <w:proofErr w:type="gramStart"/>
      <w:r w:rsidR="00B52A5F">
        <w:t>in order to</w:t>
      </w:r>
      <w:proofErr w:type="gramEnd"/>
      <w:r w:rsidR="00B52A5F">
        <w:t xml:space="preserve"> ensure </w:t>
      </w:r>
      <w:r w:rsidR="006C648D">
        <w:t xml:space="preserve">clarity and operational consistency. </w:t>
      </w:r>
    </w:p>
    <w:p w14:paraId="6DDC5723" w14:textId="190B17A3" w:rsidR="00D73E9B" w:rsidRDefault="00D73E9B" w:rsidP="00CA7AA7">
      <w:pPr>
        <w:pStyle w:val="Heading2"/>
      </w:pPr>
      <w:bookmarkStart w:id="31" w:name="_Toc76719786"/>
      <w:r>
        <w:t>Victimisation</w:t>
      </w:r>
      <w:bookmarkEnd w:id="31"/>
    </w:p>
    <w:p w14:paraId="04FF013A" w14:textId="5187B3D8" w:rsidR="002E4D1C" w:rsidRPr="002E4D1C" w:rsidRDefault="002A220D" w:rsidP="002E4D1C">
      <w:pPr>
        <w:pStyle w:val="ListNumber"/>
      </w:pPr>
      <w:r>
        <w:t xml:space="preserve">Victimisation involves retaliatory action, or the threat of such action, against a person because they </w:t>
      </w:r>
      <w:r w:rsidR="00E17F65">
        <w:t xml:space="preserve">sought to rely on their rights under discrimination law </w:t>
      </w:r>
      <w:r>
        <w:t xml:space="preserve">or because they </w:t>
      </w:r>
      <w:proofErr w:type="gramStart"/>
      <w:r>
        <w:t>took action</w:t>
      </w:r>
      <w:proofErr w:type="gramEnd"/>
      <w:r>
        <w:t xml:space="preserve"> in support of a complaint.</w:t>
      </w:r>
      <w:r w:rsidR="002823F2">
        <w:t xml:space="preserve">  For example, </w:t>
      </w:r>
      <w:r w:rsidR="00636BFD">
        <w:t xml:space="preserve">a </w:t>
      </w:r>
      <w:r w:rsidR="00013813">
        <w:t>casual employee who is ref</w:t>
      </w:r>
      <w:r w:rsidR="00C550E8">
        <w:t>used overtime shift</w:t>
      </w:r>
      <w:r w:rsidR="00F346C9">
        <w:t>s</w:t>
      </w:r>
      <w:r w:rsidR="00C550E8">
        <w:t xml:space="preserve"> because she made a complaint of sexual harassment against her manager would be entitled to make a claim of victimisation. </w:t>
      </w:r>
    </w:p>
    <w:p w14:paraId="2FF5F224" w14:textId="2D64B62A" w:rsidR="00461645" w:rsidRDefault="00F346C9" w:rsidP="0001624D">
      <w:pPr>
        <w:pStyle w:val="ListNumber"/>
      </w:pPr>
      <w:r>
        <w:t xml:space="preserve">In the </w:t>
      </w:r>
      <w:proofErr w:type="spellStart"/>
      <w:r>
        <w:t>Respect@Work</w:t>
      </w:r>
      <w:proofErr w:type="spellEnd"/>
      <w:r>
        <w:t xml:space="preserve"> report, the Commission noted that </w:t>
      </w:r>
      <w:r w:rsidR="00891840">
        <w:t>prior to 2011</w:t>
      </w:r>
      <w:r w:rsidR="00EF0D83">
        <w:t xml:space="preserve"> courts had held that</w:t>
      </w:r>
      <w:r w:rsidR="00485B0E">
        <w:t xml:space="preserve"> </w:t>
      </w:r>
      <w:r w:rsidR="00C35A0C">
        <w:t xml:space="preserve">victimisation provisions under each of the </w:t>
      </w:r>
      <w:r w:rsidR="00D452CF">
        <w:t xml:space="preserve">federal discrimination laws could give rise to </w:t>
      </w:r>
      <w:r w:rsidR="007C74EE">
        <w:t>both civil and criminal proceedings.</w:t>
      </w:r>
      <w:r w:rsidR="00623A7B">
        <w:rPr>
          <w:rStyle w:val="EndnoteReference"/>
        </w:rPr>
        <w:endnoteReference w:id="34"/>
      </w:r>
      <w:r w:rsidR="00CB5CDA">
        <w:t xml:space="preserve">  This is because</w:t>
      </w:r>
      <w:r w:rsidR="00461645">
        <w:t>:</w:t>
      </w:r>
    </w:p>
    <w:p w14:paraId="1B64F6BD" w14:textId="10681EEA" w:rsidR="00496799" w:rsidRPr="00496799" w:rsidRDefault="0084000B" w:rsidP="00496799">
      <w:pPr>
        <w:pStyle w:val="ListNumber"/>
        <w:numPr>
          <w:ilvl w:val="0"/>
          <w:numId w:val="39"/>
        </w:numPr>
      </w:pPr>
      <w:r>
        <w:t xml:space="preserve">the AHRC Act </w:t>
      </w:r>
      <w:r w:rsidR="00461645">
        <w:t xml:space="preserve">permits </w:t>
      </w:r>
      <w:r w:rsidR="003A5A51">
        <w:t>complaints to be made to the Commission of ‘unlawful discrimination’</w:t>
      </w:r>
      <w:r w:rsidR="00190B74">
        <w:t xml:space="preserve"> (s 46P)</w:t>
      </w:r>
    </w:p>
    <w:p w14:paraId="5DA59C84" w14:textId="4A8B98FF" w:rsidR="003A5A51" w:rsidRDefault="003A5A51" w:rsidP="00461645">
      <w:pPr>
        <w:pStyle w:val="ListNumber"/>
        <w:numPr>
          <w:ilvl w:val="0"/>
          <w:numId w:val="39"/>
        </w:numPr>
      </w:pPr>
      <w:r>
        <w:t>the definition of ‘unlawful discrimination’ in s 3 of the AHRC Act includes conduct that would be an offence under the victimisation provisions in each of the four federal discrimination Acts</w:t>
      </w:r>
    </w:p>
    <w:p w14:paraId="10D576E0" w14:textId="6CD934D1" w:rsidR="003A5A51" w:rsidRDefault="003A5A51" w:rsidP="00461645">
      <w:pPr>
        <w:pStyle w:val="ListNumber"/>
        <w:numPr>
          <w:ilvl w:val="0"/>
          <w:numId w:val="39"/>
        </w:numPr>
      </w:pPr>
      <w:r>
        <w:t>once a complaint of unlawful discrimination is terminated by the Commission, a</w:t>
      </w:r>
      <w:r w:rsidR="007956DF">
        <w:t xml:space="preserve"> person on whose behalf the complaint was lodged</w:t>
      </w:r>
      <w:r w:rsidR="004B5938">
        <w:t xml:space="preserve"> </w:t>
      </w:r>
      <w:r w:rsidR="00920493">
        <w:t>may</w:t>
      </w:r>
      <w:r>
        <w:t xml:space="preserve"> </w:t>
      </w:r>
      <w:r w:rsidR="00375088">
        <w:t>bring proceedings in the Federal Court alleging unlawful discrimination</w:t>
      </w:r>
      <w:r w:rsidR="00C91282">
        <w:t xml:space="preserve"> by the respondent to the terminated complaint.</w:t>
      </w:r>
    </w:p>
    <w:p w14:paraId="181AF8C2" w14:textId="0E0ED107" w:rsidR="00D6632E" w:rsidRPr="00D6632E" w:rsidRDefault="0041544C" w:rsidP="00D6632E">
      <w:pPr>
        <w:pStyle w:val="ListNumber"/>
      </w:pPr>
      <w:r>
        <w:t xml:space="preserve">However, since 2011, there have been three cases </w:t>
      </w:r>
      <w:r w:rsidR="00694B8F">
        <w:t xml:space="preserve">dealing with victimisation provisions under </w:t>
      </w:r>
      <w:r w:rsidR="0031410F">
        <w:t xml:space="preserve">both </w:t>
      </w:r>
      <w:r w:rsidR="00694B8F">
        <w:t xml:space="preserve">the SDA and the </w:t>
      </w:r>
      <w:r w:rsidR="00694B8F" w:rsidRPr="00694B8F">
        <w:rPr>
          <w:i/>
          <w:iCs/>
        </w:rPr>
        <w:t>Disability Discrimination Act 1992</w:t>
      </w:r>
      <w:r w:rsidR="00694B8F">
        <w:t xml:space="preserve"> (</w:t>
      </w:r>
      <w:proofErr w:type="spellStart"/>
      <w:r w:rsidR="00694B8F">
        <w:t>Cth</w:t>
      </w:r>
      <w:proofErr w:type="spellEnd"/>
      <w:r w:rsidR="00694B8F">
        <w:t xml:space="preserve">) </w:t>
      </w:r>
      <w:r w:rsidR="00497D91">
        <w:t xml:space="preserve">(DDA) </w:t>
      </w:r>
      <w:r w:rsidR="00694B8F">
        <w:t xml:space="preserve">which </w:t>
      </w:r>
      <w:r w:rsidR="00AB0D95">
        <w:t>have cast doubt on</w:t>
      </w:r>
      <w:r w:rsidR="00694B8F">
        <w:t xml:space="preserve"> </w:t>
      </w:r>
      <w:r w:rsidR="00F24FD9">
        <w:t xml:space="preserve">whether </w:t>
      </w:r>
      <w:r w:rsidR="00F24FD9">
        <w:lastRenderedPageBreak/>
        <w:t xml:space="preserve">the Federal Circuit Court and the Federal Court have jurisdiction to </w:t>
      </w:r>
      <w:r w:rsidR="0044455E">
        <w:t xml:space="preserve">determine a complaint of victimisation as part of a civil proceeding.  This is because </w:t>
      </w:r>
      <w:r w:rsidR="007D7A0D">
        <w:t xml:space="preserve">victimisation </w:t>
      </w:r>
      <w:r w:rsidR="00497D91">
        <w:t>under s </w:t>
      </w:r>
      <w:r w:rsidR="00872515">
        <w:t>94</w:t>
      </w:r>
      <w:r w:rsidR="00CC2140">
        <w:t xml:space="preserve"> of </w:t>
      </w:r>
      <w:r w:rsidR="00872515">
        <w:t xml:space="preserve">the SDA </w:t>
      </w:r>
      <w:r w:rsidR="00CC2140">
        <w:t xml:space="preserve">and </w:t>
      </w:r>
      <w:r w:rsidR="00872515">
        <w:t>s </w:t>
      </w:r>
      <w:r w:rsidR="00E67314">
        <w:t>42</w:t>
      </w:r>
      <w:r w:rsidR="00872515">
        <w:t xml:space="preserve"> of the </w:t>
      </w:r>
      <w:r w:rsidR="00E67314">
        <w:t>DDA</w:t>
      </w:r>
      <w:r w:rsidR="00872515">
        <w:t xml:space="preserve"> (</w:t>
      </w:r>
      <w:proofErr w:type="gramStart"/>
      <w:r w:rsidR="00872515">
        <w:t>and also</w:t>
      </w:r>
      <w:proofErr w:type="gramEnd"/>
      <w:r w:rsidR="00872515">
        <w:t xml:space="preserve"> under s 27(2) of the </w:t>
      </w:r>
      <w:r w:rsidR="00E538B7" w:rsidRPr="00E538B7">
        <w:rPr>
          <w:i/>
          <w:iCs/>
        </w:rPr>
        <w:t>Racial Discrimination Act 1975</w:t>
      </w:r>
      <w:r w:rsidR="00E538B7">
        <w:t xml:space="preserve"> (</w:t>
      </w:r>
      <w:proofErr w:type="spellStart"/>
      <w:r w:rsidR="00E538B7">
        <w:t>Cth</w:t>
      </w:r>
      <w:proofErr w:type="spellEnd"/>
      <w:r w:rsidR="00E538B7">
        <w:t>) (</w:t>
      </w:r>
      <w:r w:rsidR="00872515">
        <w:t>RDA</w:t>
      </w:r>
      <w:r w:rsidR="00E538B7">
        <w:t>)</w:t>
      </w:r>
      <w:r w:rsidR="00872515">
        <w:t xml:space="preserve"> and s </w:t>
      </w:r>
      <w:r w:rsidR="003E1005">
        <w:t xml:space="preserve">51 of the </w:t>
      </w:r>
      <w:r w:rsidR="003E1005" w:rsidRPr="004A1519">
        <w:rPr>
          <w:i/>
        </w:rPr>
        <w:t xml:space="preserve">Age Discrimination Act </w:t>
      </w:r>
      <w:r w:rsidR="004A1519" w:rsidRPr="004A1519">
        <w:rPr>
          <w:i/>
          <w:iCs/>
        </w:rPr>
        <w:t>2004</w:t>
      </w:r>
      <w:r w:rsidR="004A1519">
        <w:t xml:space="preserve"> (</w:t>
      </w:r>
      <w:proofErr w:type="spellStart"/>
      <w:r w:rsidR="004A1519">
        <w:t>Cth</w:t>
      </w:r>
      <w:proofErr w:type="spellEnd"/>
      <w:r w:rsidR="004A1519">
        <w:t>)</w:t>
      </w:r>
      <w:r w:rsidR="0069375E">
        <w:t xml:space="preserve"> (ADA)</w:t>
      </w:r>
      <w:r w:rsidR="004A1519">
        <w:t>) is a criminal offence.</w:t>
      </w:r>
    </w:p>
    <w:p w14:paraId="5D9F7246" w14:textId="5D17A44E" w:rsidR="00DD4BE6" w:rsidRPr="00DD4BE6" w:rsidRDefault="00676CB3" w:rsidP="00DD4BE6">
      <w:pPr>
        <w:pStyle w:val="ListNumber"/>
      </w:pPr>
      <w:r>
        <w:t xml:space="preserve">The Explanatory Memorandum makes clear that </w:t>
      </w:r>
      <w:r w:rsidR="00B778DE">
        <w:t xml:space="preserve">the Government’s intention has always been </w:t>
      </w:r>
      <w:r w:rsidR="00B208C1">
        <w:t xml:space="preserve">that the provisions in relation to victimisation </w:t>
      </w:r>
      <w:r w:rsidR="00504B89">
        <w:t xml:space="preserve">in all four of these Acts </w:t>
      </w:r>
      <w:r w:rsidR="00E7035D">
        <w:t>can form the basis of two causes of action</w:t>
      </w:r>
      <w:r w:rsidR="00E84D00">
        <w:t>: one civil and one criminal.</w:t>
      </w:r>
      <w:r w:rsidR="00B07CDA">
        <w:rPr>
          <w:rStyle w:val="EndnoteReference"/>
        </w:rPr>
        <w:endnoteReference w:id="35"/>
      </w:r>
    </w:p>
    <w:p w14:paraId="1B4D22AC" w14:textId="23296FC7" w:rsidR="002811F9" w:rsidRPr="002811F9" w:rsidRDefault="00826008" w:rsidP="002811F9">
      <w:pPr>
        <w:pStyle w:val="ListNumber"/>
      </w:pPr>
      <w:proofErr w:type="gramStart"/>
      <w:r>
        <w:t>In order to</w:t>
      </w:r>
      <w:proofErr w:type="gramEnd"/>
      <w:r>
        <w:t xml:space="preserve"> remedy the legal uncertainty created by the recent </w:t>
      </w:r>
      <w:r w:rsidR="0017114A">
        <w:t xml:space="preserve">court </w:t>
      </w:r>
      <w:r>
        <w:t>decisions</w:t>
      </w:r>
      <w:r w:rsidR="0017114A">
        <w:t>,</w:t>
      </w:r>
      <w:r>
        <w:t xml:space="preserve"> </w:t>
      </w:r>
      <w:r w:rsidR="00350D49">
        <w:t xml:space="preserve">and to clarify that </w:t>
      </w:r>
      <w:r w:rsidR="006F4F0A">
        <w:t xml:space="preserve">victimisation is </w:t>
      </w:r>
      <w:r w:rsidR="00FD6A32">
        <w:t xml:space="preserve">unlawful discrimination that can form the basis of a civil proceeding, the Bill </w:t>
      </w:r>
      <w:r w:rsidR="00BA18D7">
        <w:t>will</w:t>
      </w:r>
      <w:r w:rsidR="00FD6A32">
        <w:t xml:space="preserve"> make two amendments:</w:t>
      </w:r>
    </w:p>
    <w:p w14:paraId="6C6FB8D1" w14:textId="1E3425D8" w:rsidR="003740D9" w:rsidRPr="003740D9" w:rsidRDefault="00C322C8" w:rsidP="003740D9">
      <w:pPr>
        <w:pStyle w:val="ListNumber"/>
        <w:numPr>
          <w:ilvl w:val="0"/>
          <w:numId w:val="39"/>
        </w:numPr>
      </w:pPr>
      <w:r>
        <w:t>s </w:t>
      </w:r>
      <w:r w:rsidR="003B518E">
        <w:t xml:space="preserve">3 of </w:t>
      </w:r>
      <w:r w:rsidR="00EA687E">
        <w:t>t</w:t>
      </w:r>
      <w:r w:rsidR="00D938CD">
        <w:t xml:space="preserve">he AHRC </w:t>
      </w:r>
      <w:r w:rsidR="006852A6">
        <w:t xml:space="preserve">Act </w:t>
      </w:r>
      <w:r w:rsidR="005A105A">
        <w:t>will</w:t>
      </w:r>
      <w:r w:rsidR="006852A6">
        <w:t xml:space="preserve"> be amended to remove </w:t>
      </w:r>
      <w:r w:rsidR="00EA687E">
        <w:t xml:space="preserve">the </w:t>
      </w:r>
      <w:r w:rsidR="00E67BF3">
        <w:t xml:space="preserve">criminal victimisation provision </w:t>
      </w:r>
      <w:r w:rsidR="003439AF">
        <w:t xml:space="preserve">(s 94 of the SDA) from the definition of </w:t>
      </w:r>
      <w:r>
        <w:t>‘unlawful discrimination’</w:t>
      </w:r>
    </w:p>
    <w:p w14:paraId="657C9915" w14:textId="51987AA4" w:rsidR="00522B4E" w:rsidRPr="00522B4E" w:rsidRDefault="00C322C8" w:rsidP="00522B4E">
      <w:pPr>
        <w:pStyle w:val="ListNumber"/>
        <w:numPr>
          <w:ilvl w:val="0"/>
          <w:numId w:val="39"/>
        </w:numPr>
      </w:pPr>
      <w:r>
        <w:t>a new s 47A</w:t>
      </w:r>
      <w:r w:rsidR="005F7663">
        <w:t xml:space="preserve">, comprising a separate </w:t>
      </w:r>
      <w:r w:rsidR="00472C74">
        <w:t>civil prohibition of victimisation</w:t>
      </w:r>
      <w:r w:rsidR="004213BC">
        <w:t xml:space="preserve"> in substantially the same terms</w:t>
      </w:r>
      <w:r w:rsidR="00472C74">
        <w:t>,</w:t>
      </w:r>
      <w:r>
        <w:t xml:space="preserve"> </w:t>
      </w:r>
      <w:r w:rsidR="00D745AC">
        <w:t>will</w:t>
      </w:r>
      <w:r>
        <w:t xml:space="preserve"> be inserted </w:t>
      </w:r>
      <w:r w:rsidR="00437BA5">
        <w:t xml:space="preserve">into </w:t>
      </w:r>
      <w:r w:rsidR="005F7663">
        <w:t xml:space="preserve">Part II </w:t>
      </w:r>
      <w:r w:rsidR="00B437A9">
        <w:t xml:space="preserve">of </w:t>
      </w:r>
      <w:r w:rsidR="00437BA5">
        <w:t>the SDA</w:t>
      </w:r>
      <w:r w:rsidR="00472C74">
        <w:t>.</w:t>
      </w:r>
    </w:p>
    <w:p w14:paraId="0D76C1B9" w14:textId="3E80EE9B" w:rsidR="00665F2D" w:rsidRPr="00665F2D" w:rsidRDefault="00472C74" w:rsidP="00665F2D">
      <w:pPr>
        <w:pStyle w:val="ListNumber"/>
      </w:pPr>
      <w:r>
        <w:t>The effect of these two amendment</w:t>
      </w:r>
      <w:r w:rsidR="004A1E08">
        <w:t>s</w:t>
      </w:r>
      <w:r>
        <w:t xml:space="preserve"> will be that</w:t>
      </w:r>
      <w:r w:rsidR="006D714C">
        <w:t>, going forward,</w:t>
      </w:r>
      <w:r>
        <w:t xml:space="preserve"> </w:t>
      </w:r>
      <w:r w:rsidR="006D714C">
        <w:t xml:space="preserve">the criminal prohibition on victimisation in the SDA (s 94) will no longer </w:t>
      </w:r>
      <w:r w:rsidR="005A5404">
        <w:t xml:space="preserve">fall within the definition of ‘unlawful discrimination’ but the new </w:t>
      </w:r>
      <w:r w:rsidR="009631EB">
        <w:t>civil pro</w:t>
      </w:r>
      <w:r w:rsidR="00311080">
        <w:t>hibition on victimisation in the SDA (s 47A) will.</w:t>
      </w:r>
      <w:r w:rsidR="00913004">
        <w:t xml:space="preserve">  </w:t>
      </w:r>
      <w:r w:rsidR="00D80C88">
        <w:t xml:space="preserve">All new complaints to the Commission of victimisation </w:t>
      </w:r>
      <w:r w:rsidR="008A0834">
        <w:t xml:space="preserve">under the SDA </w:t>
      </w:r>
      <w:r w:rsidR="00D80C88">
        <w:t xml:space="preserve">will be made under </w:t>
      </w:r>
      <w:r w:rsidR="008A0834">
        <w:t xml:space="preserve">the new </w:t>
      </w:r>
      <w:r w:rsidR="00D80C88">
        <w:t>s 47A and</w:t>
      </w:r>
      <w:r w:rsidR="003A0B3C">
        <w:t xml:space="preserve">, if the complaint cannot be conciliated, the complainant will have the right to bring civil proceedings in the Federal Circuit Court or the Federal Court. </w:t>
      </w:r>
      <w:r w:rsidR="00D80C88">
        <w:t xml:space="preserve"> </w:t>
      </w:r>
      <w:r w:rsidR="00913004">
        <w:t xml:space="preserve">Transitional provisions have been inserted into the Bill to deal with complaints </w:t>
      </w:r>
      <w:r w:rsidR="00B049CE">
        <w:t xml:space="preserve">that have </w:t>
      </w:r>
      <w:r w:rsidR="00913004">
        <w:t xml:space="preserve">already </w:t>
      </w:r>
      <w:r w:rsidR="00B049CE">
        <w:t>been made</w:t>
      </w:r>
      <w:r w:rsidR="003A0B3C">
        <w:t xml:space="preserve"> under s 94 of the SDA</w:t>
      </w:r>
      <w:r w:rsidR="00B049CE">
        <w:t>.</w:t>
      </w:r>
    </w:p>
    <w:p w14:paraId="5AAB3B2C" w14:textId="2F2D0830" w:rsidR="007F2859" w:rsidRPr="007F2859" w:rsidRDefault="0044624A" w:rsidP="007F2859">
      <w:pPr>
        <w:pStyle w:val="ListNumber"/>
      </w:pPr>
      <w:r>
        <w:t xml:space="preserve">While these amendments will create certainty in relation to victimisation under the SDA, </w:t>
      </w:r>
      <w:r w:rsidR="00AD48AE">
        <w:t>without e</w:t>
      </w:r>
      <w:r w:rsidR="00102149">
        <w:t>quivalent amendments being made in relation to the DDA, RDA and ADA</w:t>
      </w:r>
      <w:r w:rsidR="00CA1DC8">
        <w:t>,</w:t>
      </w:r>
      <w:r w:rsidR="00102149">
        <w:t xml:space="preserve"> </w:t>
      </w:r>
      <w:r>
        <w:t xml:space="preserve">they have the potential to create further uncertainty in relation to victimisation under </w:t>
      </w:r>
      <w:r w:rsidR="00102149">
        <w:t xml:space="preserve">those </w:t>
      </w:r>
      <w:r w:rsidR="007B3366">
        <w:t xml:space="preserve">other </w:t>
      </w:r>
      <w:r w:rsidR="00102149">
        <w:t>Acts</w:t>
      </w:r>
      <w:r>
        <w:t xml:space="preserve">.  </w:t>
      </w:r>
    </w:p>
    <w:p w14:paraId="450361F1" w14:textId="23820A11" w:rsidR="0077068C" w:rsidRPr="0077068C" w:rsidRDefault="00851D98" w:rsidP="0077068C">
      <w:pPr>
        <w:pStyle w:val="ListNumber"/>
      </w:pPr>
      <w:r>
        <w:t xml:space="preserve">The Explanatory Memorandum says that it is not the Government’s intention </w:t>
      </w:r>
      <w:r w:rsidR="00CA6972">
        <w:t>to create uncertainty by amending only one of the four victimisation provisions</w:t>
      </w:r>
      <w:r w:rsidR="005C7508">
        <w:t>,</w:t>
      </w:r>
      <w:r w:rsidR="00CE4DA2">
        <w:rPr>
          <w:rStyle w:val="EndnoteReference"/>
        </w:rPr>
        <w:endnoteReference w:id="36"/>
      </w:r>
      <w:r w:rsidR="005C7508">
        <w:t xml:space="preserve"> but this may well be the outcome.  This is </w:t>
      </w:r>
      <w:r w:rsidR="005C7508">
        <w:lastRenderedPageBreak/>
        <w:t xml:space="preserve">because the Explanatory Memorandum for this Bill </w:t>
      </w:r>
      <w:r w:rsidR="0062338A">
        <w:t xml:space="preserve">is likely to carry little interpretive weight when seeking to construe the meaning of provisions </w:t>
      </w:r>
      <w:r w:rsidR="009739E9">
        <w:t xml:space="preserve">in other Acts </w:t>
      </w:r>
      <w:r w:rsidR="0062338A">
        <w:t>that are already on the statute books.</w:t>
      </w:r>
    </w:p>
    <w:p w14:paraId="184C8BC4" w14:textId="2C73FB03" w:rsidR="00C318D6" w:rsidRPr="00C318D6" w:rsidRDefault="00E872DA" w:rsidP="00C318D6">
      <w:pPr>
        <w:pStyle w:val="ListNumber"/>
      </w:pPr>
      <w:r>
        <w:t xml:space="preserve">The Commission </w:t>
      </w:r>
      <w:r w:rsidR="005B4A7C">
        <w:t xml:space="preserve">considers that the most appropriate course is to amend the victimisation provisions in the DDA, RDA and ADA in the same way as proposed for the SDA.  This will create real </w:t>
      </w:r>
      <w:r w:rsidR="00AA5DA4">
        <w:t xml:space="preserve">certainty </w:t>
      </w:r>
      <w:r w:rsidR="00E55A7B">
        <w:t>that the Government’s inten</w:t>
      </w:r>
      <w:r w:rsidR="00E9620E">
        <w:t>tion will be met.</w:t>
      </w:r>
    </w:p>
    <w:p w14:paraId="02094B0C" w14:textId="4CE3708E" w:rsidR="00F21A1D" w:rsidRPr="005520F9" w:rsidRDefault="005520F9" w:rsidP="005520F9">
      <w:pPr>
        <w:pStyle w:val="ListNumber"/>
        <w:keepNext/>
        <w:numPr>
          <w:ilvl w:val="0"/>
          <w:numId w:val="0"/>
        </w:numPr>
        <w:ind w:left="1094"/>
        <w:rPr>
          <w:b/>
        </w:rPr>
      </w:pPr>
      <w:r w:rsidRPr="005520F9">
        <w:rPr>
          <w:b/>
          <w:bCs/>
        </w:rPr>
        <w:t xml:space="preserve">Recommendation </w:t>
      </w:r>
      <w:r>
        <w:rPr>
          <w:b/>
          <w:bCs/>
        </w:rPr>
        <w:t>10</w:t>
      </w:r>
    </w:p>
    <w:p w14:paraId="75EB0A58" w14:textId="49883BB9" w:rsidR="005520F9" w:rsidRDefault="000A16F1" w:rsidP="00472C74">
      <w:pPr>
        <w:pStyle w:val="ListNumber"/>
      </w:pPr>
      <w:r>
        <w:t xml:space="preserve">The Commission recommends that </w:t>
      </w:r>
      <w:r w:rsidR="00923FE1">
        <w:t xml:space="preserve">necessary </w:t>
      </w:r>
      <w:r w:rsidR="002B050A">
        <w:t xml:space="preserve">legislative </w:t>
      </w:r>
      <w:r w:rsidR="00923FE1">
        <w:t>amendments be made to clarify that</w:t>
      </w:r>
      <w:r>
        <w:t xml:space="preserve"> </w:t>
      </w:r>
      <w:r w:rsidR="00661207">
        <w:t xml:space="preserve">victimisation under all </w:t>
      </w:r>
      <w:r w:rsidR="00C24278">
        <w:t xml:space="preserve">four </w:t>
      </w:r>
      <w:r w:rsidR="00661207">
        <w:t>federal discrimination Acts</w:t>
      </w:r>
      <w:r w:rsidR="00706FEE">
        <w:t xml:space="preserve"> </w:t>
      </w:r>
      <w:r w:rsidR="006617E4">
        <w:t xml:space="preserve">can form the basis of a civil action </w:t>
      </w:r>
      <w:r w:rsidR="004D75DD">
        <w:t>for unlawful discrimination.</w:t>
      </w:r>
    </w:p>
    <w:p w14:paraId="4EB79E7D" w14:textId="77777777" w:rsidR="00CA7AA7" w:rsidRDefault="00CA7AA7" w:rsidP="00CA7AA7">
      <w:pPr>
        <w:pStyle w:val="Heading2"/>
      </w:pPr>
      <w:bookmarkStart w:id="32" w:name="_Toc76719787"/>
      <w:r>
        <w:t>Termination of complaints</w:t>
      </w:r>
      <w:bookmarkEnd w:id="32"/>
    </w:p>
    <w:p w14:paraId="7548079C" w14:textId="23DE863C" w:rsidR="00894565" w:rsidRPr="00894565" w:rsidRDefault="00C9562E" w:rsidP="00894565">
      <w:pPr>
        <w:pStyle w:val="ListNumber"/>
      </w:pPr>
      <w:r>
        <w:t xml:space="preserve">When a complaint of unlawful discrimination is made to the Commission, </w:t>
      </w:r>
      <w:r w:rsidR="00DA6D6C">
        <w:t xml:space="preserve">the President of the Commission </w:t>
      </w:r>
      <w:r w:rsidR="00102CEF">
        <w:t>has the function of inquiring into the complaint and attempting to resolve it by conciliation.</w:t>
      </w:r>
      <w:r w:rsidR="00102CEF">
        <w:rPr>
          <w:rStyle w:val="EndnoteReference"/>
        </w:rPr>
        <w:endnoteReference w:id="37"/>
      </w:r>
    </w:p>
    <w:p w14:paraId="3811F486" w14:textId="404BF25E" w:rsidR="009C18BB" w:rsidRPr="009C18BB" w:rsidRDefault="002324A1" w:rsidP="009C18BB">
      <w:pPr>
        <w:pStyle w:val="ListNumber"/>
      </w:pPr>
      <w:r>
        <w:t>Other than being</w:t>
      </w:r>
      <w:r w:rsidR="00B003E6">
        <w:t xml:space="preserve"> </w:t>
      </w:r>
      <w:r w:rsidR="00B233CF">
        <w:t>resolved by conciliation, t</w:t>
      </w:r>
      <w:r w:rsidR="007C29A0">
        <w:t xml:space="preserve">here are </w:t>
      </w:r>
      <w:proofErr w:type="gramStart"/>
      <w:r w:rsidR="007C29A0">
        <w:t>a number of</w:t>
      </w:r>
      <w:proofErr w:type="gramEnd"/>
      <w:r w:rsidR="007C29A0">
        <w:t xml:space="preserve"> grounds on which a compl</w:t>
      </w:r>
      <w:r w:rsidR="00B003E6">
        <w:t xml:space="preserve">aint </w:t>
      </w:r>
      <w:r w:rsidR="00051EFA">
        <w:t>may be terminated</w:t>
      </w:r>
      <w:r w:rsidR="00756CE4">
        <w:t xml:space="preserve"> and the inquiry into the complaint brought to an end.  It is only once a complaint has been terminated that a complainant has a right to bring proceedings </w:t>
      </w:r>
      <w:r w:rsidR="00694AAD">
        <w:t>in a</w:t>
      </w:r>
      <w:r w:rsidR="003D0D78">
        <w:t xml:space="preserve"> court alleging unlawful discrimination</w:t>
      </w:r>
      <w:r w:rsidR="00694AAD">
        <w:t>.</w:t>
      </w:r>
      <w:r w:rsidR="00694AAD">
        <w:rPr>
          <w:rStyle w:val="EndnoteReference"/>
        </w:rPr>
        <w:endnoteReference w:id="38"/>
      </w:r>
      <w:r w:rsidR="009C72BA">
        <w:t xml:space="preserve"> </w:t>
      </w:r>
    </w:p>
    <w:p w14:paraId="4E3638CC" w14:textId="54CA3187" w:rsidR="00DF60E7" w:rsidRPr="00DF60E7" w:rsidRDefault="00615E8A" w:rsidP="00DF60E7">
      <w:pPr>
        <w:pStyle w:val="ListNumber"/>
      </w:pPr>
      <w:r>
        <w:t xml:space="preserve">The AHRC Act contains </w:t>
      </w:r>
      <w:r w:rsidR="00970665">
        <w:t>both mandatory termination grounds</w:t>
      </w:r>
      <w:r w:rsidR="00FE1BF3">
        <w:rPr>
          <w:rStyle w:val="EndnoteReference"/>
        </w:rPr>
        <w:endnoteReference w:id="39"/>
      </w:r>
      <w:r w:rsidR="008671E4">
        <w:t xml:space="preserve"> </w:t>
      </w:r>
      <w:r w:rsidR="00970665">
        <w:t>and discretionary termination grounds.</w:t>
      </w:r>
      <w:r w:rsidR="00FE1BF3">
        <w:rPr>
          <w:rStyle w:val="EndnoteReference"/>
        </w:rPr>
        <w:endnoteReference w:id="40"/>
      </w:r>
      <w:r w:rsidR="008671E4">
        <w:t xml:space="preserve">  One of the discretionary termination grounds relates to the </w:t>
      </w:r>
      <w:proofErr w:type="gramStart"/>
      <w:r w:rsidR="0035098B">
        <w:t xml:space="preserve">period of </w:t>
      </w:r>
      <w:r w:rsidR="008671E4">
        <w:t>time</w:t>
      </w:r>
      <w:proofErr w:type="gramEnd"/>
      <w:r w:rsidR="008671E4">
        <w:t xml:space="preserve"> </w:t>
      </w:r>
      <w:r w:rsidR="0035098B">
        <w:t>since the relevant conduct complained of occurred.</w:t>
      </w:r>
      <w:r w:rsidR="00C44B07">
        <w:t xml:space="preserve">  Section 46PH(1)(</w:t>
      </w:r>
      <w:r w:rsidR="00F92F91">
        <w:t xml:space="preserve">b) provides that the President has discretion to terminate a complaint </w:t>
      </w:r>
      <w:r w:rsidR="00D740EB">
        <w:t xml:space="preserve">on the ground that it was lodged more than 6 months </w:t>
      </w:r>
      <w:r w:rsidR="00E41AE1">
        <w:t>after the alleged acts, omissions or practices took place.</w:t>
      </w:r>
    </w:p>
    <w:p w14:paraId="373A424D" w14:textId="159B2BFB" w:rsidR="0029571C" w:rsidRDefault="0029571C" w:rsidP="00CA7AA7">
      <w:pPr>
        <w:pStyle w:val="ListNumber"/>
      </w:pPr>
      <w:r>
        <w:t xml:space="preserve">Prior to </w:t>
      </w:r>
      <w:r w:rsidR="000C7F31">
        <w:t xml:space="preserve">13 </w:t>
      </w:r>
      <w:r w:rsidR="00623917">
        <w:t xml:space="preserve">April 2017, </w:t>
      </w:r>
      <w:r w:rsidR="005D53F5">
        <w:t xml:space="preserve">the President had discretion to terminate </w:t>
      </w:r>
      <w:r w:rsidR="008B3291">
        <w:t xml:space="preserve">a complaint on the ground that </w:t>
      </w:r>
      <w:r w:rsidR="000851F1">
        <w:t xml:space="preserve">it was lodged more than 12 months after the alleged acts, omissions or practices took place.  </w:t>
      </w:r>
    </w:p>
    <w:p w14:paraId="539AA361" w14:textId="2F653978" w:rsidR="007630D7" w:rsidRPr="007630D7" w:rsidRDefault="00FB64FC" w:rsidP="007630D7">
      <w:pPr>
        <w:pStyle w:val="ListNumber"/>
      </w:pPr>
      <w:r>
        <w:t>The period referred to in s 46PH(1)(b)</w:t>
      </w:r>
      <w:r w:rsidR="00C40D36">
        <w:t xml:space="preserve"> is not a fixed time limit </w:t>
      </w:r>
      <w:r w:rsidR="00373BCC">
        <w:t>within which complaints must be lodged.</w:t>
      </w:r>
      <w:r>
        <w:t xml:space="preserve">  Be</w:t>
      </w:r>
      <w:r w:rsidR="00B619D3">
        <w:t xml:space="preserve">cause it is a discretionary ground, the President </w:t>
      </w:r>
      <w:r w:rsidR="005E6AB7">
        <w:t>may</w:t>
      </w:r>
      <w:r w:rsidR="00B619D3">
        <w:t xml:space="preserve"> </w:t>
      </w:r>
      <w:proofErr w:type="gramStart"/>
      <w:r w:rsidR="00B619D3">
        <w:t>take into account</w:t>
      </w:r>
      <w:proofErr w:type="gramEnd"/>
      <w:r w:rsidR="00B619D3">
        <w:t xml:space="preserve"> </w:t>
      </w:r>
      <w:r w:rsidR="005E6AB7">
        <w:t>a range</w:t>
      </w:r>
      <w:r w:rsidR="00B619D3">
        <w:t xml:space="preserve"> of </w:t>
      </w:r>
      <w:r w:rsidR="005E6AB7">
        <w:t>relevant</w:t>
      </w:r>
      <w:r w:rsidR="00B619D3">
        <w:t xml:space="preserve"> </w:t>
      </w:r>
      <w:r w:rsidR="00D769EF">
        <w:t xml:space="preserve">circumstances in determining whether termination on this ground is </w:t>
      </w:r>
      <w:r w:rsidR="00D769EF">
        <w:lastRenderedPageBreak/>
        <w:t xml:space="preserve">appropriate. </w:t>
      </w:r>
      <w:r w:rsidR="008A5C1E">
        <w:t xml:space="preserve"> For example, the President may have regard to</w:t>
      </w:r>
      <w:r w:rsidR="0043753F">
        <w:t xml:space="preserve"> the following factors</w:t>
      </w:r>
      <w:r w:rsidR="004C5553">
        <w:t>:</w:t>
      </w:r>
    </w:p>
    <w:p w14:paraId="22BFBD5B" w14:textId="31DE8EF9" w:rsidR="0043753F" w:rsidRDefault="0043753F" w:rsidP="00F1129F">
      <w:pPr>
        <w:pStyle w:val="ListNumber"/>
        <w:numPr>
          <w:ilvl w:val="0"/>
          <w:numId w:val="40"/>
        </w:numPr>
      </w:pPr>
      <w:r>
        <w:t>length of delay</w:t>
      </w:r>
    </w:p>
    <w:p w14:paraId="30D00707" w14:textId="55E7A360" w:rsidR="0043753F" w:rsidRDefault="0043753F" w:rsidP="00F1129F">
      <w:pPr>
        <w:pStyle w:val="ListNumber"/>
        <w:numPr>
          <w:ilvl w:val="0"/>
          <w:numId w:val="40"/>
        </w:numPr>
      </w:pPr>
      <w:r>
        <w:t>reasons for the delay</w:t>
      </w:r>
    </w:p>
    <w:p w14:paraId="2084B182" w14:textId="7CD0BED4" w:rsidR="0043753F" w:rsidRDefault="0043753F" w:rsidP="00F1129F">
      <w:pPr>
        <w:pStyle w:val="ListNumber"/>
        <w:numPr>
          <w:ilvl w:val="0"/>
          <w:numId w:val="40"/>
        </w:numPr>
      </w:pPr>
      <w:r>
        <w:t>prejudice to respondent or complainant</w:t>
      </w:r>
    </w:p>
    <w:p w14:paraId="720A5C11" w14:textId="29FB73F7" w:rsidR="0043753F" w:rsidRDefault="0043753F" w:rsidP="00F1129F">
      <w:pPr>
        <w:pStyle w:val="ListNumber"/>
        <w:numPr>
          <w:ilvl w:val="0"/>
          <w:numId w:val="40"/>
        </w:numPr>
      </w:pPr>
      <w:r>
        <w:t>whether other remedies have been sought and/or achieved in relation to the subject matter of the claim</w:t>
      </w:r>
    </w:p>
    <w:p w14:paraId="27E6521D" w14:textId="3DFB9230" w:rsidR="0043753F" w:rsidRDefault="0043753F" w:rsidP="00F1129F">
      <w:pPr>
        <w:pStyle w:val="ListNumber"/>
        <w:numPr>
          <w:ilvl w:val="0"/>
          <w:numId w:val="40"/>
        </w:numPr>
      </w:pPr>
      <w:r>
        <w:t>whether steps were taken to try to resolve the matter internally or through criminal proceedings</w:t>
      </w:r>
    </w:p>
    <w:p w14:paraId="45380146" w14:textId="7A5F0521" w:rsidR="00E112C7" w:rsidRDefault="0043753F" w:rsidP="00F1129F">
      <w:pPr>
        <w:pStyle w:val="ListNumber"/>
        <w:numPr>
          <w:ilvl w:val="0"/>
          <w:numId w:val="40"/>
        </w:numPr>
      </w:pPr>
      <w:r>
        <w:t xml:space="preserve">the arguable merits of the </w:t>
      </w:r>
      <w:r w:rsidR="00B277A4">
        <w:t>complaint</w:t>
      </w:r>
    </w:p>
    <w:p w14:paraId="5AF22B95" w14:textId="159455F8" w:rsidR="0043753F" w:rsidRDefault="0043753F" w:rsidP="00F1129F">
      <w:pPr>
        <w:pStyle w:val="ListNumber"/>
        <w:numPr>
          <w:ilvl w:val="0"/>
          <w:numId w:val="40"/>
        </w:numPr>
      </w:pPr>
      <w:r>
        <w:t>whether the complainant was and/or is legally represented</w:t>
      </w:r>
    </w:p>
    <w:p w14:paraId="7802A6D2" w14:textId="4F1816C1" w:rsidR="0043753F" w:rsidRDefault="0043753F" w:rsidP="00F1129F">
      <w:pPr>
        <w:pStyle w:val="ListNumber"/>
        <w:numPr>
          <w:ilvl w:val="0"/>
          <w:numId w:val="40"/>
        </w:numPr>
      </w:pPr>
      <w:r>
        <w:t>adverse health and family circumstances</w:t>
      </w:r>
    </w:p>
    <w:p w14:paraId="533621D1" w14:textId="1B63E8D3" w:rsidR="004C5553" w:rsidRDefault="0043753F" w:rsidP="00F1129F">
      <w:pPr>
        <w:pStyle w:val="ListNumber"/>
        <w:numPr>
          <w:ilvl w:val="0"/>
          <w:numId w:val="40"/>
        </w:numPr>
      </w:pPr>
      <w:r>
        <w:t>any other specific factors relevant in an individual case.</w:t>
      </w:r>
    </w:p>
    <w:p w14:paraId="0C48C0A3" w14:textId="42ABA597" w:rsidR="00BE2E9F" w:rsidRPr="00BE2E9F" w:rsidRDefault="00807E39" w:rsidP="00BE2E9F">
      <w:pPr>
        <w:pStyle w:val="ListNumber"/>
      </w:pPr>
      <w:r>
        <w:t xml:space="preserve">The Inquiry received </w:t>
      </w:r>
      <w:proofErr w:type="gramStart"/>
      <w:r>
        <w:t>a large number of</w:t>
      </w:r>
      <w:proofErr w:type="gramEnd"/>
      <w:r>
        <w:t xml:space="preserve"> submissions that supported extending the time period before which the President of the Commission can terminate a complaint.</w:t>
      </w:r>
      <w:r w:rsidR="00BB4F49">
        <w:t xml:space="preserve">  </w:t>
      </w:r>
      <w:r>
        <w:t xml:space="preserve">These submissions argued that the current six-month timeframe fails to recognise the complex reasons for an applicant’s delay in making a complaint immediately after an alleged incident of sexual harassment, which can include the impact of the harassment on their </w:t>
      </w:r>
      <w:r w:rsidR="00123B1C">
        <w:t>well-being</w:t>
      </w:r>
      <w:r>
        <w:t>, fear of victimisation, lack of awareness of their legal rights, or where they are awaiting the outcome of an internal workplace investigation.</w:t>
      </w:r>
    </w:p>
    <w:p w14:paraId="41B25369" w14:textId="57A61897" w:rsidR="0000333F" w:rsidRDefault="0000333F" w:rsidP="0000333F">
      <w:pPr>
        <w:pStyle w:val="ListNumber"/>
      </w:pPr>
      <w:r>
        <w:t>The Commission considered that at a minimum, the President’s discretion to terminate a complaint should be restored to the previous timeframe, which means it would not arise unless it has been more than 12 months since the alleged unlawful discrimination took place.</w:t>
      </w:r>
    </w:p>
    <w:p w14:paraId="739FABA8" w14:textId="7F1BA08D" w:rsidR="000C2740" w:rsidRPr="000C2740" w:rsidRDefault="0000333F" w:rsidP="000C2740">
      <w:pPr>
        <w:pStyle w:val="ListNumber"/>
      </w:pPr>
      <w:r>
        <w:t xml:space="preserve">However, </w:t>
      </w:r>
      <w:proofErr w:type="gramStart"/>
      <w:r>
        <w:t>in light of</w:t>
      </w:r>
      <w:proofErr w:type="gramEnd"/>
      <w:r>
        <w:t xml:space="preserve"> the strong feedback received from stakeholders through the course of </w:t>
      </w:r>
      <w:r w:rsidR="00CB4EC5">
        <w:t>the</w:t>
      </w:r>
      <w:r>
        <w:t xml:space="preserve"> Inquiry, the Commission </w:t>
      </w:r>
      <w:r w:rsidR="003E659C">
        <w:t xml:space="preserve">ultimately </w:t>
      </w:r>
      <w:r>
        <w:t>recommend</w:t>
      </w:r>
      <w:r w:rsidR="00C026A0">
        <w:t>ed</w:t>
      </w:r>
      <w:r>
        <w:t xml:space="preserve"> that the timeframe be extended to two years, to address the above concerns regarding the complex reasons for the delay in bringing a sexual harassment complaint.</w:t>
      </w:r>
    </w:p>
    <w:p w14:paraId="6EAEC381" w14:textId="30CF6095" w:rsidR="00FB306B" w:rsidRDefault="005B54D2" w:rsidP="00E52DA5">
      <w:pPr>
        <w:pStyle w:val="ListNumber"/>
      </w:pPr>
      <w:r>
        <w:t xml:space="preserve">Given the focus of the </w:t>
      </w:r>
      <w:r w:rsidR="001C672D">
        <w:t>Inquiry</w:t>
      </w:r>
      <w:r>
        <w:t xml:space="preserve">, </w:t>
      </w:r>
      <w:r w:rsidR="00A21840">
        <w:t>r</w:t>
      </w:r>
      <w:r w:rsidR="00C60664">
        <w:t xml:space="preserve">ecommendation 22 of the </w:t>
      </w:r>
      <w:proofErr w:type="spellStart"/>
      <w:r w:rsidR="00C60664">
        <w:t>Respect@Work</w:t>
      </w:r>
      <w:proofErr w:type="spellEnd"/>
      <w:r w:rsidR="00C60664">
        <w:t xml:space="preserve"> report </w:t>
      </w:r>
      <w:r w:rsidR="002C09BF">
        <w:t xml:space="preserve">was expressed </w:t>
      </w:r>
      <w:r w:rsidR="00CE1EE4">
        <w:t>in terms of the t</w:t>
      </w:r>
      <w:r w:rsidR="00E4187F">
        <w:t xml:space="preserve">ermination of complaints under the SDA.  It </w:t>
      </w:r>
      <w:r w:rsidR="00D52C9E">
        <w:t xml:space="preserve">recommended that the President’s discretion to terminate a complaint under the SDA </w:t>
      </w:r>
      <w:r w:rsidR="00AB5DAE">
        <w:t xml:space="preserve">on the grounds of </w:t>
      </w:r>
      <w:r w:rsidR="00AB5DAE">
        <w:lastRenderedPageBreak/>
        <w:t xml:space="preserve">time not arise until it has been 24 months since </w:t>
      </w:r>
      <w:r w:rsidR="002776BC">
        <w:t xml:space="preserve">the alleged unlawful discrimination took place.  This recommendation has been reflected in </w:t>
      </w:r>
      <w:r w:rsidR="00C669D5">
        <w:t>clause 3 of the Bill.  That clause provides that</w:t>
      </w:r>
      <w:r w:rsidR="00FB306B">
        <w:t>:</w:t>
      </w:r>
    </w:p>
    <w:p w14:paraId="66364067" w14:textId="77777777" w:rsidR="00FB306B" w:rsidRDefault="002F275A" w:rsidP="00FB306B">
      <w:pPr>
        <w:pStyle w:val="ListNumber"/>
        <w:numPr>
          <w:ilvl w:val="0"/>
          <w:numId w:val="41"/>
        </w:numPr>
      </w:pPr>
      <w:r>
        <w:t xml:space="preserve">if a complaint </w:t>
      </w:r>
      <w:r w:rsidR="006B2DF5">
        <w:t xml:space="preserve">relates to the SDA, the President’s discretion to terminate the complaint </w:t>
      </w:r>
      <w:r w:rsidR="003A46F1">
        <w:t>arises if it has been more than 24 months since the alleged conduct took place</w:t>
      </w:r>
      <w:r w:rsidR="005D161B">
        <w:t xml:space="preserve">; but </w:t>
      </w:r>
    </w:p>
    <w:p w14:paraId="3DEE72FA" w14:textId="1FCD4C7E" w:rsidR="0051023E" w:rsidRPr="0051023E" w:rsidRDefault="005D161B" w:rsidP="00FB306B">
      <w:pPr>
        <w:pStyle w:val="ListNumber"/>
        <w:numPr>
          <w:ilvl w:val="0"/>
          <w:numId w:val="41"/>
        </w:numPr>
      </w:pPr>
      <w:r>
        <w:t xml:space="preserve">in any other case, </w:t>
      </w:r>
      <w:r w:rsidR="00FB306B">
        <w:t xml:space="preserve">the President’s discretion to terminate the complaint arises if it has been more than </w:t>
      </w:r>
      <w:r w:rsidR="00DB7C50">
        <w:t>6</w:t>
      </w:r>
      <w:r w:rsidR="00FB306B">
        <w:t xml:space="preserve"> months since the alleged conduct took place</w:t>
      </w:r>
      <w:r w:rsidR="00DB7C50">
        <w:t>.</w:t>
      </w:r>
    </w:p>
    <w:p w14:paraId="5CA11249" w14:textId="53E91728" w:rsidR="007E3104" w:rsidRPr="007E3104" w:rsidRDefault="00A41CD5" w:rsidP="007E3104">
      <w:pPr>
        <w:pStyle w:val="ListNumber"/>
      </w:pPr>
      <w:r>
        <w:t>If the Bill is passed in this form</w:t>
      </w:r>
      <w:r w:rsidR="00337A84">
        <w:t xml:space="preserve">, this will be the only termination ground in the AHRC Act that </w:t>
      </w:r>
      <w:r w:rsidR="00064C63">
        <w:t xml:space="preserve">has a different effect depending on the </w:t>
      </w:r>
      <w:r w:rsidR="00FC788A">
        <w:t>Act under</w:t>
      </w:r>
      <w:r w:rsidR="00064C63">
        <w:t xml:space="preserve"> which the complaint was </w:t>
      </w:r>
      <w:r w:rsidR="00B74644">
        <w:t>made</w:t>
      </w:r>
      <w:r w:rsidR="00781305">
        <w:t>.</w:t>
      </w:r>
      <w:r w:rsidR="00D92ECB">
        <w:t xml:space="preserve">  </w:t>
      </w:r>
      <w:r w:rsidR="00C802A5">
        <w:t>S</w:t>
      </w:r>
      <w:r w:rsidR="00CD29DD">
        <w:t xml:space="preserve">takeholders to the Inquiry, both duty holders and rights bearers emphasised the need for clarity and consistency </w:t>
      </w:r>
      <w:r w:rsidR="00E651EB">
        <w:t xml:space="preserve">in the regulatory framework.  </w:t>
      </w:r>
      <w:r w:rsidR="00D92ECB">
        <w:t xml:space="preserve">For the following reasons, the Commission considers that </w:t>
      </w:r>
      <w:r w:rsidR="00E651EB">
        <w:t xml:space="preserve">a </w:t>
      </w:r>
      <w:r w:rsidR="00623E29">
        <w:t xml:space="preserve">differential operation </w:t>
      </w:r>
      <w:r w:rsidR="000615DC">
        <w:t xml:space="preserve">of termination provisions </w:t>
      </w:r>
      <w:r w:rsidR="00183185">
        <w:t xml:space="preserve">has the potential to create </w:t>
      </w:r>
      <w:r w:rsidR="00F11EED">
        <w:t>confusion</w:t>
      </w:r>
      <w:r w:rsidR="00026D42">
        <w:t xml:space="preserve"> and is undesirable</w:t>
      </w:r>
      <w:r w:rsidR="00F11EED">
        <w:t>.</w:t>
      </w:r>
    </w:p>
    <w:p w14:paraId="0BE74251" w14:textId="55406030" w:rsidR="00573F4D" w:rsidRPr="00573F4D" w:rsidRDefault="00B8302D" w:rsidP="00573F4D">
      <w:pPr>
        <w:pStyle w:val="ListNumber"/>
      </w:pPr>
      <w:r>
        <w:t>As noted in [</w:t>
      </w:r>
      <w:r>
        <w:fldChar w:fldCharType="begin"/>
      </w:r>
      <w:r>
        <w:instrText xml:space="preserve"> REF _Ref76462802 \r \h </w:instrText>
      </w:r>
      <w:r>
        <w:fldChar w:fldCharType="separate"/>
      </w:r>
      <w:r w:rsidR="00532A8C">
        <w:t>45</w:t>
      </w:r>
      <w:r>
        <w:fldChar w:fldCharType="end"/>
      </w:r>
      <w:r>
        <w:t>] above, t</w:t>
      </w:r>
      <w:r w:rsidR="00686893">
        <w:t xml:space="preserve">he </w:t>
      </w:r>
      <w:proofErr w:type="spellStart"/>
      <w:r w:rsidR="00686893">
        <w:t>Respect@Work</w:t>
      </w:r>
      <w:proofErr w:type="spellEnd"/>
      <w:r w:rsidR="00686893">
        <w:t xml:space="preserve"> report </w:t>
      </w:r>
      <w:r w:rsidR="00636848">
        <w:t xml:space="preserve">emphasised that </w:t>
      </w:r>
      <w:r w:rsidR="0039159A">
        <w:t xml:space="preserve">framing an appropriate </w:t>
      </w:r>
      <w:r w:rsidR="002D7CCC">
        <w:t xml:space="preserve">regulatory </w:t>
      </w:r>
      <w:r w:rsidR="0039159A">
        <w:t xml:space="preserve">response to </w:t>
      </w:r>
      <w:r w:rsidR="003D11CA">
        <w:t xml:space="preserve">sexual harassment </w:t>
      </w:r>
      <w:r w:rsidR="002D7CCC">
        <w:t xml:space="preserve">required </w:t>
      </w:r>
      <w:r w:rsidR="00070759">
        <w:t>examining the problem through an intersectional lens.</w:t>
      </w:r>
      <w:r w:rsidR="00070759">
        <w:rPr>
          <w:rStyle w:val="EndnoteReference"/>
        </w:rPr>
        <w:endnoteReference w:id="41"/>
      </w:r>
      <w:r w:rsidR="00070759">
        <w:t xml:space="preserve">  </w:t>
      </w:r>
    </w:p>
    <w:p w14:paraId="3C57294F" w14:textId="73594309" w:rsidR="006778D7" w:rsidRPr="006778D7" w:rsidRDefault="00C1666B" w:rsidP="006778D7">
      <w:pPr>
        <w:pStyle w:val="ListNumber"/>
      </w:pPr>
      <w:r>
        <w:t xml:space="preserve">The experience of the Commission is that </w:t>
      </w:r>
      <w:r w:rsidR="00D87ADD">
        <w:t>many people</w:t>
      </w:r>
      <w:r w:rsidR="00480273">
        <w:t xml:space="preserve"> </w:t>
      </w:r>
      <w:r w:rsidR="00947184">
        <w:t>who make complaint</w:t>
      </w:r>
      <w:r w:rsidR="00D87ADD">
        <w:t>s</w:t>
      </w:r>
      <w:r w:rsidR="00947184">
        <w:t xml:space="preserve"> under the SDA also</w:t>
      </w:r>
      <w:r w:rsidR="00480273">
        <w:t xml:space="preserve"> </w:t>
      </w:r>
      <w:r w:rsidR="004114FF">
        <w:t xml:space="preserve">make related complaints </w:t>
      </w:r>
      <w:r w:rsidR="005C1EB1">
        <w:t xml:space="preserve">under </w:t>
      </w:r>
      <w:r w:rsidR="004A3868">
        <w:t>the DDA or RDA in relation to the same conduct.</w:t>
      </w:r>
      <w:r w:rsidR="00AA5597">
        <w:t xml:space="preserve">  </w:t>
      </w:r>
      <w:r w:rsidR="0045262E">
        <w:t xml:space="preserve">If the conduct occurred </w:t>
      </w:r>
      <w:r w:rsidR="0031460E">
        <w:t xml:space="preserve">between 6 months and 24 months previously, </w:t>
      </w:r>
      <w:r w:rsidR="007B3564">
        <w:t xml:space="preserve">the President would not have </w:t>
      </w:r>
      <w:r w:rsidR="00372C91">
        <w:t xml:space="preserve">the discretion to terminate the complaint </w:t>
      </w:r>
      <w:r w:rsidR="004D25DF">
        <w:t>in so far as it</w:t>
      </w:r>
      <w:r w:rsidR="00372C91">
        <w:t xml:space="preserve"> </w:t>
      </w:r>
      <w:r w:rsidR="00417D78">
        <w:t xml:space="preserve">related to the </w:t>
      </w:r>
      <w:proofErr w:type="gramStart"/>
      <w:r w:rsidR="00417D78">
        <w:t>SDA, but</w:t>
      </w:r>
      <w:proofErr w:type="gramEnd"/>
      <w:r w:rsidR="00417D78">
        <w:t xml:space="preserve"> would be able to terminate the complaint </w:t>
      </w:r>
      <w:r w:rsidR="00FA5BF3">
        <w:t>in so far as it related</w:t>
      </w:r>
      <w:r w:rsidR="00271836">
        <w:t xml:space="preserve"> to </w:t>
      </w:r>
      <w:r w:rsidR="009645BD">
        <w:t xml:space="preserve">the DDA or </w:t>
      </w:r>
      <w:r w:rsidR="00FA5BF3">
        <w:t xml:space="preserve">RDA. </w:t>
      </w:r>
      <w:r w:rsidR="005419CC">
        <w:t xml:space="preserve"> This is an </w:t>
      </w:r>
      <w:r w:rsidR="00DB7CA7">
        <w:t>undesirable result.</w:t>
      </w:r>
    </w:p>
    <w:p w14:paraId="55FC31EC" w14:textId="45114484" w:rsidR="000C7E76" w:rsidRPr="000C7E76" w:rsidRDefault="00D73F98" w:rsidP="000C7E76">
      <w:pPr>
        <w:pStyle w:val="ListNumber"/>
      </w:pPr>
      <w:r>
        <w:t xml:space="preserve">Further, the differences in time frames may also </w:t>
      </w:r>
      <w:r w:rsidR="001F3CBC">
        <w:t xml:space="preserve">give rise to arguments that complaints under the DDA, RDA or ADA </w:t>
      </w:r>
      <w:r w:rsidR="001F3CBC" w:rsidRPr="001F3CBC">
        <w:rPr>
          <w:i/>
          <w:iCs/>
        </w:rPr>
        <w:t>should</w:t>
      </w:r>
      <w:r w:rsidR="001F3CBC">
        <w:t xml:space="preserve"> be terminated if </w:t>
      </w:r>
      <w:r w:rsidR="00771205">
        <w:t xml:space="preserve">the conduct fell within </w:t>
      </w:r>
      <w:r w:rsidR="00782E8A">
        <w:t xml:space="preserve">this </w:t>
      </w:r>
      <w:r w:rsidR="00015ACC">
        <w:t xml:space="preserve">intermediate </w:t>
      </w:r>
      <w:r w:rsidR="00782E8A">
        <w:t xml:space="preserve">period </w:t>
      </w:r>
      <w:r w:rsidR="00EC2283">
        <w:t>because the legislation draws a distinction between</w:t>
      </w:r>
      <w:r w:rsidR="001F3CBC">
        <w:t xml:space="preserve"> </w:t>
      </w:r>
      <w:r w:rsidR="00725706">
        <w:t xml:space="preserve">different kinds of complaints.  </w:t>
      </w:r>
    </w:p>
    <w:p w14:paraId="2CC7500E" w14:textId="4DFC7057" w:rsidR="00AD6757" w:rsidRDefault="00294687" w:rsidP="002C6AE8">
      <w:pPr>
        <w:pStyle w:val="ListNumber"/>
      </w:pPr>
      <w:r>
        <w:t xml:space="preserve">The Commission notes that the factors referred to in the </w:t>
      </w:r>
      <w:proofErr w:type="spellStart"/>
      <w:r>
        <w:t>Respect@Work</w:t>
      </w:r>
      <w:proofErr w:type="spellEnd"/>
      <w:r>
        <w:t xml:space="preserve"> report which </w:t>
      </w:r>
      <w:r w:rsidR="00035D75">
        <w:t>explained why there may be a delay in a</w:t>
      </w:r>
      <w:r w:rsidR="00191664">
        <w:t xml:space="preserve">n </w:t>
      </w:r>
      <w:r w:rsidR="00035D75">
        <w:t>applicant</w:t>
      </w:r>
      <w:r w:rsidR="00191664">
        <w:t xml:space="preserve"> bringing a complaint of sexual harassment also apply to</w:t>
      </w:r>
      <w:r w:rsidR="00035D75">
        <w:t xml:space="preserve"> </w:t>
      </w:r>
      <w:r w:rsidR="00DF541C">
        <w:t xml:space="preserve">a range of other complaints including </w:t>
      </w:r>
      <w:r w:rsidR="000B75D6">
        <w:t xml:space="preserve">discrimination on the grounds of </w:t>
      </w:r>
      <w:r w:rsidR="00A709A8">
        <w:t xml:space="preserve">disability </w:t>
      </w:r>
      <w:r w:rsidR="000B75D6">
        <w:t>or race</w:t>
      </w:r>
      <w:r w:rsidR="005C3F15">
        <w:t>.</w:t>
      </w:r>
      <w:r w:rsidR="00822555">
        <w:t xml:space="preserve">  </w:t>
      </w:r>
      <w:r w:rsidR="00C45C12">
        <w:t xml:space="preserve">In these cases, too, </w:t>
      </w:r>
      <w:r w:rsidR="00822555">
        <w:t xml:space="preserve">an applicant’s delay in making a complaint immediately after an alleged incident </w:t>
      </w:r>
      <w:r w:rsidR="00226162">
        <w:t>can be affected by</w:t>
      </w:r>
      <w:r w:rsidR="00822555">
        <w:t xml:space="preserve"> the impact of the </w:t>
      </w:r>
      <w:r w:rsidR="00226162">
        <w:t>conduct</w:t>
      </w:r>
      <w:r w:rsidR="00822555">
        <w:t xml:space="preserve"> on their </w:t>
      </w:r>
      <w:r w:rsidR="00123B1C">
        <w:t>well-being</w:t>
      </w:r>
      <w:r w:rsidR="00822555">
        <w:t xml:space="preserve">, fear of victimisation, lack of </w:t>
      </w:r>
      <w:r w:rsidR="00822555">
        <w:lastRenderedPageBreak/>
        <w:t>awareness of their legal rights, or where they are awaiting the outcome of an internal workplace investigation.</w:t>
      </w:r>
    </w:p>
    <w:p w14:paraId="714ED59F" w14:textId="482DEE1F" w:rsidR="00193D1C" w:rsidRPr="00193D1C" w:rsidRDefault="0060567C" w:rsidP="00193D1C">
      <w:pPr>
        <w:pStyle w:val="ListNumber"/>
      </w:pPr>
      <w:r>
        <w:t xml:space="preserve">The Commission’s strong preference is for the </w:t>
      </w:r>
      <w:proofErr w:type="gramStart"/>
      <w:r w:rsidR="00BE2BFB">
        <w:t>period of time</w:t>
      </w:r>
      <w:proofErr w:type="gramEnd"/>
      <w:r w:rsidR="00BE2BFB">
        <w:t xml:space="preserve"> in s </w:t>
      </w:r>
      <w:r w:rsidR="008A1BDD">
        <w:t>46PH(1)(b) to apply consistently</w:t>
      </w:r>
      <w:r w:rsidR="00A63F3F">
        <w:t xml:space="preserve"> regardless of the Act </w:t>
      </w:r>
      <w:r w:rsidR="00624FF1">
        <w:t xml:space="preserve">that the complaint relates to. </w:t>
      </w:r>
    </w:p>
    <w:p w14:paraId="2F95DD6C" w14:textId="6D92E4CC" w:rsidR="00624FF1" w:rsidRDefault="00624FF1" w:rsidP="00E96E8E">
      <w:pPr>
        <w:pStyle w:val="ListNumber"/>
      </w:pPr>
      <w:r>
        <w:t xml:space="preserve">Consistently with the position taken in the </w:t>
      </w:r>
      <w:proofErr w:type="spellStart"/>
      <w:r>
        <w:t>Respect@Work</w:t>
      </w:r>
      <w:proofErr w:type="spellEnd"/>
      <w:r>
        <w:t xml:space="preserve"> report, the Commission submits that this period should be 24 months.</w:t>
      </w:r>
    </w:p>
    <w:p w14:paraId="06E8EC55" w14:textId="2FF9AC8C" w:rsidR="00624FF1" w:rsidRPr="00624FF1" w:rsidRDefault="00624FF1" w:rsidP="00486825">
      <w:pPr>
        <w:pStyle w:val="ListNumber"/>
        <w:keepNext/>
        <w:numPr>
          <w:ilvl w:val="0"/>
          <w:numId w:val="0"/>
        </w:numPr>
        <w:ind w:left="1094"/>
        <w:rPr>
          <w:b/>
          <w:bCs/>
        </w:rPr>
      </w:pPr>
      <w:r w:rsidRPr="00624FF1">
        <w:rPr>
          <w:b/>
          <w:bCs/>
        </w:rPr>
        <w:t>Recommendation 11</w:t>
      </w:r>
    </w:p>
    <w:p w14:paraId="4DC2C226" w14:textId="7EBE5BB5" w:rsidR="00624FF1" w:rsidRDefault="00624FF1" w:rsidP="00624FF1">
      <w:pPr>
        <w:pStyle w:val="ListNumber"/>
        <w:numPr>
          <w:ilvl w:val="0"/>
          <w:numId w:val="0"/>
        </w:numPr>
        <w:ind w:left="1094"/>
      </w:pPr>
      <w:r>
        <w:t xml:space="preserve">The Commission recommends that </w:t>
      </w:r>
      <w:r w:rsidR="008F42E8">
        <w:t>s 46PH(1)(b)</w:t>
      </w:r>
      <w:r>
        <w:t xml:space="preserve"> of the </w:t>
      </w:r>
      <w:r w:rsidR="008F42E8">
        <w:t>AHRC Act</w:t>
      </w:r>
      <w:r>
        <w:t xml:space="preserve"> be amended </w:t>
      </w:r>
      <w:r w:rsidR="00CE6C38">
        <w:t xml:space="preserve">to provide </w:t>
      </w:r>
      <w:r w:rsidR="008F42E8">
        <w:t xml:space="preserve">that </w:t>
      </w:r>
      <w:r w:rsidR="007D0D6A">
        <w:t xml:space="preserve">the President </w:t>
      </w:r>
      <w:r w:rsidR="00A8771A">
        <w:t xml:space="preserve">may terminate </w:t>
      </w:r>
      <w:r w:rsidR="00091E0C">
        <w:t xml:space="preserve">any complaint </w:t>
      </w:r>
      <w:r w:rsidR="00486825">
        <w:t>that was lodged more than 24 months after the alleged acts, omissions or practices took place.</w:t>
      </w:r>
    </w:p>
    <w:p w14:paraId="4F8553F6" w14:textId="77777777" w:rsidR="00CA7AA7" w:rsidRDefault="00CA7AA7" w:rsidP="000705F2">
      <w:pPr>
        <w:pStyle w:val="ListNumber"/>
        <w:numPr>
          <w:ilvl w:val="0"/>
          <w:numId w:val="0"/>
        </w:numPr>
      </w:pPr>
    </w:p>
    <w:p w14:paraId="639CB0A9" w14:textId="47031D79" w:rsidR="00B84775" w:rsidRDefault="00B84775">
      <w:pPr>
        <w:spacing w:before="0" w:after="0"/>
      </w:pPr>
      <w:r>
        <w:br w:type="page"/>
      </w:r>
    </w:p>
    <w:p w14:paraId="5D8E90DC" w14:textId="3CB1C5B1" w:rsidR="003A0D42" w:rsidRPr="00B84775" w:rsidRDefault="00B84775" w:rsidP="000705F2">
      <w:pPr>
        <w:pStyle w:val="ListNumber"/>
        <w:numPr>
          <w:ilvl w:val="0"/>
          <w:numId w:val="0"/>
        </w:numPr>
        <w:rPr>
          <w:b/>
          <w:sz w:val="28"/>
          <w:szCs w:val="28"/>
        </w:rPr>
      </w:pPr>
      <w:r w:rsidRPr="00B84775">
        <w:rPr>
          <w:b/>
          <w:bCs/>
          <w:sz w:val="28"/>
          <w:szCs w:val="28"/>
        </w:rPr>
        <w:lastRenderedPageBreak/>
        <w:t>Endnotes</w:t>
      </w:r>
    </w:p>
    <w:sectPr w:rsidR="003A0D42" w:rsidRPr="00B84775"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E692" w14:textId="77777777" w:rsidR="00A42570" w:rsidRDefault="00A42570" w:rsidP="00F14C6D">
      <w:r>
        <w:separator/>
      </w:r>
    </w:p>
  </w:endnote>
  <w:endnote w:type="continuationSeparator" w:id="0">
    <w:p w14:paraId="715FB58C" w14:textId="77777777" w:rsidR="00A42570" w:rsidRDefault="00A42570" w:rsidP="00F14C6D">
      <w:r>
        <w:continuationSeparator/>
      </w:r>
    </w:p>
  </w:endnote>
  <w:endnote w:type="continuationNotice" w:id="1">
    <w:p w14:paraId="36226995" w14:textId="77777777" w:rsidR="00A42570" w:rsidRDefault="00A42570">
      <w:pPr>
        <w:spacing w:before="0" w:after="0"/>
      </w:pPr>
    </w:p>
  </w:endnote>
  <w:endnote w:id="2">
    <w:p w14:paraId="3A637FB0" w14:textId="03B49FF7" w:rsidR="00517F96" w:rsidRDefault="00517F96" w:rsidP="00246D48">
      <w:pPr>
        <w:pStyle w:val="EndnoteText"/>
        <w:ind w:left="284" w:hanging="284"/>
      </w:pPr>
      <w:r>
        <w:rPr>
          <w:rStyle w:val="EndnoteReference"/>
        </w:rPr>
        <w:endnoteRef/>
      </w:r>
      <w:r>
        <w:t xml:space="preserve"> </w:t>
      </w:r>
      <w:r>
        <w:tab/>
      </w:r>
      <w:r w:rsidR="003560D2">
        <w:t xml:space="preserve">Australian Human Rights Commission, </w:t>
      </w:r>
      <w:r w:rsidR="003560D2" w:rsidRPr="003560D2">
        <w:rPr>
          <w:i/>
          <w:iCs/>
        </w:rPr>
        <w:t>Everyone’s Business: Fourth National Survey on Sexual Harassment in Australian Workplaces</w:t>
      </w:r>
      <w:r w:rsidR="003560D2">
        <w:t xml:space="preserve"> (2018) 8</w:t>
      </w:r>
      <w:r w:rsidR="00C35540">
        <w:t xml:space="preserve">, </w:t>
      </w:r>
      <w:r w:rsidR="00C35540">
        <w:rPr>
          <w:lang w:val="en-US"/>
        </w:rPr>
        <w:t xml:space="preserve">at </w:t>
      </w:r>
      <w:hyperlink r:id="rId1" w:history="1">
        <w:r w:rsidR="00C35540" w:rsidRPr="00AD2C7B">
          <w:rPr>
            <w:rStyle w:val="Hyperlink"/>
            <w:lang w:val="en-US"/>
          </w:rPr>
          <w:t>https://humanrights.gov.au/our-work/sex-discrimination/publications/everyones-business-fourth-national-survey-sexual</w:t>
        </w:r>
      </w:hyperlink>
      <w:r w:rsidR="004B4BC2">
        <w:rPr>
          <w:lang w:val="en-US"/>
        </w:rPr>
        <w:t>.</w:t>
      </w:r>
    </w:p>
  </w:endnote>
  <w:endnote w:id="3">
    <w:p w14:paraId="673A3B77" w14:textId="05C1E012" w:rsidR="00FE0EF9" w:rsidRDefault="00FE0EF9" w:rsidP="00246D48">
      <w:pPr>
        <w:pStyle w:val="EndnoteText"/>
        <w:ind w:left="284" w:hanging="284"/>
      </w:pPr>
      <w:r>
        <w:rPr>
          <w:rStyle w:val="EndnoteReference"/>
        </w:rPr>
        <w:endnoteRef/>
      </w:r>
      <w:r>
        <w:t xml:space="preserve"> </w:t>
      </w:r>
      <w:r>
        <w:tab/>
      </w:r>
      <w:r w:rsidR="00781D2F">
        <w:t xml:space="preserve">Australian Government, </w:t>
      </w:r>
      <w:r w:rsidR="00781D2F" w:rsidRPr="00FA127D">
        <w:rPr>
          <w:i/>
          <w:iCs/>
        </w:rPr>
        <w:t>A Roadmap for Respect: Preventing and Addressing Sexual Harassment in Australian Workplaces</w:t>
      </w:r>
      <w:r w:rsidR="00FA127D">
        <w:t xml:space="preserve"> (2021), </w:t>
      </w:r>
      <w:r w:rsidR="00270CE1">
        <w:t>at</w:t>
      </w:r>
      <w:r w:rsidR="00FA127D">
        <w:t xml:space="preserve"> </w:t>
      </w:r>
      <w:hyperlink r:id="rId2" w:history="1">
        <w:r w:rsidR="004B71CE" w:rsidRPr="007F1C17">
          <w:rPr>
            <w:rStyle w:val="Hyperlink"/>
          </w:rPr>
          <w:t>https://www.ag.gov.au/rights-and-protections/publications/roadmap-for-respect</w:t>
        </w:r>
      </w:hyperlink>
      <w:r w:rsidR="004B71CE">
        <w:t xml:space="preserve">. </w:t>
      </w:r>
    </w:p>
  </w:endnote>
  <w:endnote w:id="4">
    <w:p w14:paraId="14524B8B" w14:textId="1EEB953F" w:rsidR="003A4BD3" w:rsidRDefault="003A4BD3" w:rsidP="00246D48">
      <w:pPr>
        <w:pStyle w:val="EndnoteText"/>
        <w:ind w:left="284" w:hanging="284"/>
      </w:pPr>
      <w:r>
        <w:rPr>
          <w:rStyle w:val="EndnoteReference"/>
        </w:rPr>
        <w:endnoteRef/>
      </w:r>
      <w:r>
        <w:t xml:space="preserve"> </w:t>
      </w:r>
      <w:r>
        <w:tab/>
        <w:t xml:space="preserve">Australian Human Rights Commission, </w:t>
      </w:r>
      <w:r w:rsidRPr="00442629">
        <w:rPr>
          <w:i/>
          <w:iCs/>
        </w:rPr>
        <w:t>Respect@Work: National Inquiry into Sexual Harassment in Australian Workplaces</w:t>
      </w:r>
      <w:r w:rsidR="00442629">
        <w:t xml:space="preserve"> (2020) (Respect@Work report), recommendation 16(a).</w:t>
      </w:r>
    </w:p>
  </w:endnote>
  <w:endnote w:id="5">
    <w:p w14:paraId="6F9A9E47" w14:textId="7EE7A2E5" w:rsidR="00103905" w:rsidRDefault="00103905" w:rsidP="00246D48">
      <w:pPr>
        <w:pStyle w:val="EndnoteText"/>
        <w:ind w:left="284" w:hanging="284"/>
      </w:pPr>
      <w:r>
        <w:rPr>
          <w:rStyle w:val="EndnoteReference"/>
        </w:rPr>
        <w:endnoteRef/>
      </w:r>
      <w:r>
        <w:t xml:space="preserve"> </w:t>
      </w:r>
      <w:r>
        <w:tab/>
      </w:r>
      <w:r w:rsidR="006070BE" w:rsidRPr="0077125D">
        <w:rPr>
          <w:i/>
          <w:iCs/>
        </w:rPr>
        <w:t>Convention on the Elimination of All Forms of Discrimination Against Women</w:t>
      </w:r>
      <w:r w:rsidR="007C227D">
        <w:t>, opened for signature 21 December</w:t>
      </w:r>
      <w:r w:rsidR="0077125D">
        <w:t xml:space="preserve"> </w:t>
      </w:r>
      <w:r w:rsidR="007C227D">
        <w:t>1965, 660 UNTS 195 (entered into force 4 January</w:t>
      </w:r>
      <w:r w:rsidR="0077125D">
        <w:t xml:space="preserve"> </w:t>
      </w:r>
      <w:r w:rsidR="007C227D">
        <w:t>1969)</w:t>
      </w:r>
      <w:r w:rsidR="0077125D">
        <w:t>, article 4.</w:t>
      </w:r>
    </w:p>
  </w:endnote>
  <w:endnote w:id="6">
    <w:p w14:paraId="2D37A379" w14:textId="52F2362E" w:rsidR="00146574" w:rsidRDefault="00146574" w:rsidP="00B77F77">
      <w:pPr>
        <w:pStyle w:val="EndnoteText"/>
        <w:ind w:left="284" w:hanging="284"/>
      </w:pPr>
      <w:r>
        <w:rPr>
          <w:rStyle w:val="EndnoteReference"/>
        </w:rPr>
        <w:endnoteRef/>
      </w:r>
      <w:r>
        <w:t xml:space="preserve"> </w:t>
      </w:r>
      <w:r>
        <w:tab/>
        <w:t xml:space="preserve">Respect@Work report, </w:t>
      </w:r>
      <w:r w:rsidR="00B77F77">
        <w:t>444–447.</w:t>
      </w:r>
    </w:p>
  </w:endnote>
  <w:endnote w:id="7">
    <w:p w14:paraId="6780607E" w14:textId="28D418DD" w:rsidR="007D0796" w:rsidRDefault="007D0796" w:rsidP="00246D48">
      <w:pPr>
        <w:pStyle w:val="EndnoteText"/>
        <w:ind w:left="284" w:hanging="284"/>
      </w:pPr>
      <w:r>
        <w:rPr>
          <w:rStyle w:val="EndnoteReference"/>
        </w:rPr>
        <w:endnoteRef/>
      </w:r>
      <w:r>
        <w:t xml:space="preserve"> </w:t>
      </w:r>
      <w:r>
        <w:tab/>
        <w:t xml:space="preserve">Explanatory Memorandum, </w:t>
      </w:r>
      <w:r w:rsidR="008E3EE5">
        <w:t>Sex Discrimination and Fair Work (Respect at Work) Amendment Bill 2021, at [156].</w:t>
      </w:r>
    </w:p>
  </w:endnote>
  <w:endnote w:id="8">
    <w:p w14:paraId="49DE272D" w14:textId="59B552E0" w:rsidR="007B5AEF" w:rsidRDefault="007B5AEF" w:rsidP="00246D48">
      <w:pPr>
        <w:pStyle w:val="EndnoteText"/>
        <w:ind w:left="284" w:hanging="284"/>
      </w:pPr>
      <w:r>
        <w:rPr>
          <w:rStyle w:val="EndnoteReference"/>
        </w:rPr>
        <w:endnoteRef/>
      </w:r>
      <w:r>
        <w:t xml:space="preserve"> </w:t>
      </w:r>
      <w:r>
        <w:tab/>
        <w:t>Explanatory Memorandum, Sex Discrimination and Fair Work (Respect at Work) Amendment Bill 2021, at [141].</w:t>
      </w:r>
    </w:p>
  </w:endnote>
  <w:endnote w:id="9">
    <w:p w14:paraId="484BEB4F" w14:textId="27321AC3" w:rsidR="006A19C0" w:rsidRDefault="006A19C0" w:rsidP="00246D48">
      <w:pPr>
        <w:pStyle w:val="EndnoteText"/>
        <w:ind w:left="284" w:hanging="284"/>
      </w:pPr>
      <w:r>
        <w:rPr>
          <w:rStyle w:val="EndnoteReference"/>
        </w:rPr>
        <w:endnoteRef/>
      </w:r>
      <w:r>
        <w:t xml:space="preserve"> </w:t>
      </w:r>
      <w:r>
        <w:tab/>
        <w:t>Explanatory Memorandum, Sex Discrimination and Fair Work (Respect at Work) Amendment Bill 2021, at [140].</w:t>
      </w:r>
    </w:p>
  </w:endnote>
  <w:endnote w:id="10">
    <w:p w14:paraId="3ECAC212" w14:textId="0CEDBE76" w:rsidR="008A6035" w:rsidRPr="008A6035" w:rsidRDefault="008A6035" w:rsidP="00246D48">
      <w:pPr>
        <w:pStyle w:val="EndnoteText"/>
        <w:ind w:left="284" w:hanging="284"/>
        <w:rPr>
          <w:lang w:val="en-US"/>
        </w:rPr>
      </w:pPr>
      <w:r>
        <w:rPr>
          <w:rStyle w:val="EndnoteReference"/>
        </w:rPr>
        <w:endnoteRef/>
      </w:r>
      <w:r>
        <w:t xml:space="preserve"> </w:t>
      </w:r>
      <w:r>
        <w:rPr>
          <w:lang w:val="en-US"/>
        </w:rPr>
        <w:tab/>
        <w:t>Respect@Work report, recommendation 16(c).</w:t>
      </w:r>
    </w:p>
  </w:endnote>
  <w:endnote w:id="11">
    <w:p w14:paraId="32410F61" w14:textId="668597AB" w:rsidR="00DF32C0" w:rsidRDefault="00DF32C0" w:rsidP="000604E5">
      <w:pPr>
        <w:pStyle w:val="EndnoteText"/>
        <w:ind w:left="284" w:hanging="284"/>
      </w:pPr>
      <w:r>
        <w:rPr>
          <w:rStyle w:val="EndnoteReference"/>
        </w:rPr>
        <w:endnoteRef/>
      </w:r>
      <w:r>
        <w:t xml:space="preserve"> </w:t>
      </w:r>
      <w:r>
        <w:tab/>
        <w:t xml:space="preserve">Respect@Work report, </w:t>
      </w:r>
      <w:r w:rsidR="000604E5">
        <w:t>74–78.</w:t>
      </w:r>
    </w:p>
  </w:endnote>
  <w:endnote w:id="12">
    <w:p w14:paraId="4D22116D" w14:textId="344DC7B1" w:rsidR="0034645B" w:rsidRDefault="0034645B" w:rsidP="0034645B">
      <w:pPr>
        <w:pStyle w:val="EndnoteText"/>
        <w:ind w:left="284" w:hanging="284"/>
      </w:pPr>
      <w:r>
        <w:rPr>
          <w:rStyle w:val="EndnoteReference"/>
        </w:rPr>
        <w:endnoteRef/>
      </w:r>
      <w:r>
        <w:t xml:space="preserve"> </w:t>
      </w:r>
      <w:r>
        <w:tab/>
        <w:t xml:space="preserve">Australian Human Rights Commission, </w:t>
      </w:r>
      <w:r w:rsidRPr="00A541D1">
        <w:rPr>
          <w:i/>
          <w:iCs/>
        </w:rPr>
        <w:t>Discussion paper: Priorities for federal discrimination law reform</w:t>
      </w:r>
      <w:r>
        <w:t>, October 2019, 9</w:t>
      </w:r>
      <w:r w:rsidR="00B25049">
        <w:t>–</w:t>
      </w:r>
      <w:r>
        <w:t>10</w:t>
      </w:r>
      <w:r w:rsidR="00B25049">
        <w:t>, a</w:t>
      </w:r>
      <w:r>
        <w:t xml:space="preserve">t </w:t>
      </w:r>
      <w:hyperlink r:id="rId3" w:history="1">
        <w:r w:rsidRPr="00B23678">
          <w:rPr>
            <w:rStyle w:val="Hyperlink"/>
          </w:rPr>
          <w:t>https://www.humanrights.gov.au/our-work/rights-and-freedoms/publications/discussion-paper-priorities-federal-discrimination-law</w:t>
        </w:r>
      </w:hyperlink>
      <w:r>
        <w:t xml:space="preserve">.  </w:t>
      </w:r>
    </w:p>
  </w:endnote>
  <w:endnote w:id="13">
    <w:p w14:paraId="2E684F6C" w14:textId="77777777" w:rsidR="0016212B" w:rsidRPr="00070759" w:rsidRDefault="0016212B" w:rsidP="0016212B">
      <w:pPr>
        <w:pStyle w:val="EndnoteText"/>
        <w:ind w:left="284" w:hanging="284"/>
        <w:rPr>
          <w:lang w:val="en-US"/>
        </w:rPr>
      </w:pPr>
      <w:r>
        <w:rPr>
          <w:rStyle w:val="EndnoteReference"/>
        </w:rPr>
        <w:endnoteRef/>
      </w:r>
      <w:r>
        <w:t xml:space="preserve"> </w:t>
      </w:r>
      <w:r>
        <w:rPr>
          <w:lang w:val="en-US"/>
        </w:rPr>
        <w:tab/>
        <w:t>Respect@Work report, 10.</w:t>
      </w:r>
    </w:p>
  </w:endnote>
  <w:endnote w:id="14">
    <w:p w14:paraId="72BBA285" w14:textId="77777777" w:rsidR="0016212B" w:rsidRPr="00C27E1F" w:rsidRDefault="0016212B" w:rsidP="0016212B">
      <w:pPr>
        <w:pStyle w:val="EndnoteText"/>
        <w:ind w:left="284" w:hanging="284"/>
        <w:rPr>
          <w:lang w:val="en-US"/>
        </w:rPr>
      </w:pPr>
      <w:r>
        <w:rPr>
          <w:rStyle w:val="EndnoteReference"/>
        </w:rPr>
        <w:endnoteRef/>
      </w:r>
      <w:r>
        <w:t xml:space="preserve"> </w:t>
      </w:r>
      <w:r>
        <w:rPr>
          <w:lang w:val="en-US"/>
        </w:rPr>
        <w:tab/>
        <w:t>Respect@Work report, 19.</w:t>
      </w:r>
    </w:p>
  </w:endnote>
  <w:endnote w:id="15">
    <w:p w14:paraId="5C96561C" w14:textId="7F8BE32E" w:rsidR="009332D2" w:rsidRPr="009332D2" w:rsidRDefault="009332D2" w:rsidP="00246D48">
      <w:pPr>
        <w:pStyle w:val="EndnoteText"/>
        <w:ind w:left="284" w:hanging="284"/>
        <w:rPr>
          <w:lang w:val="en-US"/>
        </w:rPr>
      </w:pPr>
      <w:r>
        <w:rPr>
          <w:rStyle w:val="EndnoteReference"/>
        </w:rPr>
        <w:endnoteRef/>
      </w:r>
      <w:r>
        <w:t xml:space="preserve"> </w:t>
      </w:r>
      <w:r>
        <w:rPr>
          <w:lang w:val="en-US"/>
        </w:rPr>
        <w:tab/>
      </w:r>
      <w:r>
        <w:t xml:space="preserve">SDA, </w:t>
      </w:r>
      <w:r w:rsidR="00DF2230">
        <w:t>Part II, Div 1;</w:t>
      </w:r>
      <w:r>
        <w:t xml:space="preserve"> </w:t>
      </w:r>
      <w:r w:rsidRPr="009332D2">
        <w:rPr>
          <w:i/>
          <w:iCs/>
        </w:rPr>
        <w:t>Racial Discrimination Act 1975</w:t>
      </w:r>
      <w:r>
        <w:t xml:space="preserve"> (Cth)</w:t>
      </w:r>
      <w:r w:rsidR="000F154C">
        <w:t>, s 15;</w:t>
      </w:r>
      <w:r>
        <w:t xml:space="preserve"> </w:t>
      </w:r>
      <w:r w:rsidRPr="00B73BDA">
        <w:rPr>
          <w:i/>
          <w:iCs/>
        </w:rPr>
        <w:t>Disability Discrimination Act 1992</w:t>
      </w:r>
      <w:r>
        <w:t xml:space="preserve"> (Cth)</w:t>
      </w:r>
      <w:r w:rsidR="000F154C">
        <w:t xml:space="preserve">, </w:t>
      </w:r>
      <w:r w:rsidR="005F1AB8">
        <w:t>Part 2, Div 1</w:t>
      </w:r>
      <w:r w:rsidR="000F154C">
        <w:t xml:space="preserve">; </w:t>
      </w:r>
      <w:r>
        <w:t xml:space="preserve">and </w:t>
      </w:r>
      <w:r w:rsidRPr="00B73BDA">
        <w:rPr>
          <w:i/>
          <w:iCs/>
        </w:rPr>
        <w:t>Age Discrimination Act 2004</w:t>
      </w:r>
      <w:r>
        <w:t xml:space="preserve"> (Cth)</w:t>
      </w:r>
      <w:r w:rsidR="005E593A">
        <w:t>, Part 4, Div 2.</w:t>
      </w:r>
    </w:p>
  </w:endnote>
  <w:endnote w:id="16">
    <w:p w14:paraId="30BB04E7" w14:textId="40A6B70A" w:rsidR="000F163D" w:rsidRPr="000F163D" w:rsidRDefault="000F163D" w:rsidP="00246D48">
      <w:pPr>
        <w:pStyle w:val="EndnoteText"/>
        <w:ind w:left="284" w:hanging="284"/>
        <w:rPr>
          <w:lang w:val="en-US"/>
        </w:rPr>
      </w:pPr>
      <w:r>
        <w:rPr>
          <w:rStyle w:val="EndnoteReference"/>
        </w:rPr>
        <w:endnoteRef/>
      </w:r>
      <w:r>
        <w:t xml:space="preserve"> </w:t>
      </w:r>
      <w:r>
        <w:rPr>
          <w:lang w:val="en-US"/>
        </w:rPr>
        <w:tab/>
        <w:t>Respect@Work report, recommendation 17.</w:t>
      </w:r>
    </w:p>
  </w:endnote>
  <w:endnote w:id="17">
    <w:p w14:paraId="023CF6AC" w14:textId="074F0A48" w:rsidR="00D62FD5" w:rsidRPr="00D62FD5" w:rsidRDefault="00D62FD5" w:rsidP="00246D48">
      <w:pPr>
        <w:pStyle w:val="EndnoteText"/>
        <w:ind w:left="284" w:hanging="284"/>
        <w:rPr>
          <w:lang w:val="en-US"/>
        </w:rPr>
      </w:pPr>
      <w:r>
        <w:rPr>
          <w:rStyle w:val="EndnoteReference"/>
        </w:rPr>
        <w:endnoteRef/>
      </w:r>
      <w:r>
        <w:t xml:space="preserve"> </w:t>
      </w:r>
      <w:r>
        <w:rPr>
          <w:lang w:val="en-US"/>
        </w:rPr>
        <w:tab/>
        <w:t>SDA, s 106.</w:t>
      </w:r>
    </w:p>
  </w:endnote>
  <w:endnote w:id="18">
    <w:p w14:paraId="340F4F67" w14:textId="35B32ADF" w:rsidR="00A045A2" w:rsidRPr="00A045A2" w:rsidRDefault="00A045A2" w:rsidP="00246D48">
      <w:pPr>
        <w:pStyle w:val="EndnoteText"/>
        <w:ind w:left="284" w:hanging="284"/>
        <w:rPr>
          <w:lang w:val="en-US"/>
        </w:rPr>
      </w:pPr>
      <w:r>
        <w:rPr>
          <w:rStyle w:val="EndnoteReference"/>
        </w:rPr>
        <w:endnoteRef/>
      </w:r>
      <w:r>
        <w:t xml:space="preserve"> </w:t>
      </w:r>
      <w:r>
        <w:rPr>
          <w:lang w:val="en-US"/>
        </w:rPr>
        <w:tab/>
      </w:r>
      <w:r w:rsidR="009D1B64" w:rsidRPr="009D1B64">
        <w:rPr>
          <w:lang w:val="en-US"/>
        </w:rPr>
        <w:t xml:space="preserve">Australian Human Rights Commission, </w:t>
      </w:r>
      <w:r w:rsidR="009D1B64" w:rsidRPr="009D1B64">
        <w:rPr>
          <w:i/>
          <w:iCs/>
          <w:lang w:val="en-US"/>
        </w:rPr>
        <w:t>Ending Workplace Sexual Harassment: A Resource for Small, Medium and Large Employers</w:t>
      </w:r>
      <w:r w:rsidR="009D1B64" w:rsidRPr="009D1B64">
        <w:rPr>
          <w:lang w:val="en-US"/>
        </w:rPr>
        <w:t xml:space="preserve"> (2014)</w:t>
      </w:r>
      <w:r w:rsidR="006D1F33">
        <w:rPr>
          <w:lang w:val="en-US"/>
        </w:rPr>
        <w:t xml:space="preserve">, at </w:t>
      </w:r>
      <w:hyperlink r:id="rId4" w:history="1">
        <w:r w:rsidR="006D1F33" w:rsidRPr="00AD2C7B">
          <w:rPr>
            <w:rStyle w:val="Hyperlink"/>
            <w:lang w:val="en-US"/>
          </w:rPr>
          <w:t>https://humanrights.gov.au/our-work/sex-discrimination/publications/ending-workplace-sexual-harassment-resource-small-medium</w:t>
        </w:r>
      </w:hyperlink>
      <w:r w:rsidR="006D1F33">
        <w:rPr>
          <w:lang w:val="en-US"/>
        </w:rPr>
        <w:t xml:space="preserve">. </w:t>
      </w:r>
    </w:p>
  </w:endnote>
  <w:endnote w:id="19">
    <w:p w14:paraId="4914D38D" w14:textId="42801D4A" w:rsidR="00C326E1" w:rsidRPr="00C326E1" w:rsidRDefault="00C326E1" w:rsidP="00246D48">
      <w:pPr>
        <w:pStyle w:val="EndnoteText"/>
        <w:ind w:left="284" w:hanging="284"/>
        <w:rPr>
          <w:lang w:val="en-US"/>
        </w:rPr>
      </w:pPr>
      <w:r>
        <w:rPr>
          <w:rStyle w:val="EndnoteReference"/>
        </w:rPr>
        <w:endnoteRef/>
      </w:r>
      <w:r>
        <w:t xml:space="preserve"> </w:t>
      </w:r>
      <w:r>
        <w:rPr>
          <w:lang w:val="en-US"/>
        </w:rPr>
        <w:tab/>
        <w:t xml:space="preserve">Respect@Work report, </w:t>
      </w:r>
      <w:r w:rsidR="005E41E4">
        <w:rPr>
          <w:lang w:val="en-US"/>
        </w:rPr>
        <w:t>75</w:t>
      </w:r>
      <w:r w:rsidR="00010C37">
        <w:rPr>
          <w:lang w:val="en-US"/>
        </w:rPr>
        <w:t>, 197</w:t>
      </w:r>
      <w:r w:rsidR="005E41E4">
        <w:rPr>
          <w:lang w:val="en-US"/>
        </w:rPr>
        <w:t xml:space="preserve"> and </w:t>
      </w:r>
      <w:r w:rsidR="0028753A">
        <w:rPr>
          <w:lang w:val="en-US"/>
        </w:rPr>
        <w:t>411.</w:t>
      </w:r>
    </w:p>
  </w:endnote>
  <w:endnote w:id="20">
    <w:p w14:paraId="2201E6C2" w14:textId="0741E4E2" w:rsidR="00CC32B2" w:rsidRPr="00CC32B2" w:rsidRDefault="00CC32B2" w:rsidP="00246D48">
      <w:pPr>
        <w:pStyle w:val="EndnoteText"/>
        <w:ind w:left="284" w:hanging="284"/>
        <w:rPr>
          <w:lang w:val="en-US"/>
        </w:rPr>
      </w:pPr>
      <w:r>
        <w:rPr>
          <w:rStyle w:val="EndnoteReference"/>
        </w:rPr>
        <w:endnoteRef/>
      </w:r>
      <w:r>
        <w:t xml:space="preserve"> </w:t>
      </w:r>
      <w:r>
        <w:rPr>
          <w:lang w:val="en-US"/>
        </w:rPr>
        <w:tab/>
        <w:t xml:space="preserve">Respect@Work report, </w:t>
      </w:r>
      <w:r w:rsidR="00BC4453">
        <w:rPr>
          <w:lang w:val="en-US"/>
        </w:rPr>
        <w:t xml:space="preserve">182 and </w:t>
      </w:r>
      <w:r w:rsidR="006F4727">
        <w:rPr>
          <w:lang w:val="en-US"/>
        </w:rPr>
        <w:t>703.</w:t>
      </w:r>
    </w:p>
  </w:endnote>
  <w:endnote w:id="21">
    <w:p w14:paraId="0C1CD11D" w14:textId="3388AC8F" w:rsidR="00E82C09" w:rsidRPr="00E82C09" w:rsidRDefault="00E82C09" w:rsidP="00246D48">
      <w:pPr>
        <w:pStyle w:val="EndnoteText"/>
        <w:ind w:left="284" w:hanging="284"/>
        <w:rPr>
          <w:lang w:val="en-US"/>
        </w:rPr>
      </w:pPr>
      <w:r>
        <w:rPr>
          <w:rStyle w:val="EndnoteReference"/>
        </w:rPr>
        <w:endnoteRef/>
      </w:r>
      <w:r>
        <w:t xml:space="preserve"> </w:t>
      </w:r>
      <w:r>
        <w:rPr>
          <w:lang w:val="en-US"/>
        </w:rPr>
        <w:tab/>
        <w:t xml:space="preserve">Respect@Work report, </w:t>
      </w:r>
      <w:r w:rsidR="002B5BAE">
        <w:rPr>
          <w:lang w:val="en-US"/>
        </w:rPr>
        <w:t>190.</w:t>
      </w:r>
    </w:p>
  </w:endnote>
  <w:endnote w:id="22">
    <w:p w14:paraId="27B97E80" w14:textId="1E538883" w:rsidR="00CC32B2" w:rsidRPr="00CC32B2" w:rsidRDefault="00CC32B2" w:rsidP="00246D48">
      <w:pPr>
        <w:pStyle w:val="EndnoteText"/>
        <w:ind w:left="284" w:hanging="284"/>
        <w:rPr>
          <w:lang w:val="en-US"/>
        </w:rPr>
      </w:pPr>
      <w:r>
        <w:rPr>
          <w:rStyle w:val="EndnoteReference"/>
        </w:rPr>
        <w:endnoteRef/>
      </w:r>
      <w:r>
        <w:t xml:space="preserve"> </w:t>
      </w:r>
      <w:r>
        <w:rPr>
          <w:lang w:val="en-US"/>
        </w:rPr>
        <w:tab/>
        <w:t xml:space="preserve">Respect@Work report, </w:t>
      </w:r>
      <w:r w:rsidR="00AC138B">
        <w:rPr>
          <w:lang w:val="en-US"/>
        </w:rPr>
        <w:t>185–186.</w:t>
      </w:r>
    </w:p>
  </w:endnote>
  <w:endnote w:id="23">
    <w:p w14:paraId="2BC1262D" w14:textId="73C8A2B1" w:rsidR="00E315CE" w:rsidRPr="00E315CE" w:rsidRDefault="00E315CE" w:rsidP="00246D48">
      <w:pPr>
        <w:pStyle w:val="EndnoteText"/>
        <w:ind w:left="284" w:hanging="284"/>
        <w:rPr>
          <w:lang w:val="en-US"/>
        </w:rPr>
      </w:pPr>
      <w:r>
        <w:rPr>
          <w:rStyle w:val="EndnoteReference"/>
        </w:rPr>
        <w:endnoteRef/>
      </w:r>
      <w:r>
        <w:t xml:space="preserve"> </w:t>
      </w:r>
      <w:r>
        <w:rPr>
          <w:lang w:val="en-US"/>
        </w:rPr>
        <w:tab/>
      </w:r>
      <w:r w:rsidR="00976301">
        <w:rPr>
          <w:lang w:val="en-US"/>
        </w:rPr>
        <w:t xml:space="preserve">Australian Human Rights Commission, </w:t>
      </w:r>
      <w:r w:rsidR="00976301" w:rsidRPr="007B0D00">
        <w:rPr>
          <w:i/>
          <w:iCs/>
          <w:lang w:val="en-US"/>
        </w:rPr>
        <w:t>Everyone’s Business: Fourth national survey on sexual harassment in Australian workplaces</w:t>
      </w:r>
      <w:r w:rsidR="00C6486D">
        <w:rPr>
          <w:lang w:val="en-US"/>
        </w:rPr>
        <w:t xml:space="preserve"> (2018), </w:t>
      </w:r>
      <w:r w:rsidR="007B0D00">
        <w:rPr>
          <w:lang w:val="en-US"/>
        </w:rPr>
        <w:t>67</w:t>
      </w:r>
      <w:r w:rsidR="00EC16C2">
        <w:rPr>
          <w:lang w:val="en-US"/>
        </w:rPr>
        <w:t xml:space="preserve">. </w:t>
      </w:r>
    </w:p>
  </w:endnote>
  <w:endnote w:id="24">
    <w:p w14:paraId="3D2FD20C" w14:textId="1424C707" w:rsidR="00A15242" w:rsidRPr="00A15242" w:rsidRDefault="00A15242" w:rsidP="00246D48">
      <w:pPr>
        <w:pStyle w:val="EndnoteText"/>
        <w:ind w:left="284" w:hanging="284"/>
        <w:rPr>
          <w:lang w:val="en-US"/>
        </w:rPr>
      </w:pPr>
      <w:r>
        <w:rPr>
          <w:rStyle w:val="EndnoteReference"/>
        </w:rPr>
        <w:endnoteRef/>
      </w:r>
      <w:r>
        <w:t xml:space="preserve"> </w:t>
      </w:r>
      <w:r>
        <w:rPr>
          <w:lang w:val="en-US"/>
        </w:rPr>
        <w:tab/>
      </w:r>
      <w:r w:rsidR="00C133A0">
        <w:rPr>
          <w:lang w:val="en-US"/>
        </w:rPr>
        <w:t>Respect@Work report, 478.</w:t>
      </w:r>
    </w:p>
  </w:endnote>
  <w:endnote w:id="25">
    <w:p w14:paraId="0C2C9E4A" w14:textId="614B5616" w:rsidR="00826E01" w:rsidRPr="00826E01" w:rsidRDefault="00826E01" w:rsidP="00246D48">
      <w:pPr>
        <w:pStyle w:val="EndnoteText"/>
        <w:ind w:left="284" w:hanging="284"/>
        <w:rPr>
          <w:lang w:val="en-US"/>
        </w:rPr>
      </w:pPr>
      <w:r>
        <w:rPr>
          <w:rStyle w:val="EndnoteReference"/>
        </w:rPr>
        <w:endnoteRef/>
      </w:r>
      <w:r>
        <w:t xml:space="preserve"> </w:t>
      </w:r>
      <w:r w:rsidR="00544BD5">
        <w:rPr>
          <w:lang w:val="en-US"/>
        </w:rPr>
        <w:tab/>
      </w:r>
      <w:r w:rsidR="00544BD5" w:rsidRPr="00544BD5">
        <w:rPr>
          <w:i/>
          <w:iCs/>
          <w:lang w:val="en-US"/>
        </w:rPr>
        <w:t>Work Hea</w:t>
      </w:r>
      <w:r w:rsidR="00FA73AC">
        <w:rPr>
          <w:i/>
          <w:iCs/>
          <w:lang w:val="en-US"/>
        </w:rPr>
        <w:t>l</w:t>
      </w:r>
      <w:r w:rsidR="00544BD5" w:rsidRPr="00544BD5">
        <w:rPr>
          <w:i/>
          <w:iCs/>
          <w:lang w:val="en-US"/>
        </w:rPr>
        <w:t>th and Safety Act 2011</w:t>
      </w:r>
      <w:r w:rsidR="00544BD5">
        <w:rPr>
          <w:lang w:val="en-US"/>
        </w:rPr>
        <w:t xml:space="preserve"> (Cth), ss 4 (definition of ‘health’) and 1</w:t>
      </w:r>
      <w:r w:rsidR="00EF65E3">
        <w:rPr>
          <w:lang w:val="en-US"/>
        </w:rPr>
        <w:t>9</w:t>
      </w:r>
      <w:r w:rsidR="00544BD5">
        <w:rPr>
          <w:lang w:val="en-US"/>
        </w:rPr>
        <w:t>.</w:t>
      </w:r>
    </w:p>
  </w:endnote>
  <w:endnote w:id="26">
    <w:p w14:paraId="7F7945F8" w14:textId="7E61BE8C" w:rsidR="00925135" w:rsidRPr="00925135" w:rsidRDefault="00925135" w:rsidP="00246D48">
      <w:pPr>
        <w:pStyle w:val="EndnoteText"/>
        <w:ind w:left="284" w:hanging="284"/>
        <w:rPr>
          <w:lang w:val="en-US"/>
        </w:rPr>
      </w:pPr>
      <w:r>
        <w:rPr>
          <w:rStyle w:val="EndnoteReference"/>
        </w:rPr>
        <w:endnoteRef/>
      </w:r>
      <w:r>
        <w:t xml:space="preserve"> </w:t>
      </w:r>
      <w:r>
        <w:rPr>
          <w:lang w:val="en-US"/>
        </w:rPr>
        <w:tab/>
      </w:r>
      <w:r w:rsidR="006B5983" w:rsidRPr="006B5983">
        <w:rPr>
          <w:lang w:val="en-US"/>
        </w:rPr>
        <w:t>Safe Work Australia</w:t>
      </w:r>
      <w:r w:rsidR="00457EDD">
        <w:rPr>
          <w:lang w:val="en-US"/>
        </w:rPr>
        <w:t>,</w:t>
      </w:r>
      <w:r w:rsidR="006B5983" w:rsidRPr="006B5983">
        <w:rPr>
          <w:lang w:val="en-US"/>
        </w:rPr>
        <w:t xml:space="preserve"> </w:t>
      </w:r>
      <w:r w:rsidR="006B5983" w:rsidRPr="00B35BD5">
        <w:rPr>
          <w:i/>
          <w:iCs/>
          <w:lang w:val="en-US"/>
        </w:rPr>
        <w:t xml:space="preserve">Work-related </w:t>
      </w:r>
      <w:r w:rsidR="0088376C">
        <w:rPr>
          <w:i/>
          <w:iCs/>
          <w:lang w:val="en-US"/>
        </w:rPr>
        <w:t>p</w:t>
      </w:r>
      <w:r w:rsidR="006B5983" w:rsidRPr="00B35BD5">
        <w:rPr>
          <w:i/>
          <w:iCs/>
          <w:lang w:val="en-US"/>
        </w:rPr>
        <w:t xml:space="preserve">sychological </w:t>
      </w:r>
      <w:r w:rsidR="0088376C">
        <w:rPr>
          <w:i/>
          <w:iCs/>
          <w:lang w:val="en-US"/>
        </w:rPr>
        <w:t>h</w:t>
      </w:r>
      <w:r w:rsidR="006B5983" w:rsidRPr="00B35BD5">
        <w:rPr>
          <w:i/>
          <w:iCs/>
          <w:lang w:val="en-US"/>
        </w:rPr>
        <w:t xml:space="preserve">ealth and </w:t>
      </w:r>
      <w:r w:rsidR="0088376C">
        <w:rPr>
          <w:i/>
          <w:iCs/>
          <w:lang w:val="en-US"/>
        </w:rPr>
        <w:t>s</w:t>
      </w:r>
      <w:r w:rsidR="006B5983" w:rsidRPr="00B35BD5">
        <w:rPr>
          <w:i/>
          <w:iCs/>
          <w:lang w:val="en-US"/>
        </w:rPr>
        <w:t xml:space="preserve">afety: A </w:t>
      </w:r>
      <w:r w:rsidR="0088376C">
        <w:rPr>
          <w:i/>
          <w:iCs/>
          <w:lang w:val="en-US"/>
        </w:rPr>
        <w:t>s</w:t>
      </w:r>
      <w:r w:rsidR="006B5983" w:rsidRPr="00B35BD5">
        <w:rPr>
          <w:i/>
          <w:iCs/>
          <w:lang w:val="en-US"/>
        </w:rPr>
        <w:t xml:space="preserve">ystematic </w:t>
      </w:r>
      <w:r w:rsidR="0088376C">
        <w:rPr>
          <w:i/>
          <w:iCs/>
          <w:lang w:val="en-US"/>
        </w:rPr>
        <w:t>a</w:t>
      </w:r>
      <w:r w:rsidR="006B5983" w:rsidRPr="00B35BD5">
        <w:rPr>
          <w:i/>
          <w:iCs/>
          <w:lang w:val="en-US"/>
        </w:rPr>
        <w:t xml:space="preserve">pproach to </w:t>
      </w:r>
      <w:r w:rsidR="0088376C">
        <w:rPr>
          <w:i/>
          <w:iCs/>
          <w:lang w:val="en-US"/>
        </w:rPr>
        <w:t>m</w:t>
      </w:r>
      <w:r w:rsidR="006B5983" w:rsidRPr="00B35BD5">
        <w:rPr>
          <w:i/>
          <w:iCs/>
          <w:lang w:val="en-US"/>
        </w:rPr>
        <w:t xml:space="preserve">eeting </w:t>
      </w:r>
      <w:r w:rsidR="0088376C">
        <w:rPr>
          <w:i/>
          <w:iCs/>
          <w:lang w:val="en-US"/>
        </w:rPr>
        <w:t>y</w:t>
      </w:r>
      <w:r w:rsidR="006B5983" w:rsidRPr="00B35BD5">
        <w:rPr>
          <w:i/>
          <w:iCs/>
          <w:lang w:val="en-US"/>
        </w:rPr>
        <w:t xml:space="preserve">our </w:t>
      </w:r>
      <w:r w:rsidR="0088376C">
        <w:rPr>
          <w:i/>
          <w:iCs/>
          <w:lang w:val="en-US"/>
        </w:rPr>
        <w:t>d</w:t>
      </w:r>
      <w:r w:rsidR="006B5983" w:rsidRPr="00B35BD5">
        <w:rPr>
          <w:i/>
          <w:iCs/>
          <w:lang w:val="en-US"/>
        </w:rPr>
        <w:t>uties</w:t>
      </w:r>
      <w:r w:rsidR="00B35BD5">
        <w:rPr>
          <w:lang w:val="en-US"/>
        </w:rPr>
        <w:t xml:space="preserve"> (</w:t>
      </w:r>
      <w:r w:rsidR="001470F7" w:rsidRPr="001470F7">
        <w:rPr>
          <w:lang w:val="en-US"/>
        </w:rPr>
        <w:t>National Guidance Material, January 2019</w:t>
      </w:r>
      <w:r w:rsidR="00B35BD5">
        <w:rPr>
          <w:lang w:val="en-US"/>
        </w:rPr>
        <w:t>)</w:t>
      </w:r>
      <w:r w:rsidR="008535C3">
        <w:rPr>
          <w:lang w:val="en-US"/>
        </w:rPr>
        <w:t xml:space="preserve">, </w:t>
      </w:r>
      <w:r w:rsidR="00D11078">
        <w:rPr>
          <w:lang w:val="en-US"/>
        </w:rPr>
        <w:t xml:space="preserve">10 and </w:t>
      </w:r>
      <w:r w:rsidR="00B304A6">
        <w:rPr>
          <w:lang w:val="en-US"/>
        </w:rPr>
        <w:t xml:space="preserve">20, </w:t>
      </w:r>
      <w:r w:rsidR="008535C3">
        <w:rPr>
          <w:lang w:val="en-US"/>
        </w:rPr>
        <w:t xml:space="preserve">at </w:t>
      </w:r>
      <w:hyperlink r:id="rId5" w:history="1">
        <w:r w:rsidR="008535C3" w:rsidRPr="00AD2C7B">
          <w:rPr>
            <w:rStyle w:val="Hyperlink"/>
            <w:lang w:val="en-US"/>
          </w:rPr>
          <w:t>https://www.safeworkaustralia.gov.au/doc/work-related-psychological-health-and-safety-systematic-approach-meeting-your-duties</w:t>
        </w:r>
      </w:hyperlink>
      <w:r w:rsidR="008535C3">
        <w:rPr>
          <w:lang w:val="en-US"/>
        </w:rPr>
        <w:t xml:space="preserve">. </w:t>
      </w:r>
    </w:p>
  </w:endnote>
  <w:endnote w:id="27">
    <w:p w14:paraId="7F1136BF" w14:textId="143DC13C" w:rsidR="007D4ADB" w:rsidRPr="007D4ADB" w:rsidRDefault="007D4ADB" w:rsidP="00246D48">
      <w:pPr>
        <w:pStyle w:val="EndnoteText"/>
        <w:ind w:left="284" w:hanging="284"/>
        <w:rPr>
          <w:lang w:val="en-US"/>
        </w:rPr>
      </w:pPr>
      <w:r>
        <w:rPr>
          <w:rStyle w:val="EndnoteReference"/>
        </w:rPr>
        <w:endnoteRef/>
      </w:r>
      <w:r>
        <w:t xml:space="preserve"> </w:t>
      </w:r>
      <w:r>
        <w:rPr>
          <w:lang w:val="en-US"/>
        </w:rPr>
        <w:tab/>
        <w:t xml:space="preserve">Respect@Work report, </w:t>
      </w:r>
      <w:r w:rsidR="00040BED">
        <w:rPr>
          <w:lang w:val="en-US"/>
        </w:rPr>
        <w:t>538</w:t>
      </w:r>
      <w:r w:rsidR="00030B54">
        <w:rPr>
          <w:lang w:val="en-US"/>
        </w:rPr>
        <w:t xml:space="preserve"> and </w:t>
      </w:r>
      <w:r w:rsidR="00D54BA1">
        <w:rPr>
          <w:lang w:val="en-US"/>
        </w:rPr>
        <w:t>543–</w:t>
      </w:r>
      <w:r w:rsidR="00914BED">
        <w:rPr>
          <w:lang w:val="en-US"/>
        </w:rPr>
        <w:t>544</w:t>
      </w:r>
      <w:r w:rsidR="00040BED">
        <w:rPr>
          <w:lang w:val="en-US"/>
        </w:rPr>
        <w:t>.</w:t>
      </w:r>
    </w:p>
  </w:endnote>
  <w:endnote w:id="28">
    <w:p w14:paraId="47FD8C05" w14:textId="73A786B2" w:rsidR="00E93891" w:rsidRPr="00E93891" w:rsidRDefault="00E93891" w:rsidP="00246D48">
      <w:pPr>
        <w:pStyle w:val="EndnoteText"/>
        <w:ind w:left="284" w:hanging="284"/>
        <w:rPr>
          <w:lang w:val="en-US"/>
        </w:rPr>
      </w:pPr>
      <w:r>
        <w:rPr>
          <w:rStyle w:val="EndnoteReference"/>
        </w:rPr>
        <w:endnoteRef/>
      </w:r>
      <w:r>
        <w:t xml:space="preserve"> </w:t>
      </w:r>
      <w:r>
        <w:rPr>
          <w:lang w:val="en-US"/>
        </w:rPr>
        <w:tab/>
        <w:t>Respect@Work report, 476–477.</w:t>
      </w:r>
    </w:p>
  </w:endnote>
  <w:endnote w:id="29">
    <w:p w14:paraId="21365C96" w14:textId="1C853D99" w:rsidR="003E70F4" w:rsidRPr="003E70F4" w:rsidRDefault="003E70F4" w:rsidP="00246D48">
      <w:pPr>
        <w:pStyle w:val="EndnoteText"/>
        <w:ind w:left="284" w:hanging="284"/>
        <w:rPr>
          <w:lang w:val="en-US"/>
        </w:rPr>
      </w:pPr>
      <w:r>
        <w:rPr>
          <w:rStyle w:val="EndnoteReference"/>
        </w:rPr>
        <w:endnoteRef/>
      </w:r>
      <w:r>
        <w:t xml:space="preserve"> </w:t>
      </w:r>
      <w:r>
        <w:rPr>
          <w:lang w:val="en-US"/>
        </w:rPr>
        <w:tab/>
      </w:r>
      <w:r>
        <w:t>Explanatory Memorandum, Sex Discrimination and Fair Work (Respect at Work) Amendment Bill 2021, at [</w:t>
      </w:r>
      <w:r w:rsidR="00B054B8">
        <w:t>38</w:t>
      </w:r>
      <w:r>
        <w:t>].</w:t>
      </w:r>
    </w:p>
  </w:endnote>
  <w:endnote w:id="30">
    <w:p w14:paraId="32BE3727" w14:textId="1033E1ED" w:rsidR="00A13A52" w:rsidRPr="00A13A52" w:rsidRDefault="00A13A52" w:rsidP="00246D48">
      <w:pPr>
        <w:pStyle w:val="EndnoteText"/>
        <w:ind w:left="284" w:hanging="284"/>
        <w:rPr>
          <w:lang w:val="en-US"/>
        </w:rPr>
      </w:pPr>
      <w:r>
        <w:rPr>
          <w:rStyle w:val="EndnoteReference"/>
        </w:rPr>
        <w:endnoteRef/>
      </w:r>
      <w:r>
        <w:t xml:space="preserve"> </w:t>
      </w:r>
      <w:r>
        <w:rPr>
          <w:lang w:val="en-US"/>
        </w:rPr>
        <w:tab/>
        <w:t xml:space="preserve">Respect@Work report, recommendation </w:t>
      </w:r>
      <w:r w:rsidR="000050C0">
        <w:rPr>
          <w:lang w:val="en-US"/>
        </w:rPr>
        <w:t>30</w:t>
      </w:r>
      <w:r w:rsidR="0000541C">
        <w:rPr>
          <w:lang w:val="en-US"/>
        </w:rPr>
        <w:t xml:space="preserve"> and</w:t>
      </w:r>
      <w:r w:rsidR="000050C0">
        <w:rPr>
          <w:lang w:val="en-US"/>
        </w:rPr>
        <w:t xml:space="preserve"> </w:t>
      </w:r>
      <w:r w:rsidR="0000541C">
        <w:rPr>
          <w:lang w:val="en-US"/>
        </w:rPr>
        <w:t>532–533.</w:t>
      </w:r>
    </w:p>
  </w:endnote>
  <w:endnote w:id="31">
    <w:p w14:paraId="0823F1F1" w14:textId="20F62245" w:rsidR="00C02842" w:rsidRPr="00C02842" w:rsidRDefault="00C02842" w:rsidP="00246D48">
      <w:pPr>
        <w:pStyle w:val="EndnoteText"/>
        <w:ind w:left="284" w:hanging="284"/>
        <w:rPr>
          <w:lang w:val="en-US"/>
        </w:rPr>
      </w:pPr>
      <w:r>
        <w:rPr>
          <w:rStyle w:val="EndnoteReference"/>
        </w:rPr>
        <w:endnoteRef/>
      </w:r>
      <w:r>
        <w:t xml:space="preserve"> </w:t>
      </w:r>
      <w:r>
        <w:rPr>
          <w:lang w:val="en-US"/>
        </w:rPr>
        <w:tab/>
      </w:r>
      <w:r w:rsidRPr="00C02842">
        <w:rPr>
          <w:i/>
          <w:iCs/>
          <w:lang w:val="en-US"/>
        </w:rPr>
        <w:t>Acts Interpretation Act 1901</w:t>
      </w:r>
      <w:r>
        <w:rPr>
          <w:lang w:val="en-US"/>
        </w:rPr>
        <w:t xml:space="preserve"> (Cth), s 13.</w:t>
      </w:r>
    </w:p>
  </w:endnote>
  <w:endnote w:id="32">
    <w:p w14:paraId="64C3B588" w14:textId="4ABCA783" w:rsidR="008D0376" w:rsidRPr="008D0376" w:rsidRDefault="008D0376" w:rsidP="00246D48">
      <w:pPr>
        <w:pStyle w:val="EndnoteText"/>
        <w:ind w:left="284" w:hanging="284"/>
        <w:rPr>
          <w:lang w:val="en-US"/>
        </w:rPr>
      </w:pPr>
      <w:r>
        <w:rPr>
          <w:rStyle w:val="EndnoteReference"/>
        </w:rPr>
        <w:endnoteRef/>
      </w:r>
      <w:r>
        <w:t xml:space="preserve"> </w:t>
      </w:r>
      <w:r>
        <w:rPr>
          <w:lang w:val="en-US"/>
        </w:rPr>
        <w:tab/>
      </w:r>
      <w:r w:rsidR="002637CF">
        <w:t xml:space="preserve">Australian Government, </w:t>
      </w:r>
      <w:r w:rsidR="002637CF" w:rsidRPr="00FA127D">
        <w:rPr>
          <w:i/>
          <w:iCs/>
        </w:rPr>
        <w:t>A Roadmap for Respect: Preventing and Addressing Sexual Harassment in Australian Workplaces</w:t>
      </w:r>
      <w:r w:rsidR="002637CF">
        <w:t xml:space="preserve"> (2021), </w:t>
      </w:r>
      <w:r w:rsidR="00797CD9">
        <w:t>15–16</w:t>
      </w:r>
      <w:r w:rsidR="002637CF">
        <w:t>.</w:t>
      </w:r>
    </w:p>
  </w:endnote>
  <w:endnote w:id="33">
    <w:p w14:paraId="3AFAEB5C" w14:textId="2C4EDE0F" w:rsidR="004D5438" w:rsidRDefault="004D5438" w:rsidP="00DD2985">
      <w:pPr>
        <w:pStyle w:val="EndnoteText"/>
        <w:ind w:left="284" w:hanging="284"/>
      </w:pPr>
      <w:r>
        <w:rPr>
          <w:rStyle w:val="EndnoteReference"/>
        </w:rPr>
        <w:endnoteRef/>
      </w:r>
      <w:r>
        <w:t xml:space="preserve"> </w:t>
      </w:r>
      <w:r>
        <w:tab/>
      </w:r>
      <w:r>
        <w:rPr>
          <w:lang w:val="en-US"/>
        </w:rPr>
        <w:t xml:space="preserve">Respect@Work report, recommendation </w:t>
      </w:r>
      <w:r w:rsidR="00DD2985">
        <w:rPr>
          <w:lang w:val="en-US"/>
        </w:rPr>
        <w:t>28.</w:t>
      </w:r>
    </w:p>
  </w:endnote>
  <w:endnote w:id="34">
    <w:p w14:paraId="0BAD22CE" w14:textId="3DE74869" w:rsidR="00623A7B" w:rsidRPr="00623A7B" w:rsidRDefault="00623A7B" w:rsidP="00246D48">
      <w:pPr>
        <w:pStyle w:val="EndnoteText"/>
        <w:ind w:left="284" w:hanging="284"/>
        <w:rPr>
          <w:lang w:val="en-US"/>
        </w:rPr>
      </w:pPr>
      <w:r>
        <w:rPr>
          <w:rStyle w:val="EndnoteReference"/>
        </w:rPr>
        <w:endnoteRef/>
      </w:r>
      <w:r>
        <w:t xml:space="preserve"> </w:t>
      </w:r>
      <w:r>
        <w:rPr>
          <w:lang w:val="en-US"/>
        </w:rPr>
        <w:tab/>
        <w:t xml:space="preserve">Respect@Work report, </w:t>
      </w:r>
      <w:r w:rsidR="002E51AB">
        <w:rPr>
          <w:lang w:val="en-US"/>
        </w:rPr>
        <w:t>488–490</w:t>
      </w:r>
      <w:r w:rsidR="006464B5">
        <w:rPr>
          <w:lang w:val="en-US"/>
        </w:rPr>
        <w:t xml:space="preserve">; see also Australian Human Rights Commission, </w:t>
      </w:r>
      <w:r w:rsidR="006464B5" w:rsidRPr="00947F79">
        <w:rPr>
          <w:i/>
          <w:lang w:val="en-US"/>
        </w:rPr>
        <w:t>Federal Discrimination Law</w:t>
      </w:r>
      <w:r w:rsidR="006464B5">
        <w:rPr>
          <w:lang w:val="en-US"/>
        </w:rPr>
        <w:t xml:space="preserve"> (2016), 159–</w:t>
      </w:r>
      <w:r w:rsidR="00947F79">
        <w:rPr>
          <w:lang w:val="en-US"/>
        </w:rPr>
        <w:t>161.</w:t>
      </w:r>
    </w:p>
  </w:endnote>
  <w:endnote w:id="35">
    <w:p w14:paraId="39219123" w14:textId="5A5F3D32" w:rsidR="00B07CDA" w:rsidRPr="00B07CDA" w:rsidRDefault="00B07CDA" w:rsidP="00246D48">
      <w:pPr>
        <w:pStyle w:val="EndnoteText"/>
        <w:ind w:left="284" w:hanging="284"/>
        <w:rPr>
          <w:lang w:val="en-US"/>
        </w:rPr>
      </w:pPr>
      <w:r>
        <w:rPr>
          <w:rStyle w:val="EndnoteReference"/>
        </w:rPr>
        <w:endnoteRef/>
      </w:r>
      <w:r>
        <w:t xml:space="preserve"> </w:t>
      </w:r>
      <w:r>
        <w:rPr>
          <w:lang w:val="en-US"/>
        </w:rPr>
        <w:tab/>
      </w:r>
      <w:r>
        <w:t>Explanatory Memorandum, Sex Discrimination and Fair Work (Respect at Work) Amendment Bill 2021, at [4] and [197].</w:t>
      </w:r>
    </w:p>
  </w:endnote>
  <w:endnote w:id="36">
    <w:p w14:paraId="5CA94C4F" w14:textId="51A26516" w:rsidR="00CE4DA2" w:rsidRPr="00CE4DA2" w:rsidRDefault="00CE4DA2" w:rsidP="00246D48">
      <w:pPr>
        <w:pStyle w:val="EndnoteText"/>
        <w:ind w:left="284" w:hanging="284"/>
        <w:rPr>
          <w:lang w:val="en-US"/>
        </w:rPr>
      </w:pPr>
      <w:r>
        <w:rPr>
          <w:rStyle w:val="EndnoteReference"/>
        </w:rPr>
        <w:endnoteRef/>
      </w:r>
      <w:r>
        <w:t xml:space="preserve"> </w:t>
      </w:r>
      <w:r>
        <w:rPr>
          <w:lang w:val="en-US"/>
        </w:rPr>
        <w:tab/>
      </w:r>
      <w:r>
        <w:t xml:space="preserve">Explanatory Memorandum, Sex Discrimination and Fair Work (Respect at Work) Amendment Bill 2021, at </w:t>
      </w:r>
      <w:r w:rsidR="00EC2C8C">
        <w:t>[4] and [197].</w:t>
      </w:r>
    </w:p>
  </w:endnote>
  <w:endnote w:id="37">
    <w:p w14:paraId="2AD05F33" w14:textId="552BC2E4" w:rsidR="00102CEF" w:rsidRPr="00102CEF" w:rsidRDefault="00102CEF" w:rsidP="00246D48">
      <w:pPr>
        <w:pStyle w:val="EndnoteText"/>
        <w:ind w:left="284" w:hanging="284"/>
        <w:rPr>
          <w:lang w:val="en-US"/>
        </w:rPr>
      </w:pPr>
      <w:r>
        <w:rPr>
          <w:rStyle w:val="EndnoteReference"/>
        </w:rPr>
        <w:endnoteRef/>
      </w:r>
      <w:r>
        <w:t xml:space="preserve"> </w:t>
      </w:r>
      <w:r>
        <w:rPr>
          <w:lang w:val="en-US"/>
        </w:rPr>
        <w:tab/>
        <w:t>AHRC Act, ss 8(6) and 11(1)(aa).</w:t>
      </w:r>
    </w:p>
  </w:endnote>
  <w:endnote w:id="38">
    <w:p w14:paraId="26A011F9" w14:textId="6DFB9E7E" w:rsidR="00694AAD" w:rsidRPr="00694AAD" w:rsidRDefault="00694AAD" w:rsidP="00246D48">
      <w:pPr>
        <w:pStyle w:val="EndnoteText"/>
        <w:ind w:left="284" w:hanging="284"/>
        <w:rPr>
          <w:lang w:val="en-US"/>
        </w:rPr>
      </w:pPr>
      <w:r>
        <w:rPr>
          <w:rStyle w:val="EndnoteReference"/>
        </w:rPr>
        <w:endnoteRef/>
      </w:r>
      <w:r>
        <w:t xml:space="preserve"> </w:t>
      </w:r>
      <w:r>
        <w:rPr>
          <w:lang w:val="en-US"/>
        </w:rPr>
        <w:tab/>
        <w:t>AHRC Act, s 46PO.</w:t>
      </w:r>
    </w:p>
  </w:endnote>
  <w:endnote w:id="39">
    <w:p w14:paraId="041B86C6" w14:textId="5DEFC0DA" w:rsidR="00FE1BF3" w:rsidRPr="00FE1BF3" w:rsidRDefault="00FE1BF3" w:rsidP="00246D48">
      <w:pPr>
        <w:pStyle w:val="EndnoteText"/>
        <w:ind w:left="284" w:hanging="284"/>
        <w:rPr>
          <w:lang w:val="en-US"/>
        </w:rPr>
      </w:pPr>
      <w:r>
        <w:rPr>
          <w:rStyle w:val="EndnoteReference"/>
        </w:rPr>
        <w:endnoteRef/>
      </w:r>
      <w:r>
        <w:t xml:space="preserve"> </w:t>
      </w:r>
      <w:r>
        <w:rPr>
          <w:lang w:val="en-US"/>
        </w:rPr>
        <w:tab/>
        <w:t xml:space="preserve">AHRC Act, </w:t>
      </w:r>
      <w:r>
        <w:t>ss 46PH(1B) and (1C).</w:t>
      </w:r>
    </w:p>
  </w:endnote>
  <w:endnote w:id="40">
    <w:p w14:paraId="38583036" w14:textId="43E41FAE" w:rsidR="00FE1BF3" w:rsidRPr="00FE1BF3" w:rsidRDefault="00FE1BF3" w:rsidP="00246D48">
      <w:pPr>
        <w:pStyle w:val="EndnoteText"/>
        <w:ind w:left="284" w:hanging="284"/>
        <w:rPr>
          <w:lang w:val="en-US"/>
        </w:rPr>
      </w:pPr>
      <w:r>
        <w:rPr>
          <w:rStyle w:val="EndnoteReference"/>
        </w:rPr>
        <w:endnoteRef/>
      </w:r>
      <w:r>
        <w:t xml:space="preserve"> </w:t>
      </w:r>
      <w:r>
        <w:rPr>
          <w:lang w:val="en-US"/>
        </w:rPr>
        <w:tab/>
        <w:t xml:space="preserve">AHRC Act, </w:t>
      </w:r>
      <w:r>
        <w:t>s 46PH(1)(a)–(h).</w:t>
      </w:r>
    </w:p>
  </w:endnote>
  <w:endnote w:id="41">
    <w:p w14:paraId="6AE017E1" w14:textId="6E71DBDF" w:rsidR="00070759" w:rsidRPr="00070759" w:rsidRDefault="00070759" w:rsidP="00246D48">
      <w:pPr>
        <w:pStyle w:val="EndnoteText"/>
        <w:ind w:left="284" w:hanging="284"/>
        <w:rPr>
          <w:lang w:val="en-US"/>
        </w:rPr>
      </w:pPr>
      <w:r>
        <w:rPr>
          <w:rStyle w:val="EndnoteReference"/>
        </w:rPr>
        <w:endnoteRef/>
      </w:r>
      <w:r>
        <w:t xml:space="preserve"> </w:t>
      </w:r>
      <w:r>
        <w:rPr>
          <w:lang w:val="en-US"/>
        </w:rPr>
        <w:tab/>
        <w:t>Respect@Work report,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24C5" w14:textId="77777777" w:rsidR="00AC636D" w:rsidRPr="000465F1" w:rsidRDefault="00AC636D" w:rsidP="000465F1">
    <w:pPr>
      <w:pStyle w:val="Footer"/>
    </w:pPr>
    <w:r w:rsidRPr="000465F1">
      <w:t>ABN 47 996 232 602</w:t>
    </w:r>
  </w:p>
  <w:p w14:paraId="3C9534DE" w14:textId="77777777" w:rsidR="00AC636D" w:rsidRPr="000465F1" w:rsidRDefault="00AC636D" w:rsidP="000465F1">
    <w:pPr>
      <w:pStyle w:val="Footer"/>
    </w:pPr>
    <w:r w:rsidRPr="000465F1">
      <w:t>GPO Box 5218, Sydney NSW 2001</w:t>
    </w:r>
  </w:p>
  <w:p w14:paraId="431A0183" w14:textId="77777777" w:rsidR="00AC636D" w:rsidRPr="000465F1" w:rsidRDefault="00AC636D" w:rsidP="000465F1">
    <w:pPr>
      <w:pStyle w:val="Footer"/>
    </w:pPr>
    <w:r w:rsidRPr="000465F1">
      <w:t>General enquiries 1300 369 711</w:t>
    </w:r>
  </w:p>
  <w:p w14:paraId="57B8E8C3" w14:textId="77777777" w:rsidR="00AC636D" w:rsidRPr="000465F1" w:rsidRDefault="00A7615D" w:rsidP="000465F1">
    <w:pPr>
      <w:pStyle w:val="Footer"/>
    </w:pPr>
    <w:r>
      <w:t xml:space="preserve">National Information Service </w:t>
    </w:r>
    <w:r w:rsidR="00AC636D" w:rsidRPr="000465F1">
      <w:t>1300 656 419</w:t>
    </w:r>
  </w:p>
  <w:p w14:paraId="6BC66970"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C322E"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0A36"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D02074">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21F2"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D02074">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F75B1" w14:textId="77777777" w:rsidR="00A42570" w:rsidRDefault="00A42570" w:rsidP="00F14C6D">
      <w:r>
        <w:separator/>
      </w:r>
    </w:p>
  </w:footnote>
  <w:footnote w:type="continuationSeparator" w:id="0">
    <w:p w14:paraId="2A799CCA" w14:textId="77777777" w:rsidR="00A42570" w:rsidRDefault="00A42570" w:rsidP="00F14C6D">
      <w:r>
        <w:continuationSeparator/>
      </w:r>
    </w:p>
  </w:footnote>
  <w:footnote w:type="continuationNotice" w:id="1">
    <w:p w14:paraId="622CE77A" w14:textId="77777777" w:rsidR="00A42570" w:rsidRDefault="00A4257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6DC5" w14:textId="77777777" w:rsidR="00BF6406" w:rsidRPr="000465F1" w:rsidRDefault="00532A8C" w:rsidP="000465F1">
    <w:pPr>
      <w:pStyle w:val="Header"/>
    </w:pPr>
    <w:r>
      <w:pict w14:anchorId="76BDB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67"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46D611CE"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9777" w14:textId="77777777" w:rsidR="00B34946" w:rsidRPr="000465F1" w:rsidRDefault="00532A8C" w:rsidP="000465F1">
    <w:r>
      <w:pict w14:anchorId="66454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68"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5E328A5E"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692" w14:textId="77777777" w:rsidR="00CC2AA0" w:rsidRDefault="00532A8C" w:rsidP="002012F7">
    <w:pPr>
      <w:pStyle w:val="Header"/>
    </w:pPr>
    <w:r>
      <w:pict w14:anchorId="0A66B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71"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224006E9">
        <v:shape id="WordPictureWatermark1034832" o:spid="_x0000_s2066"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5B0F3EC3" w14:textId="77777777" w:rsidR="008B3899" w:rsidRDefault="008B3899" w:rsidP="002012F7">
    <w:pPr>
      <w:pStyle w:val="Header"/>
    </w:pPr>
  </w:p>
  <w:p w14:paraId="72E7A2DE"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B207" w14:textId="77777777" w:rsidR="0015239E" w:rsidRPr="000465F1" w:rsidRDefault="0015239E" w:rsidP="0015239E">
    <w:pPr>
      <w:pStyle w:val="Header"/>
    </w:pPr>
    <w:r w:rsidRPr="000465F1">
      <w:t>Australian Human Rights Commission</w:t>
    </w:r>
  </w:p>
  <w:p w14:paraId="570B88D0" w14:textId="77777777" w:rsidR="0015239E" w:rsidRPr="000465F1" w:rsidRDefault="0015239E"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7CDC" w14:textId="77777777" w:rsidR="00BF6406" w:rsidRPr="000465F1" w:rsidRDefault="00BF6406" w:rsidP="00CA5D90">
    <w:pPr>
      <w:pStyle w:val="Header"/>
    </w:pPr>
    <w:bookmarkStart w:id="33" w:name="_Hlk514672172"/>
    <w:bookmarkStart w:id="34" w:name="_Hlk514672173"/>
    <w:r w:rsidRPr="000465F1">
      <w:t>Australian Human Rights Commission</w:t>
    </w:r>
  </w:p>
  <w:bookmarkEnd w:id="33"/>
  <w:bookmarkEnd w:id="34"/>
  <w:p w14:paraId="5DDDF909" w14:textId="56A2A6D8" w:rsidR="002F5E96" w:rsidRPr="000465F1" w:rsidRDefault="00223F86" w:rsidP="002F5E96">
    <w:pPr>
      <w:pStyle w:val="HeaderDocumentDate"/>
    </w:pPr>
    <w:r>
      <w:rPr>
        <w:rStyle w:val="HeaderDocumentTitle"/>
      </w:rPr>
      <w:t>Respect@Work Amendment Bill</w:t>
    </w:r>
    <w:r w:rsidR="002F5E96" w:rsidRPr="001F62CC">
      <w:rPr>
        <w:rStyle w:val="HeaderDocumentTitle"/>
      </w:rPr>
      <w:t>,</w:t>
    </w:r>
    <w:r w:rsidR="002F5E96">
      <w:t xml:space="preserve"> </w:t>
    </w:r>
    <w:r>
      <w:t>9 July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C5883" w14:textId="77777777" w:rsidR="0063009F" w:rsidRPr="000465F1" w:rsidRDefault="0063009F" w:rsidP="0063009F">
    <w:pPr>
      <w:pStyle w:val="Header"/>
    </w:pPr>
    <w:r w:rsidRPr="000465F1">
      <w:t>Australian Human Rights Commission</w:t>
    </w:r>
  </w:p>
  <w:p w14:paraId="5B5C6B69" w14:textId="7FD35800" w:rsidR="0063009F" w:rsidRPr="000465F1" w:rsidRDefault="00A251F7" w:rsidP="0063009F">
    <w:pPr>
      <w:pStyle w:val="HeaderDocumentDate"/>
    </w:pPr>
    <w:r>
      <w:rPr>
        <w:rStyle w:val="HeaderDocumentTitle"/>
      </w:rPr>
      <w:t>Respect@Work Amendment Bill</w:t>
    </w:r>
    <w:r w:rsidRPr="001F62CC">
      <w:rPr>
        <w:rStyle w:val="HeaderDocumentTitle"/>
      </w:rPr>
      <w:t>,</w:t>
    </w:r>
    <w:r>
      <w:t xml:space="preserve"> 9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AF0201"/>
    <w:multiLevelType w:val="hybridMultilevel"/>
    <w:tmpl w:val="12E89036"/>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DF00B01"/>
    <w:multiLevelType w:val="hybridMultilevel"/>
    <w:tmpl w:val="89B6A888"/>
    <w:lvl w:ilvl="0" w:tplc="3EC69408">
      <w:start w:val="5"/>
      <w:numFmt w:val="bullet"/>
      <w:lvlText w:val=""/>
      <w:lvlJc w:val="left"/>
      <w:pPr>
        <w:ind w:left="1454" w:hanging="360"/>
      </w:pPr>
      <w:rPr>
        <w:rFonts w:ascii="Symbol" w:eastAsia="MS Mincho" w:hAnsi="Symbol" w:cs="Times New Roman" w:hint="default"/>
      </w:rPr>
    </w:lvl>
    <w:lvl w:ilvl="1" w:tplc="0C090003">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7"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214184"/>
    <w:multiLevelType w:val="hybridMultilevel"/>
    <w:tmpl w:val="61683E32"/>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6"/>
  </w:num>
  <w:num w:numId="3">
    <w:abstractNumId w:val="31"/>
  </w:num>
  <w:num w:numId="4">
    <w:abstractNumId w:val="1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9"/>
  </w:num>
  <w:num w:numId="18">
    <w:abstractNumId w:val="22"/>
  </w:num>
  <w:num w:numId="19">
    <w:abstractNumId w:val="15"/>
  </w:num>
  <w:num w:numId="20">
    <w:abstractNumId w:val="34"/>
  </w:num>
  <w:num w:numId="21">
    <w:abstractNumId w:val="24"/>
  </w:num>
  <w:num w:numId="22">
    <w:abstractNumId w:val="23"/>
  </w:num>
  <w:num w:numId="23">
    <w:abstractNumId w:val="36"/>
  </w:num>
  <w:num w:numId="24">
    <w:abstractNumId w:val="11"/>
  </w:num>
  <w:num w:numId="25">
    <w:abstractNumId w:val="35"/>
  </w:num>
  <w:num w:numId="26">
    <w:abstractNumId w:val="25"/>
  </w:num>
  <w:num w:numId="27">
    <w:abstractNumId w:val="12"/>
  </w:num>
  <w:num w:numId="28">
    <w:abstractNumId w:val="16"/>
  </w:num>
  <w:num w:numId="29">
    <w:abstractNumId w:val="28"/>
  </w:num>
  <w:num w:numId="30">
    <w:abstractNumId w:val="2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3"/>
  </w:num>
  <w:num w:numId="36">
    <w:abstractNumId w:val="13"/>
  </w:num>
  <w:num w:numId="37">
    <w:abstractNumId w:val="10"/>
  </w:num>
  <w:num w:numId="38">
    <w:abstractNumId w:val="9"/>
    <w:lvlOverride w:ilvl="0">
      <w:startOverride w:val="1"/>
    </w:lvlOverride>
  </w:num>
  <w:num w:numId="39">
    <w:abstractNumId w:val="20"/>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7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1B"/>
    <w:rsid w:val="000015EC"/>
    <w:rsid w:val="00001C3E"/>
    <w:rsid w:val="0000333F"/>
    <w:rsid w:val="00003687"/>
    <w:rsid w:val="00003EA5"/>
    <w:rsid w:val="000050C0"/>
    <w:rsid w:val="0000541C"/>
    <w:rsid w:val="00005A39"/>
    <w:rsid w:val="00005C0F"/>
    <w:rsid w:val="00005FB2"/>
    <w:rsid w:val="000060F0"/>
    <w:rsid w:val="0000762B"/>
    <w:rsid w:val="00010C37"/>
    <w:rsid w:val="0001332B"/>
    <w:rsid w:val="000136E3"/>
    <w:rsid w:val="000137A4"/>
    <w:rsid w:val="00013813"/>
    <w:rsid w:val="000148CC"/>
    <w:rsid w:val="00015AC1"/>
    <w:rsid w:val="00015ACC"/>
    <w:rsid w:val="000161C2"/>
    <w:rsid w:val="0001624D"/>
    <w:rsid w:val="0001659F"/>
    <w:rsid w:val="00017229"/>
    <w:rsid w:val="00021E82"/>
    <w:rsid w:val="0002319F"/>
    <w:rsid w:val="00023B30"/>
    <w:rsid w:val="000240A5"/>
    <w:rsid w:val="0002476A"/>
    <w:rsid w:val="000250D5"/>
    <w:rsid w:val="00026072"/>
    <w:rsid w:val="00026271"/>
    <w:rsid w:val="00026D42"/>
    <w:rsid w:val="000277C0"/>
    <w:rsid w:val="00030B54"/>
    <w:rsid w:val="00031303"/>
    <w:rsid w:val="0003170C"/>
    <w:rsid w:val="00031DA7"/>
    <w:rsid w:val="000323DE"/>
    <w:rsid w:val="00033F5C"/>
    <w:rsid w:val="00034EAF"/>
    <w:rsid w:val="00035D75"/>
    <w:rsid w:val="00035E69"/>
    <w:rsid w:val="00035F3D"/>
    <w:rsid w:val="00036BE4"/>
    <w:rsid w:val="00037D0E"/>
    <w:rsid w:val="0004045D"/>
    <w:rsid w:val="00040BED"/>
    <w:rsid w:val="000413CD"/>
    <w:rsid w:val="00041E32"/>
    <w:rsid w:val="00042600"/>
    <w:rsid w:val="00042D75"/>
    <w:rsid w:val="00042F66"/>
    <w:rsid w:val="000430B8"/>
    <w:rsid w:val="00043193"/>
    <w:rsid w:val="000444AB"/>
    <w:rsid w:val="000447AC"/>
    <w:rsid w:val="00044ADA"/>
    <w:rsid w:val="00045712"/>
    <w:rsid w:val="000457CB"/>
    <w:rsid w:val="00045BCD"/>
    <w:rsid w:val="00045C4B"/>
    <w:rsid w:val="000462C7"/>
    <w:rsid w:val="000465F1"/>
    <w:rsid w:val="0004696E"/>
    <w:rsid w:val="00047F94"/>
    <w:rsid w:val="00051EFA"/>
    <w:rsid w:val="000531C2"/>
    <w:rsid w:val="00053476"/>
    <w:rsid w:val="00053B18"/>
    <w:rsid w:val="00053F12"/>
    <w:rsid w:val="00054150"/>
    <w:rsid w:val="000541EE"/>
    <w:rsid w:val="00055BAE"/>
    <w:rsid w:val="00056071"/>
    <w:rsid w:val="00056331"/>
    <w:rsid w:val="0005681D"/>
    <w:rsid w:val="000572F9"/>
    <w:rsid w:val="00057461"/>
    <w:rsid w:val="000579B1"/>
    <w:rsid w:val="000604E5"/>
    <w:rsid w:val="00060D6C"/>
    <w:rsid w:val="00060D91"/>
    <w:rsid w:val="00060EAE"/>
    <w:rsid w:val="000615DC"/>
    <w:rsid w:val="00061ADA"/>
    <w:rsid w:val="00061C6C"/>
    <w:rsid w:val="000624D0"/>
    <w:rsid w:val="00063177"/>
    <w:rsid w:val="00063F7F"/>
    <w:rsid w:val="000643AA"/>
    <w:rsid w:val="00064C63"/>
    <w:rsid w:val="00064C98"/>
    <w:rsid w:val="00065052"/>
    <w:rsid w:val="000650E8"/>
    <w:rsid w:val="000703D5"/>
    <w:rsid w:val="000705F2"/>
    <w:rsid w:val="00070759"/>
    <w:rsid w:val="000708ED"/>
    <w:rsid w:val="00071D7A"/>
    <w:rsid w:val="000725D9"/>
    <w:rsid w:val="00072808"/>
    <w:rsid w:val="00072EDA"/>
    <w:rsid w:val="000735B4"/>
    <w:rsid w:val="0007548E"/>
    <w:rsid w:val="00075990"/>
    <w:rsid w:val="00076365"/>
    <w:rsid w:val="00080C1A"/>
    <w:rsid w:val="0008164A"/>
    <w:rsid w:val="00082AC0"/>
    <w:rsid w:val="00083177"/>
    <w:rsid w:val="00083CD2"/>
    <w:rsid w:val="00083F66"/>
    <w:rsid w:val="00083F7B"/>
    <w:rsid w:val="000851F1"/>
    <w:rsid w:val="00085C4A"/>
    <w:rsid w:val="000867D2"/>
    <w:rsid w:val="00087613"/>
    <w:rsid w:val="00087667"/>
    <w:rsid w:val="00087824"/>
    <w:rsid w:val="00087B76"/>
    <w:rsid w:val="00090745"/>
    <w:rsid w:val="000910DB"/>
    <w:rsid w:val="00091E0C"/>
    <w:rsid w:val="00091EBB"/>
    <w:rsid w:val="00093089"/>
    <w:rsid w:val="00093357"/>
    <w:rsid w:val="000934A8"/>
    <w:rsid w:val="000935D9"/>
    <w:rsid w:val="0009458C"/>
    <w:rsid w:val="000948B4"/>
    <w:rsid w:val="0009708D"/>
    <w:rsid w:val="0009715C"/>
    <w:rsid w:val="000971E5"/>
    <w:rsid w:val="00097756"/>
    <w:rsid w:val="000977D8"/>
    <w:rsid w:val="000A027F"/>
    <w:rsid w:val="000A0702"/>
    <w:rsid w:val="000A09E4"/>
    <w:rsid w:val="000A0A7C"/>
    <w:rsid w:val="000A0D6B"/>
    <w:rsid w:val="000A16F1"/>
    <w:rsid w:val="000A1DB8"/>
    <w:rsid w:val="000A1FEB"/>
    <w:rsid w:val="000A208E"/>
    <w:rsid w:val="000A2B62"/>
    <w:rsid w:val="000A2CF3"/>
    <w:rsid w:val="000A3471"/>
    <w:rsid w:val="000A48AC"/>
    <w:rsid w:val="000A4ED8"/>
    <w:rsid w:val="000A520E"/>
    <w:rsid w:val="000A646D"/>
    <w:rsid w:val="000A6799"/>
    <w:rsid w:val="000A6827"/>
    <w:rsid w:val="000A6B7D"/>
    <w:rsid w:val="000A778F"/>
    <w:rsid w:val="000A79A5"/>
    <w:rsid w:val="000A7A0E"/>
    <w:rsid w:val="000B0603"/>
    <w:rsid w:val="000B06CF"/>
    <w:rsid w:val="000B082B"/>
    <w:rsid w:val="000B0A5D"/>
    <w:rsid w:val="000B143B"/>
    <w:rsid w:val="000B1984"/>
    <w:rsid w:val="000B2972"/>
    <w:rsid w:val="000B32BB"/>
    <w:rsid w:val="000B37F2"/>
    <w:rsid w:val="000B3B1C"/>
    <w:rsid w:val="000B4AE9"/>
    <w:rsid w:val="000B4C71"/>
    <w:rsid w:val="000B5B68"/>
    <w:rsid w:val="000B6B2E"/>
    <w:rsid w:val="000B72D2"/>
    <w:rsid w:val="000B75D6"/>
    <w:rsid w:val="000B775B"/>
    <w:rsid w:val="000B7981"/>
    <w:rsid w:val="000C1D7C"/>
    <w:rsid w:val="000C2740"/>
    <w:rsid w:val="000C2A28"/>
    <w:rsid w:val="000C453A"/>
    <w:rsid w:val="000C5608"/>
    <w:rsid w:val="000C5672"/>
    <w:rsid w:val="000C5DA6"/>
    <w:rsid w:val="000C7162"/>
    <w:rsid w:val="000C7E76"/>
    <w:rsid w:val="000C7F31"/>
    <w:rsid w:val="000D071C"/>
    <w:rsid w:val="000D0AA9"/>
    <w:rsid w:val="000D0CBC"/>
    <w:rsid w:val="000D1AB9"/>
    <w:rsid w:val="000D1EA8"/>
    <w:rsid w:val="000D28D9"/>
    <w:rsid w:val="000D37BF"/>
    <w:rsid w:val="000D3AC1"/>
    <w:rsid w:val="000D41C1"/>
    <w:rsid w:val="000D50A9"/>
    <w:rsid w:val="000D5646"/>
    <w:rsid w:val="000D66B4"/>
    <w:rsid w:val="000D6F6F"/>
    <w:rsid w:val="000D71CD"/>
    <w:rsid w:val="000D72F1"/>
    <w:rsid w:val="000D7F5F"/>
    <w:rsid w:val="000E05F2"/>
    <w:rsid w:val="000E12B0"/>
    <w:rsid w:val="000E130A"/>
    <w:rsid w:val="000E1407"/>
    <w:rsid w:val="000E2209"/>
    <w:rsid w:val="000E2220"/>
    <w:rsid w:val="000E244C"/>
    <w:rsid w:val="000E2965"/>
    <w:rsid w:val="000E4025"/>
    <w:rsid w:val="000E4837"/>
    <w:rsid w:val="000E554A"/>
    <w:rsid w:val="000E5701"/>
    <w:rsid w:val="000E6A0F"/>
    <w:rsid w:val="000E6AA0"/>
    <w:rsid w:val="000E6CFC"/>
    <w:rsid w:val="000E72D3"/>
    <w:rsid w:val="000E7EFF"/>
    <w:rsid w:val="000F107C"/>
    <w:rsid w:val="000F1108"/>
    <w:rsid w:val="000F154C"/>
    <w:rsid w:val="000F163D"/>
    <w:rsid w:val="000F1CDF"/>
    <w:rsid w:val="000F1D1F"/>
    <w:rsid w:val="000F343A"/>
    <w:rsid w:val="000F3B29"/>
    <w:rsid w:val="000F3D9A"/>
    <w:rsid w:val="000F447C"/>
    <w:rsid w:val="000F4B8B"/>
    <w:rsid w:val="000F558C"/>
    <w:rsid w:val="000F5B30"/>
    <w:rsid w:val="000F7421"/>
    <w:rsid w:val="000F7FEF"/>
    <w:rsid w:val="00100A66"/>
    <w:rsid w:val="001018EA"/>
    <w:rsid w:val="00102149"/>
    <w:rsid w:val="001024AF"/>
    <w:rsid w:val="00102CEF"/>
    <w:rsid w:val="00103905"/>
    <w:rsid w:val="0010391C"/>
    <w:rsid w:val="001039B4"/>
    <w:rsid w:val="001040EB"/>
    <w:rsid w:val="00104DC6"/>
    <w:rsid w:val="00106C33"/>
    <w:rsid w:val="00107313"/>
    <w:rsid w:val="00107B8B"/>
    <w:rsid w:val="001102CA"/>
    <w:rsid w:val="00110DDC"/>
    <w:rsid w:val="001111DD"/>
    <w:rsid w:val="00112848"/>
    <w:rsid w:val="001135DD"/>
    <w:rsid w:val="0011376E"/>
    <w:rsid w:val="0011453D"/>
    <w:rsid w:val="00115D5A"/>
    <w:rsid w:val="001164C9"/>
    <w:rsid w:val="00116861"/>
    <w:rsid w:val="00116CF8"/>
    <w:rsid w:val="00117930"/>
    <w:rsid w:val="00120271"/>
    <w:rsid w:val="00120B9E"/>
    <w:rsid w:val="00121B44"/>
    <w:rsid w:val="00122CB0"/>
    <w:rsid w:val="001231E9"/>
    <w:rsid w:val="001237DE"/>
    <w:rsid w:val="00123B1C"/>
    <w:rsid w:val="00123BF9"/>
    <w:rsid w:val="00124812"/>
    <w:rsid w:val="00125D62"/>
    <w:rsid w:val="00125E2C"/>
    <w:rsid w:val="001270D3"/>
    <w:rsid w:val="0012780E"/>
    <w:rsid w:val="00127B26"/>
    <w:rsid w:val="00131DF2"/>
    <w:rsid w:val="0013216E"/>
    <w:rsid w:val="00132AAD"/>
    <w:rsid w:val="00132E4C"/>
    <w:rsid w:val="00133730"/>
    <w:rsid w:val="00133A3B"/>
    <w:rsid w:val="00133B1D"/>
    <w:rsid w:val="00133BC8"/>
    <w:rsid w:val="00134774"/>
    <w:rsid w:val="00134DDC"/>
    <w:rsid w:val="00134FF0"/>
    <w:rsid w:val="00136EDD"/>
    <w:rsid w:val="001374C9"/>
    <w:rsid w:val="00137BB3"/>
    <w:rsid w:val="00140274"/>
    <w:rsid w:val="0014094D"/>
    <w:rsid w:val="00140E94"/>
    <w:rsid w:val="001418E3"/>
    <w:rsid w:val="00141AD9"/>
    <w:rsid w:val="00142E03"/>
    <w:rsid w:val="0014329E"/>
    <w:rsid w:val="00143BF5"/>
    <w:rsid w:val="00143F5C"/>
    <w:rsid w:val="0014471E"/>
    <w:rsid w:val="00144742"/>
    <w:rsid w:val="001447E9"/>
    <w:rsid w:val="00144987"/>
    <w:rsid w:val="00145524"/>
    <w:rsid w:val="00146574"/>
    <w:rsid w:val="001470F7"/>
    <w:rsid w:val="00147593"/>
    <w:rsid w:val="00147EB9"/>
    <w:rsid w:val="00151263"/>
    <w:rsid w:val="00151813"/>
    <w:rsid w:val="0015239E"/>
    <w:rsid w:val="0015277B"/>
    <w:rsid w:val="001534E6"/>
    <w:rsid w:val="0015377A"/>
    <w:rsid w:val="00153AC3"/>
    <w:rsid w:val="00154C0B"/>
    <w:rsid w:val="001557E1"/>
    <w:rsid w:val="00156033"/>
    <w:rsid w:val="00157519"/>
    <w:rsid w:val="00157D0E"/>
    <w:rsid w:val="001605F6"/>
    <w:rsid w:val="00160C53"/>
    <w:rsid w:val="001617E7"/>
    <w:rsid w:val="0016212B"/>
    <w:rsid w:val="0016266F"/>
    <w:rsid w:val="00162923"/>
    <w:rsid w:val="00162A7D"/>
    <w:rsid w:val="00162A8D"/>
    <w:rsid w:val="00162AAA"/>
    <w:rsid w:val="001634C0"/>
    <w:rsid w:val="001643E6"/>
    <w:rsid w:val="00164775"/>
    <w:rsid w:val="001651FB"/>
    <w:rsid w:val="00165E3C"/>
    <w:rsid w:val="00166239"/>
    <w:rsid w:val="001706F4"/>
    <w:rsid w:val="0017114A"/>
    <w:rsid w:val="00171C7C"/>
    <w:rsid w:val="001730BB"/>
    <w:rsid w:val="00173D36"/>
    <w:rsid w:val="00173FB5"/>
    <w:rsid w:val="001740D7"/>
    <w:rsid w:val="00174937"/>
    <w:rsid w:val="00174D9A"/>
    <w:rsid w:val="001751A6"/>
    <w:rsid w:val="001759D8"/>
    <w:rsid w:val="001778CD"/>
    <w:rsid w:val="00177E53"/>
    <w:rsid w:val="00180293"/>
    <w:rsid w:val="00180F4D"/>
    <w:rsid w:val="00181455"/>
    <w:rsid w:val="001817AA"/>
    <w:rsid w:val="00182609"/>
    <w:rsid w:val="00182C1E"/>
    <w:rsid w:val="00183185"/>
    <w:rsid w:val="00183B83"/>
    <w:rsid w:val="00184951"/>
    <w:rsid w:val="00184E61"/>
    <w:rsid w:val="00186316"/>
    <w:rsid w:val="001865A8"/>
    <w:rsid w:val="00186CB9"/>
    <w:rsid w:val="00186EC6"/>
    <w:rsid w:val="001901F5"/>
    <w:rsid w:val="00190B74"/>
    <w:rsid w:val="00190ED8"/>
    <w:rsid w:val="00190F0E"/>
    <w:rsid w:val="00191664"/>
    <w:rsid w:val="001917E8"/>
    <w:rsid w:val="001918E8"/>
    <w:rsid w:val="00191C45"/>
    <w:rsid w:val="001934B2"/>
    <w:rsid w:val="00193D1C"/>
    <w:rsid w:val="0019596F"/>
    <w:rsid w:val="00195EDE"/>
    <w:rsid w:val="001961CE"/>
    <w:rsid w:val="001963C3"/>
    <w:rsid w:val="00196937"/>
    <w:rsid w:val="00196B53"/>
    <w:rsid w:val="00197331"/>
    <w:rsid w:val="00197BB5"/>
    <w:rsid w:val="00197E5C"/>
    <w:rsid w:val="001A06F2"/>
    <w:rsid w:val="001A184F"/>
    <w:rsid w:val="001A244D"/>
    <w:rsid w:val="001A2CDF"/>
    <w:rsid w:val="001A2E08"/>
    <w:rsid w:val="001A3956"/>
    <w:rsid w:val="001A4899"/>
    <w:rsid w:val="001A5E67"/>
    <w:rsid w:val="001A743C"/>
    <w:rsid w:val="001A7776"/>
    <w:rsid w:val="001A7A79"/>
    <w:rsid w:val="001B0353"/>
    <w:rsid w:val="001B076F"/>
    <w:rsid w:val="001B0B50"/>
    <w:rsid w:val="001B148B"/>
    <w:rsid w:val="001B1F40"/>
    <w:rsid w:val="001B293D"/>
    <w:rsid w:val="001B4062"/>
    <w:rsid w:val="001B4447"/>
    <w:rsid w:val="001B5683"/>
    <w:rsid w:val="001B5DF8"/>
    <w:rsid w:val="001C04F6"/>
    <w:rsid w:val="001C1748"/>
    <w:rsid w:val="001C1CC1"/>
    <w:rsid w:val="001C1F8B"/>
    <w:rsid w:val="001C264A"/>
    <w:rsid w:val="001C2D95"/>
    <w:rsid w:val="001C2DAC"/>
    <w:rsid w:val="001C325E"/>
    <w:rsid w:val="001C4456"/>
    <w:rsid w:val="001C44FE"/>
    <w:rsid w:val="001C5134"/>
    <w:rsid w:val="001C5848"/>
    <w:rsid w:val="001C672D"/>
    <w:rsid w:val="001C6B35"/>
    <w:rsid w:val="001C72D7"/>
    <w:rsid w:val="001D228C"/>
    <w:rsid w:val="001D2A8F"/>
    <w:rsid w:val="001D2B2A"/>
    <w:rsid w:val="001D3075"/>
    <w:rsid w:val="001D6256"/>
    <w:rsid w:val="001D6D1E"/>
    <w:rsid w:val="001D7C0D"/>
    <w:rsid w:val="001E0176"/>
    <w:rsid w:val="001E1A16"/>
    <w:rsid w:val="001E2491"/>
    <w:rsid w:val="001E2719"/>
    <w:rsid w:val="001E30EC"/>
    <w:rsid w:val="001E3622"/>
    <w:rsid w:val="001E4B9E"/>
    <w:rsid w:val="001E5676"/>
    <w:rsid w:val="001E56DC"/>
    <w:rsid w:val="001E6675"/>
    <w:rsid w:val="001E70DD"/>
    <w:rsid w:val="001E7276"/>
    <w:rsid w:val="001E72DD"/>
    <w:rsid w:val="001F063F"/>
    <w:rsid w:val="001F0DDC"/>
    <w:rsid w:val="001F0F43"/>
    <w:rsid w:val="001F2BBB"/>
    <w:rsid w:val="001F36DA"/>
    <w:rsid w:val="001F3C8B"/>
    <w:rsid w:val="001F3CBC"/>
    <w:rsid w:val="001F42DB"/>
    <w:rsid w:val="001F52FD"/>
    <w:rsid w:val="001F5433"/>
    <w:rsid w:val="001F5451"/>
    <w:rsid w:val="001F54B1"/>
    <w:rsid w:val="001F625D"/>
    <w:rsid w:val="001F62CC"/>
    <w:rsid w:val="001F6370"/>
    <w:rsid w:val="001F6773"/>
    <w:rsid w:val="001F67E0"/>
    <w:rsid w:val="001F7228"/>
    <w:rsid w:val="001F7E5F"/>
    <w:rsid w:val="00200677"/>
    <w:rsid w:val="002006D3"/>
    <w:rsid w:val="00200AF5"/>
    <w:rsid w:val="002012F7"/>
    <w:rsid w:val="00201B6E"/>
    <w:rsid w:val="00202001"/>
    <w:rsid w:val="002027F6"/>
    <w:rsid w:val="00203224"/>
    <w:rsid w:val="002035B0"/>
    <w:rsid w:val="00204049"/>
    <w:rsid w:val="00204540"/>
    <w:rsid w:val="0020467C"/>
    <w:rsid w:val="00204BEB"/>
    <w:rsid w:val="00205DD2"/>
    <w:rsid w:val="00205EA7"/>
    <w:rsid w:val="002068EB"/>
    <w:rsid w:val="00210393"/>
    <w:rsid w:val="00211433"/>
    <w:rsid w:val="00211642"/>
    <w:rsid w:val="00211915"/>
    <w:rsid w:val="00212C78"/>
    <w:rsid w:val="0021314D"/>
    <w:rsid w:val="002131CF"/>
    <w:rsid w:val="00213527"/>
    <w:rsid w:val="002148B8"/>
    <w:rsid w:val="00214CA5"/>
    <w:rsid w:val="0021616D"/>
    <w:rsid w:val="00216628"/>
    <w:rsid w:val="002170FC"/>
    <w:rsid w:val="0022013F"/>
    <w:rsid w:val="00220E46"/>
    <w:rsid w:val="00221520"/>
    <w:rsid w:val="0022194D"/>
    <w:rsid w:val="00222570"/>
    <w:rsid w:val="002229F8"/>
    <w:rsid w:val="00222AA0"/>
    <w:rsid w:val="00222E63"/>
    <w:rsid w:val="00222E64"/>
    <w:rsid w:val="0022396D"/>
    <w:rsid w:val="00223F86"/>
    <w:rsid w:val="002243DA"/>
    <w:rsid w:val="00225247"/>
    <w:rsid w:val="002253B7"/>
    <w:rsid w:val="00226162"/>
    <w:rsid w:val="00226233"/>
    <w:rsid w:val="00226A46"/>
    <w:rsid w:val="002272BE"/>
    <w:rsid w:val="00230C7C"/>
    <w:rsid w:val="0023191B"/>
    <w:rsid w:val="00231A3B"/>
    <w:rsid w:val="00231ED1"/>
    <w:rsid w:val="00232354"/>
    <w:rsid w:val="002324A1"/>
    <w:rsid w:val="00232918"/>
    <w:rsid w:val="002334B3"/>
    <w:rsid w:val="002337B0"/>
    <w:rsid w:val="00234ECF"/>
    <w:rsid w:val="002368C0"/>
    <w:rsid w:val="002369C0"/>
    <w:rsid w:val="00237238"/>
    <w:rsid w:val="00237352"/>
    <w:rsid w:val="002378FA"/>
    <w:rsid w:val="00240310"/>
    <w:rsid w:val="00241523"/>
    <w:rsid w:val="00241582"/>
    <w:rsid w:val="00242092"/>
    <w:rsid w:val="00242624"/>
    <w:rsid w:val="00243946"/>
    <w:rsid w:val="00243F61"/>
    <w:rsid w:val="0024420A"/>
    <w:rsid w:val="00244483"/>
    <w:rsid w:val="00244E8D"/>
    <w:rsid w:val="0024557E"/>
    <w:rsid w:val="0024575E"/>
    <w:rsid w:val="0024661C"/>
    <w:rsid w:val="00246D48"/>
    <w:rsid w:val="002470E9"/>
    <w:rsid w:val="002471FD"/>
    <w:rsid w:val="002475B7"/>
    <w:rsid w:val="00247C3F"/>
    <w:rsid w:val="00252154"/>
    <w:rsid w:val="002526C1"/>
    <w:rsid w:val="00253463"/>
    <w:rsid w:val="0025375B"/>
    <w:rsid w:val="00253904"/>
    <w:rsid w:val="002539B2"/>
    <w:rsid w:val="00254473"/>
    <w:rsid w:val="002548BE"/>
    <w:rsid w:val="00254B02"/>
    <w:rsid w:val="00255126"/>
    <w:rsid w:val="0025554F"/>
    <w:rsid w:val="00256023"/>
    <w:rsid w:val="00256079"/>
    <w:rsid w:val="002561EA"/>
    <w:rsid w:val="002563B9"/>
    <w:rsid w:val="00260B6C"/>
    <w:rsid w:val="00260CE1"/>
    <w:rsid w:val="00261335"/>
    <w:rsid w:val="00262C3F"/>
    <w:rsid w:val="00263085"/>
    <w:rsid w:val="002632EA"/>
    <w:rsid w:val="002637CF"/>
    <w:rsid w:val="00263838"/>
    <w:rsid w:val="002639A8"/>
    <w:rsid w:val="00265042"/>
    <w:rsid w:val="00265B65"/>
    <w:rsid w:val="002663CC"/>
    <w:rsid w:val="00266664"/>
    <w:rsid w:val="002669F1"/>
    <w:rsid w:val="00267B3E"/>
    <w:rsid w:val="00270CE1"/>
    <w:rsid w:val="0027148A"/>
    <w:rsid w:val="00271836"/>
    <w:rsid w:val="00272842"/>
    <w:rsid w:val="00272884"/>
    <w:rsid w:val="00272A2C"/>
    <w:rsid w:val="00273411"/>
    <w:rsid w:val="002735D8"/>
    <w:rsid w:val="00273E12"/>
    <w:rsid w:val="00273E8A"/>
    <w:rsid w:val="0027447F"/>
    <w:rsid w:val="00274A8B"/>
    <w:rsid w:val="00275D0D"/>
    <w:rsid w:val="0027627A"/>
    <w:rsid w:val="00276382"/>
    <w:rsid w:val="00276D05"/>
    <w:rsid w:val="00277462"/>
    <w:rsid w:val="00277485"/>
    <w:rsid w:val="002776BC"/>
    <w:rsid w:val="00277E97"/>
    <w:rsid w:val="00280BA7"/>
    <w:rsid w:val="002811F9"/>
    <w:rsid w:val="00281ADD"/>
    <w:rsid w:val="00281B3E"/>
    <w:rsid w:val="002823F2"/>
    <w:rsid w:val="0028242F"/>
    <w:rsid w:val="00282A58"/>
    <w:rsid w:val="00282C6B"/>
    <w:rsid w:val="00283029"/>
    <w:rsid w:val="002837A4"/>
    <w:rsid w:val="00283A64"/>
    <w:rsid w:val="00283FE2"/>
    <w:rsid w:val="0028506A"/>
    <w:rsid w:val="002850B0"/>
    <w:rsid w:val="002862A0"/>
    <w:rsid w:val="002863D7"/>
    <w:rsid w:val="00286736"/>
    <w:rsid w:val="002873B4"/>
    <w:rsid w:val="0028753A"/>
    <w:rsid w:val="00287D80"/>
    <w:rsid w:val="002901C3"/>
    <w:rsid w:val="00290386"/>
    <w:rsid w:val="002909BD"/>
    <w:rsid w:val="00291355"/>
    <w:rsid w:val="00291F97"/>
    <w:rsid w:val="00292AB5"/>
    <w:rsid w:val="00292CD5"/>
    <w:rsid w:val="00293017"/>
    <w:rsid w:val="00294687"/>
    <w:rsid w:val="002950C8"/>
    <w:rsid w:val="00295236"/>
    <w:rsid w:val="0029571C"/>
    <w:rsid w:val="0029616E"/>
    <w:rsid w:val="0029627C"/>
    <w:rsid w:val="002967FF"/>
    <w:rsid w:val="00296CEA"/>
    <w:rsid w:val="00297661"/>
    <w:rsid w:val="002978B4"/>
    <w:rsid w:val="002A08D4"/>
    <w:rsid w:val="002A1A14"/>
    <w:rsid w:val="002A1B0D"/>
    <w:rsid w:val="002A1C6E"/>
    <w:rsid w:val="002A220D"/>
    <w:rsid w:val="002A2471"/>
    <w:rsid w:val="002A2514"/>
    <w:rsid w:val="002A2AE3"/>
    <w:rsid w:val="002A3B53"/>
    <w:rsid w:val="002A43C2"/>
    <w:rsid w:val="002A5467"/>
    <w:rsid w:val="002A7296"/>
    <w:rsid w:val="002A7A9B"/>
    <w:rsid w:val="002B03B2"/>
    <w:rsid w:val="002B050A"/>
    <w:rsid w:val="002B1A8A"/>
    <w:rsid w:val="002B1B54"/>
    <w:rsid w:val="002B1B65"/>
    <w:rsid w:val="002B1FB2"/>
    <w:rsid w:val="002B415A"/>
    <w:rsid w:val="002B5128"/>
    <w:rsid w:val="002B5BAE"/>
    <w:rsid w:val="002B5CE5"/>
    <w:rsid w:val="002C019C"/>
    <w:rsid w:val="002C02DB"/>
    <w:rsid w:val="002C09BF"/>
    <w:rsid w:val="002C12E4"/>
    <w:rsid w:val="002C1866"/>
    <w:rsid w:val="002C1FD4"/>
    <w:rsid w:val="002C222C"/>
    <w:rsid w:val="002C2C05"/>
    <w:rsid w:val="002C576F"/>
    <w:rsid w:val="002C5875"/>
    <w:rsid w:val="002C6247"/>
    <w:rsid w:val="002C6282"/>
    <w:rsid w:val="002C693C"/>
    <w:rsid w:val="002C6AE8"/>
    <w:rsid w:val="002C713C"/>
    <w:rsid w:val="002C7E59"/>
    <w:rsid w:val="002C7F99"/>
    <w:rsid w:val="002D0633"/>
    <w:rsid w:val="002D0780"/>
    <w:rsid w:val="002D082F"/>
    <w:rsid w:val="002D09B2"/>
    <w:rsid w:val="002D36AE"/>
    <w:rsid w:val="002D422B"/>
    <w:rsid w:val="002D432C"/>
    <w:rsid w:val="002D451D"/>
    <w:rsid w:val="002D5DEC"/>
    <w:rsid w:val="002D72C3"/>
    <w:rsid w:val="002D7A11"/>
    <w:rsid w:val="002D7CCC"/>
    <w:rsid w:val="002D7EFB"/>
    <w:rsid w:val="002E0F43"/>
    <w:rsid w:val="002E15B3"/>
    <w:rsid w:val="002E24BA"/>
    <w:rsid w:val="002E4753"/>
    <w:rsid w:val="002E48BA"/>
    <w:rsid w:val="002E4D1C"/>
    <w:rsid w:val="002E51AB"/>
    <w:rsid w:val="002E5866"/>
    <w:rsid w:val="002E5A1B"/>
    <w:rsid w:val="002E6AA9"/>
    <w:rsid w:val="002E79C2"/>
    <w:rsid w:val="002F23AD"/>
    <w:rsid w:val="002F275A"/>
    <w:rsid w:val="002F2A1B"/>
    <w:rsid w:val="002F351F"/>
    <w:rsid w:val="002F3BFA"/>
    <w:rsid w:val="002F41A2"/>
    <w:rsid w:val="002F4596"/>
    <w:rsid w:val="002F4CE1"/>
    <w:rsid w:val="002F5383"/>
    <w:rsid w:val="002F57AB"/>
    <w:rsid w:val="002F5E96"/>
    <w:rsid w:val="002F601F"/>
    <w:rsid w:val="002F6B91"/>
    <w:rsid w:val="002F7137"/>
    <w:rsid w:val="002F74E0"/>
    <w:rsid w:val="002F79E7"/>
    <w:rsid w:val="0030053D"/>
    <w:rsid w:val="00300AF4"/>
    <w:rsid w:val="00300F22"/>
    <w:rsid w:val="00301057"/>
    <w:rsid w:val="00301552"/>
    <w:rsid w:val="00301BD9"/>
    <w:rsid w:val="00302FD5"/>
    <w:rsid w:val="00303C01"/>
    <w:rsid w:val="00303F96"/>
    <w:rsid w:val="003049B2"/>
    <w:rsid w:val="00304A37"/>
    <w:rsid w:val="00305426"/>
    <w:rsid w:val="00305D94"/>
    <w:rsid w:val="00305E45"/>
    <w:rsid w:val="00306330"/>
    <w:rsid w:val="00307179"/>
    <w:rsid w:val="0031040E"/>
    <w:rsid w:val="00310ED4"/>
    <w:rsid w:val="00311080"/>
    <w:rsid w:val="00311A2C"/>
    <w:rsid w:val="00311AD7"/>
    <w:rsid w:val="00312301"/>
    <w:rsid w:val="00312671"/>
    <w:rsid w:val="00313150"/>
    <w:rsid w:val="003138D0"/>
    <w:rsid w:val="00313AFC"/>
    <w:rsid w:val="00313DC5"/>
    <w:rsid w:val="003140B5"/>
    <w:rsid w:val="0031410F"/>
    <w:rsid w:val="003142AF"/>
    <w:rsid w:val="003143BB"/>
    <w:rsid w:val="0031460E"/>
    <w:rsid w:val="0031492A"/>
    <w:rsid w:val="00314CBE"/>
    <w:rsid w:val="00315155"/>
    <w:rsid w:val="003153DF"/>
    <w:rsid w:val="00315824"/>
    <w:rsid w:val="00315FA7"/>
    <w:rsid w:val="00316352"/>
    <w:rsid w:val="0031673B"/>
    <w:rsid w:val="00316C1A"/>
    <w:rsid w:val="003205BD"/>
    <w:rsid w:val="003216DA"/>
    <w:rsid w:val="003221E9"/>
    <w:rsid w:val="0032300D"/>
    <w:rsid w:val="00323C73"/>
    <w:rsid w:val="003242D6"/>
    <w:rsid w:val="0032430A"/>
    <w:rsid w:val="00324655"/>
    <w:rsid w:val="003249D7"/>
    <w:rsid w:val="00324AEF"/>
    <w:rsid w:val="00325251"/>
    <w:rsid w:val="00325DDE"/>
    <w:rsid w:val="003267A1"/>
    <w:rsid w:val="003267B0"/>
    <w:rsid w:val="00327193"/>
    <w:rsid w:val="003277CF"/>
    <w:rsid w:val="00327DFD"/>
    <w:rsid w:val="003302AE"/>
    <w:rsid w:val="00330833"/>
    <w:rsid w:val="00331141"/>
    <w:rsid w:val="00331451"/>
    <w:rsid w:val="003326D0"/>
    <w:rsid w:val="00332A28"/>
    <w:rsid w:val="00333E6D"/>
    <w:rsid w:val="00334278"/>
    <w:rsid w:val="00334A1B"/>
    <w:rsid w:val="00335EC4"/>
    <w:rsid w:val="00336D92"/>
    <w:rsid w:val="00336E55"/>
    <w:rsid w:val="00337A84"/>
    <w:rsid w:val="00341E18"/>
    <w:rsid w:val="00342320"/>
    <w:rsid w:val="003423F4"/>
    <w:rsid w:val="003424EC"/>
    <w:rsid w:val="0034364D"/>
    <w:rsid w:val="003439AF"/>
    <w:rsid w:val="00344758"/>
    <w:rsid w:val="0034527C"/>
    <w:rsid w:val="00345633"/>
    <w:rsid w:val="00345C40"/>
    <w:rsid w:val="00345E45"/>
    <w:rsid w:val="0034645B"/>
    <w:rsid w:val="003464DE"/>
    <w:rsid w:val="003467FD"/>
    <w:rsid w:val="00347033"/>
    <w:rsid w:val="00347142"/>
    <w:rsid w:val="00347F35"/>
    <w:rsid w:val="00350491"/>
    <w:rsid w:val="0035098B"/>
    <w:rsid w:val="003509BC"/>
    <w:rsid w:val="00350D1B"/>
    <w:rsid w:val="00350D49"/>
    <w:rsid w:val="003510F5"/>
    <w:rsid w:val="00352494"/>
    <w:rsid w:val="003525BB"/>
    <w:rsid w:val="00352866"/>
    <w:rsid w:val="003528EB"/>
    <w:rsid w:val="00352927"/>
    <w:rsid w:val="00352CF9"/>
    <w:rsid w:val="00353967"/>
    <w:rsid w:val="0035405E"/>
    <w:rsid w:val="00355DC6"/>
    <w:rsid w:val="003560D2"/>
    <w:rsid w:val="00356580"/>
    <w:rsid w:val="003565A8"/>
    <w:rsid w:val="003565D9"/>
    <w:rsid w:val="003566A3"/>
    <w:rsid w:val="003566EA"/>
    <w:rsid w:val="00360948"/>
    <w:rsid w:val="00360D32"/>
    <w:rsid w:val="003615A2"/>
    <w:rsid w:val="00361F7A"/>
    <w:rsid w:val="00362837"/>
    <w:rsid w:val="00362FFE"/>
    <w:rsid w:val="00363CD9"/>
    <w:rsid w:val="00363F8E"/>
    <w:rsid w:val="003654D5"/>
    <w:rsid w:val="003667BC"/>
    <w:rsid w:val="00366C06"/>
    <w:rsid w:val="00366E46"/>
    <w:rsid w:val="00370A6B"/>
    <w:rsid w:val="00371BC6"/>
    <w:rsid w:val="00372714"/>
    <w:rsid w:val="00372C79"/>
    <w:rsid w:val="00372C91"/>
    <w:rsid w:val="003737B0"/>
    <w:rsid w:val="00373BCC"/>
    <w:rsid w:val="003740D9"/>
    <w:rsid w:val="00375088"/>
    <w:rsid w:val="00375544"/>
    <w:rsid w:val="003756C6"/>
    <w:rsid w:val="00376B32"/>
    <w:rsid w:val="00376B6E"/>
    <w:rsid w:val="0037776B"/>
    <w:rsid w:val="00377E42"/>
    <w:rsid w:val="00381167"/>
    <w:rsid w:val="003811B5"/>
    <w:rsid w:val="003812CB"/>
    <w:rsid w:val="003816B7"/>
    <w:rsid w:val="003816B8"/>
    <w:rsid w:val="003821D1"/>
    <w:rsid w:val="00382794"/>
    <w:rsid w:val="00382F56"/>
    <w:rsid w:val="00383D1B"/>
    <w:rsid w:val="0038459F"/>
    <w:rsid w:val="00385968"/>
    <w:rsid w:val="00386071"/>
    <w:rsid w:val="003913AA"/>
    <w:rsid w:val="0039159A"/>
    <w:rsid w:val="00392480"/>
    <w:rsid w:val="00392682"/>
    <w:rsid w:val="003929BA"/>
    <w:rsid w:val="00392D13"/>
    <w:rsid w:val="003939EF"/>
    <w:rsid w:val="00393E1A"/>
    <w:rsid w:val="00395674"/>
    <w:rsid w:val="00395B77"/>
    <w:rsid w:val="003966BD"/>
    <w:rsid w:val="0039699B"/>
    <w:rsid w:val="003974E8"/>
    <w:rsid w:val="003975B4"/>
    <w:rsid w:val="003978D9"/>
    <w:rsid w:val="00397B10"/>
    <w:rsid w:val="00397F6A"/>
    <w:rsid w:val="003A03C0"/>
    <w:rsid w:val="003A06CE"/>
    <w:rsid w:val="003A0B3C"/>
    <w:rsid w:val="003A0D42"/>
    <w:rsid w:val="003A168E"/>
    <w:rsid w:val="003A1E08"/>
    <w:rsid w:val="003A2512"/>
    <w:rsid w:val="003A25F9"/>
    <w:rsid w:val="003A46F1"/>
    <w:rsid w:val="003A48B7"/>
    <w:rsid w:val="003A4BD3"/>
    <w:rsid w:val="003A5161"/>
    <w:rsid w:val="003A5451"/>
    <w:rsid w:val="003A55F8"/>
    <w:rsid w:val="003A56E1"/>
    <w:rsid w:val="003A5A51"/>
    <w:rsid w:val="003A6304"/>
    <w:rsid w:val="003A693F"/>
    <w:rsid w:val="003A72DA"/>
    <w:rsid w:val="003A76BC"/>
    <w:rsid w:val="003A7F46"/>
    <w:rsid w:val="003B1091"/>
    <w:rsid w:val="003B41E2"/>
    <w:rsid w:val="003B4915"/>
    <w:rsid w:val="003B518E"/>
    <w:rsid w:val="003B5B6B"/>
    <w:rsid w:val="003B676D"/>
    <w:rsid w:val="003B70DC"/>
    <w:rsid w:val="003C0392"/>
    <w:rsid w:val="003C061A"/>
    <w:rsid w:val="003C081F"/>
    <w:rsid w:val="003C0A0D"/>
    <w:rsid w:val="003C26E0"/>
    <w:rsid w:val="003C2CE6"/>
    <w:rsid w:val="003C3652"/>
    <w:rsid w:val="003C47D6"/>
    <w:rsid w:val="003C51A7"/>
    <w:rsid w:val="003C56D9"/>
    <w:rsid w:val="003C73C9"/>
    <w:rsid w:val="003D058A"/>
    <w:rsid w:val="003D0D78"/>
    <w:rsid w:val="003D0E8D"/>
    <w:rsid w:val="003D11CA"/>
    <w:rsid w:val="003D1ABD"/>
    <w:rsid w:val="003D2553"/>
    <w:rsid w:val="003D28F6"/>
    <w:rsid w:val="003D2A99"/>
    <w:rsid w:val="003D2B2F"/>
    <w:rsid w:val="003D3019"/>
    <w:rsid w:val="003D470B"/>
    <w:rsid w:val="003D4E15"/>
    <w:rsid w:val="003D5365"/>
    <w:rsid w:val="003D60B6"/>
    <w:rsid w:val="003D7353"/>
    <w:rsid w:val="003D75C4"/>
    <w:rsid w:val="003D7664"/>
    <w:rsid w:val="003D7A40"/>
    <w:rsid w:val="003D7A9A"/>
    <w:rsid w:val="003E1005"/>
    <w:rsid w:val="003E158E"/>
    <w:rsid w:val="003E16C6"/>
    <w:rsid w:val="003E2400"/>
    <w:rsid w:val="003E3A6F"/>
    <w:rsid w:val="003E4288"/>
    <w:rsid w:val="003E4513"/>
    <w:rsid w:val="003E53C4"/>
    <w:rsid w:val="003E5DEF"/>
    <w:rsid w:val="003E62A6"/>
    <w:rsid w:val="003E63ED"/>
    <w:rsid w:val="003E659C"/>
    <w:rsid w:val="003E66D5"/>
    <w:rsid w:val="003E6972"/>
    <w:rsid w:val="003E70F4"/>
    <w:rsid w:val="003E76BB"/>
    <w:rsid w:val="003F1342"/>
    <w:rsid w:val="003F3E98"/>
    <w:rsid w:val="003F6923"/>
    <w:rsid w:val="003F69EE"/>
    <w:rsid w:val="003F74C4"/>
    <w:rsid w:val="003F7CD2"/>
    <w:rsid w:val="0040009B"/>
    <w:rsid w:val="004009DA"/>
    <w:rsid w:val="00400E64"/>
    <w:rsid w:val="0040118E"/>
    <w:rsid w:val="00401BCD"/>
    <w:rsid w:val="00402BE0"/>
    <w:rsid w:val="004034C1"/>
    <w:rsid w:val="0040454B"/>
    <w:rsid w:val="0040497E"/>
    <w:rsid w:val="00404F49"/>
    <w:rsid w:val="004054B6"/>
    <w:rsid w:val="004058C8"/>
    <w:rsid w:val="00405A9C"/>
    <w:rsid w:val="00410640"/>
    <w:rsid w:val="0041098C"/>
    <w:rsid w:val="00410CB3"/>
    <w:rsid w:val="00410D22"/>
    <w:rsid w:val="004112B5"/>
    <w:rsid w:val="004114FF"/>
    <w:rsid w:val="004120E5"/>
    <w:rsid w:val="0041238F"/>
    <w:rsid w:val="00412B9C"/>
    <w:rsid w:val="00412E20"/>
    <w:rsid w:val="00413171"/>
    <w:rsid w:val="00413B5A"/>
    <w:rsid w:val="00413D99"/>
    <w:rsid w:val="0041544C"/>
    <w:rsid w:val="00416186"/>
    <w:rsid w:val="0041628C"/>
    <w:rsid w:val="00416503"/>
    <w:rsid w:val="00416715"/>
    <w:rsid w:val="0041765F"/>
    <w:rsid w:val="00417D78"/>
    <w:rsid w:val="004200E0"/>
    <w:rsid w:val="0042015F"/>
    <w:rsid w:val="004208E9"/>
    <w:rsid w:val="004209EA"/>
    <w:rsid w:val="00420A30"/>
    <w:rsid w:val="00420C3C"/>
    <w:rsid w:val="0042138F"/>
    <w:rsid w:val="004213BC"/>
    <w:rsid w:val="0042143F"/>
    <w:rsid w:val="004214F2"/>
    <w:rsid w:val="00421CDB"/>
    <w:rsid w:val="00422417"/>
    <w:rsid w:val="004238A4"/>
    <w:rsid w:val="00423E99"/>
    <w:rsid w:val="00423F43"/>
    <w:rsid w:val="00424233"/>
    <w:rsid w:val="00424747"/>
    <w:rsid w:val="00424D13"/>
    <w:rsid w:val="00426020"/>
    <w:rsid w:val="00426AEC"/>
    <w:rsid w:val="00427792"/>
    <w:rsid w:val="004279BE"/>
    <w:rsid w:val="0043036D"/>
    <w:rsid w:val="00431290"/>
    <w:rsid w:val="0043195E"/>
    <w:rsid w:val="00431EBE"/>
    <w:rsid w:val="00436910"/>
    <w:rsid w:val="004369F2"/>
    <w:rsid w:val="0043753F"/>
    <w:rsid w:val="004375B3"/>
    <w:rsid w:val="00437BA5"/>
    <w:rsid w:val="00440AFC"/>
    <w:rsid w:val="00441460"/>
    <w:rsid w:val="00442629"/>
    <w:rsid w:val="00442D61"/>
    <w:rsid w:val="004433A5"/>
    <w:rsid w:val="0044363D"/>
    <w:rsid w:val="00443E74"/>
    <w:rsid w:val="00444274"/>
    <w:rsid w:val="004444A8"/>
    <w:rsid w:val="0044455E"/>
    <w:rsid w:val="004448CC"/>
    <w:rsid w:val="00444932"/>
    <w:rsid w:val="00445A1B"/>
    <w:rsid w:val="00445B61"/>
    <w:rsid w:val="00445CB5"/>
    <w:rsid w:val="0044624A"/>
    <w:rsid w:val="0044710C"/>
    <w:rsid w:val="004474D3"/>
    <w:rsid w:val="00447C32"/>
    <w:rsid w:val="00447C7F"/>
    <w:rsid w:val="004512A4"/>
    <w:rsid w:val="0045258F"/>
    <w:rsid w:val="0045262E"/>
    <w:rsid w:val="004531FC"/>
    <w:rsid w:val="00453F8B"/>
    <w:rsid w:val="004548A8"/>
    <w:rsid w:val="00454B27"/>
    <w:rsid w:val="0045570C"/>
    <w:rsid w:val="00455A1E"/>
    <w:rsid w:val="00456C56"/>
    <w:rsid w:val="00457EDD"/>
    <w:rsid w:val="004600BE"/>
    <w:rsid w:val="00460EE0"/>
    <w:rsid w:val="0046123A"/>
    <w:rsid w:val="00461645"/>
    <w:rsid w:val="00461DAF"/>
    <w:rsid w:val="004633E3"/>
    <w:rsid w:val="00463A95"/>
    <w:rsid w:val="00464490"/>
    <w:rsid w:val="004649E1"/>
    <w:rsid w:val="00464DCF"/>
    <w:rsid w:val="0046664F"/>
    <w:rsid w:val="00466DBA"/>
    <w:rsid w:val="00467C42"/>
    <w:rsid w:val="00467C5B"/>
    <w:rsid w:val="00467F9A"/>
    <w:rsid w:val="00470680"/>
    <w:rsid w:val="004712FB"/>
    <w:rsid w:val="00471447"/>
    <w:rsid w:val="00471786"/>
    <w:rsid w:val="00471895"/>
    <w:rsid w:val="00471BB7"/>
    <w:rsid w:val="00471DCA"/>
    <w:rsid w:val="004720CF"/>
    <w:rsid w:val="00472C0B"/>
    <w:rsid w:val="00472C74"/>
    <w:rsid w:val="00472D17"/>
    <w:rsid w:val="00472EF4"/>
    <w:rsid w:val="00472EFF"/>
    <w:rsid w:val="0047325B"/>
    <w:rsid w:val="00473505"/>
    <w:rsid w:val="00474063"/>
    <w:rsid w:val="00474240"/>
    <w:rsid w:val="00474936"/>
    <w:rsid w:val="004759C6"/>
    <w:rsid w:val="00476793"/>
    <w:rsid w:val="00476C41"/>
    <w:rsid w:val="00477AF9"/>
    <w:rsid w:val="00477F3C"/>
    <w:rsid w:val="004801CB"/>
    <w:rsid w:val="00480273"/>
    <w:rsid w:val="00480E8A"/>
    <w:rsid w:val="00481B2A"/>
    <w:rsid w:val="00482091"/>
    <w:rsid w:val="00482392"/>
    <w:rsid w:val="0048413B"/>
    <w:rsid w:val="004842B3"/>
    <w:rsid w:val="004847CE"/>
    <w:rsid w:val="004856F9"/>
    <w:rsid w:val="00485B0E"/>
    <w:rsid w:val="00485EE8"/>
    <w:rsid w:val="00486825"/>
    <w:rsid w:val="004907DD"/>
    <w:rsid w:val="00491048"/>
    <w:rsid w:val="00491653"/>
    <w:rsid w:val="004919AF"/>
    <w:rsid w:val="00491C3D"/>
    <w:rsid w:val="00491EC1"/>
    <w:rsid w:val="00492D1A"/>
    <w:rsid w:val="00493626"/>
    <w:rsid w:val="00493939"/>
    <w:rsid w:val="00493F0B"/>
    <w:rsid w:val="00494044"/>
    <w:rsid w:val="00494814"/>
    <w:rsid w:val="00494B61"/>
    <w:rsid w:val="00494EB4"/>
    <w:rsid w:val="00494FB4"/>
    <w:rsid w:val="00496799"/>
    <w:rsid w:val="0049684B"/>
    <w:rsid w:val="00497D91"/>
    <w:rsid w:val="004A0410"/>
    <w:rsid w:val="004A0932"/>
    <w:rsid w:val="004A139D"/>
    <w:rsid w:val="004A13F2"/>
    <w:rsid w:val="004A1519"/>
    <w:rsid w:val="004A187B"/>
    <w:rsid w:val="004A19DC"/>
    <w:rsid w:val="004A1E08"/>
    <w:rsid w:val="004A1F7A"/>
    <w:rsid w:val="004A2CCC"/>
    <w:rsid w:val="004A2D3C"/>
    <w:rsid w:val="004A351F"/>
    <w:rsid w:val="004A3868"/>
    <w:rsid w:val="004A3B43"/>
    <w:rsid w:val="004A4175"/>
    <w:rsid w:val="004A502D"/>
    <w:rsid w:val="004A625E"/>
    <w:rsid w:val="004A66A6"/>
    <w:rsid w:val="004A6F69"/>
    <w:rsid w:val="004A711F"/>
    <w:rsid w:val="004B065C"/>
    <w:rsid w:val="004B068B"/>
    <w:rsid w:val="004B15DA"/>
    <w:rsid w:val="004B1FD9"/>
    <w:rsid w:val="004B2AAD"/>
    <w:rsid w:val="004B3222"/>
    <w:rsid w:val="004B3AEF"/>
    <w:rsid w:val="004B3B3E"/>
    <w:rsid w:val="004B4BC2"/>
    <w:rsid w:val="004B57A3"/>
    <w:rsid w:val="004B5938"/>
    <w:rsid w:val="004B638B"/>
    <w:rsid w:val="004B7067"/>
    <w:rsid w:val="004B71CE"/>
    <w:rsid w:val="004B7231"/>
    <w:rsid w:val="004C1750"/>
    <w:rsid w:val="004C17D5"/>
    <w:rsid w:val="004C1CFC"/>
    <w:rsid w:val="004C1E02"/>
    <w:rsid w:val="004C1E8E"/>
    <w:rsid w:val="004C3B04"/>
    <w:rsid w:val="004C3F9C"/>
    <w:rsid w:val="004C4282"/>
    <w:rsid w:val="004C5553"/>
    <w:rsid w:val="004C7412"/>
    <w:rsid w:val="004C78BD"/>
    <w:rsid w:val="004D04BF"/>
    <w:rsid w:val="004D1A56"/>
    <w:rsid w:val="004D2400"/>
    <w:rsid w:val="004D259D"/>
    <w:rsid w:val="004D25DF"/>
    <w:rsid w:val="004D3091"/>
    <w:rsid w:val="004D34E4"/>
    <w:rsid w:val="004D3B79"/>
    <w:rsid w:val="004D3EEE"/>
    <w:rsid w:val="004D50C8"/>
    <w:rsid w:val="004D5438"/>
    <w:rsid w:val="004D5938"/>
    <w:rsid w:val="004D5FD2"/>
    <w:rsid w:val="004D75DD"/>
    <w:rsid w:val="004D7BD9"/>
    <w:rsid w:val="004D7C48"/>
    <w:rsid w:val="004E0DFF"/>
    <w:rsid w:val="004E1D5B"/>
    <w:rsid w:val="004E2196"/>
    <w:rsid w:val="004E22C7"/>
    <w:rsid w:val="004E32E9"/>
    <w:rsid w:val="004E3E25"/>
    <w:rsid w:val="004E5719"/>
    <w:rsid w:val="004E5CC0"/>
    <w:rsid w:val="004E65FF"/>
    <w:rsid w:val="004E6889"/>
    <w:rsid w:val="004E6AD6"/>
    <w:rsid w:val="004E720D"/>
    <w:rsid w:val="004E72F5"/>
    <w:rsid w:val="004E7843"/>
    <w:rsid w:val="004F06B3"/>
    <w:rsid w:val="004F0769"/>
    <w:rsid w:val="004F0BF4"/>
    <w:rsid w:val="004F1405"/>
    <w:rsid w:val="004F17C2"/>
    <w:rsid w:val="004F17F8"/>
    <w:rsid w:val="004F193B"/>
    <w:rsid w:val="004F1C7C"/>
    <w:rsid w:val="004F1E75"/>
    <w:rsid w:val="004F2091"/>
    <w:rsid w:val="004F2837"/>
    <w:rsid w:val="004F2B5B"/>
    <w:rsid w:val="004F3B04"/>
    <w:rsid w:val="004F429E"/>
    <w:rsid w:val="004F612C"/>
    <w:rsid w:val="004F7361"/>
    <w:rsid w:val="004F7AE9"/>
    <w:rsid w:val="00500306"/>
    <w:rsid w:val="00502438"/>
    <w:rsid w:val="005026A8"/>
    <w:rsid w:val="005033B6"/>
    <w:rsid w:val="00504333"/>
    <w:rsid w:val="00504B89"/>
    <w:rsid w:val="00505656"/>
    <w:rsid w:val="00505B9D"/>
    <w:rsid w:val="00505DFD"/>
    <w:rsid w:val="00506737"/>
    <w:rsid w:val="00507487"/>
    <w:rsid w:val="0051023E"/>
    <w:rsid w:val="00510390"/>
    <w:rsid w:val="005108B0"/>
    <w:rsid w:val="00510D71"/>
    <w:rsid w:val="005113D4"/>
    <w:rsid w:val="005123F0"/>
    <w:rsid w:val="00512B28"/>
    <w:rsid w:val="005131AA"/>
    <w:rsid w:val="00513540"/>
    <w:rsid w:val="005136D3"/>
    <w:rsid w:val="00513941"/>
    <w:rsid w:val="00513A7A"/>
    <w:rsid w:val="00513FD5"/>
    <w:rsid w:val="00514F0A"/>
    <w:rsid w:val="005157F2"/>
    <w:rsid w:val="00515A36"/>
    <w:rsid w:val="005165B1"/>
    <w:rsid w:val="0051750B"/>
    <w:rsid w:val="00517F96"/>
    <w:rsid w:val="00520515"/>
    <w:rsid w:val="00520913"/>
    <w:rsid w:val="005212A0"/>
    <w:rsid w:val="00521AD4"/>
    <w:rsid w:val="00521FB4"/>
    <w:rsid w:val="0052204E"/>
    <w:rsid w:val="005221FF"/>
    <w:rsid w:val="00522B4E"/>
    <w:rsid w:val="0052314E"/>
    <w:rsid w:val="00523515"/>
    <w:rsid w:val="00523952"/>
    <w:rsid w:val="00523EE7"/>
    <w:rsid w:val="00524DF5"/>
    <w:rsid w:val="005259C7"/>
    <w:rsid w:val="00526795"/>
    <w:rsid w:val="005267B4"/>
    <w:rsid w:val="0052694C"/>
    <w:rsid w:val="00526CC8"/>
    <w:rsid w:val="0053040E"/>
    <w:rsid w:val="0053051D"/>
    <w:rsid w:val="00530F84"/>
    <w:rsid w:val="00531955"/>
    <w:rsid w:val="00531BDD"/>
    <w:rsid w:val="00531F87"/>
    <w:rsid w:val="00532A8C"/>
    <w:rsid w:val="0053354D"/>
    <w:rsid w:val="00533927"/>
    <w:rsid w:val="0053472A"/>
    <w:rsid w:val="005354EC"/>
    <w:rsid w:val="00535D78"/>
    <w:rsid w:val="0053774E"/>
    <w:rsid w:val="005377AD"/>
    <w:rsid w:val="00537D77"/>
    <w:rsid w:val="00537EA1"/>
    <w:rsid w:val="00540182"/>
    <w:rsid w:val="00540D17"/>
    <w:rsid w:val="005411E4"/>
    <w:rsid w:val="00541490"/>
    <w:rsid w:val="00541648"/>
    <w:rsid w:val="00541730"/>
    <w:rsid w:val="0054181B"/>
    <w:rsid w:val="005419CC"/>
    <w:rsid w:val="00541B54"/>
    <w:rsid w:val="00544B50"/>
    <w:rsid w:val="00544BD5"/>
    <w:rsid w:val="00544BE2"/>
    <w:rsid w:val="0054528C"/>
    <w:rsid w:val="005507C3"/>
    <w:rsid w:val="00550DF0"/>
    <w:rsid w:val="00551597"/>
    <w:rsid w:val="00551EB4"/>
    <w:rsid w:val="005520F9"/>
    <w:rsid w:val="0055427B"/>
    <w:rsid w:val="00554ED1"/>
    <w:rsid w:val="00555065"/>
    <w:rsid w:val="00555C85"/>
    <w:rsid w:val="00555D32"/>
    <w:rsid w:val="00556200"/>
    <w:rsid w:val="005577F4"/>
    <w:rsid w:val="00561432"/>
    <w:rsid w:val="00561707"/>
    <w:rsid w:val="0056282D"/>
    <w:rsid w:val="00562977"/>
    <w:rsid w:val="00564208"/>
    <w:rsid w:val="00564677"/>
    <w:rsid w:val="00565C1D"/>
    <w:rsid w:val="00566504"/>
    <w:rsid w:val="005675AD"/>
    <w:rsid w:val="005675E6"/>
    <w:rsid w:val="005676EE"/>
    <w:rsid w:val="005677D0"/>
    <w:rsid w:val="005713C0"/>
    <w:rsid w:val="00571CEB"/>
    <w:rsid w:val="005732AC"/>
    <w:rsid w:val="00573F4D"/>
    <w:rsid w:val="005743C0"/>
    <w:rsid w:val="00574536"/>
    <w:rsid w:val="0057488C"/>
    <w:rsid w:val="00575F8E"/>
    <w:rsid w:val="0057743D"/>
    <w:rsid w:val="00577856"/>
    <w:rsid w:val="005800F8"/>
    <w:rsid w:val="00580769"/>
    <w:rsid w:val="00580B52"/>
    <w:rsid w:val="00580FBF"/>
    <w:rsid w:val="005815FC"/>
    <w:rsid w:val="00582031"/>
    <w:rsid w:val="00583A41"/>
    <w:rsid w:val="005846CD"/>
    <w:rsid w:val="00584891"/>
    <w:rsid w:val="00584896"/>
    <w:rsid w:val="0058495F"/>
    <w:rsid w:val="00584AB2"/>
    <w:rsid w:val="00584FBD"/>
    <w:rsid w:val="00585465"/>
    <w:rsid w:val="0058552A"/>
    <w:rsid w:val="00587FDE"/>
    <w:rsid w:val="005914A9"/>
    <w:rsid w:val="00591637"/>
    <w:rsid w:val="00591951"/>
    <w:rsid w:val="00591D2E"/>
    <w:rsid w:val="005926AE"/>
    <w:rsid w:val="00592827"/>
    <w:rsid w:val="0059283A"/>
    <w:rsid w:val="0059294E"/>
    <w:rsid w:val="005933D6"/>
    <w:rsid w:val="0059470E"/>
    <w:rsid w:val="00594831"/>
    <w:rsid w:val="00594D5A"/>
    <w:rsid w:val="00594DC9"/>
    <w:rsid w:val="00595429"/>
    <w:rsid w:val="005961C2"/>
    <w:rsid w:val="00596238"/>
    <w:rsid w:val="005970AB"/>
    <w:rsid w:val="00597714"/>
    <w:rsid w:val="005A0559"/>
    <w:rsid w:val="005A07E5"/>
    <w:rsid w:val="005A0959"/>
    <w:rsid w:val="005A0964"/>
    <w:rsid w:val="005A105A"/>
    <w:rsid w:val="005A10D8"/>
    <w:rsid w:val="005A5404"/>
    <w:rsid w:val="005A61C6"/>
    <w:rsid w:val="005A6B79"/>
    <w:rsid w:val="005A78BB"/>
    <w:rsid w:val="005B0010"/>
    <w:rsid w:val="005B1351"/>
    <w:rsid w:val="005B36F6"/>
    <w:rsid w:val="005B4A7C"/>
    <w:rsid w:val="005B50F1"/>
    <w:rsid w:val="005B54D2"/>
    <w:rsid w:val="005B56C8"/>
    <w:rsid w:val="005B5E0D"/>
    <w:rsid w:val="005B62F6"/>
    <w:rsid w:val="005B6E89"/>
    <w:rsid w:val="005B6EDE"/>
    <w:rsid w:val="005B705F"/>
    <w:rsid w:val="005C053A"/>
    <w:rsid w:val="005C1EB1"/>
    <w:rsid w:val="005C238B"/>
    <w:rsid w:val="005C2468"/>
    <w:rsid w:val="005C2ECF"/>
    <w:rsid w:val="005C303D"/>
    <w:rsid w:val="005C30FF"/>
    <w:rsid w:val="005C37FE"/>
    <w:rsid w:val="005C3B67"/>
    <w:rsid w:val="005C3F15"/>
    <w:rsid w:val="005C41B7"/>
    <w:rsid w:val="005C4553"/>
    <w:rsid w:val="005C5D41"/>
    <w:rsid w:val="005C60FA"/>
    <w:rsid w:val="005C6974"/>
    <w:rsid w:val="005C6C2C"/>
    <w:rsid w:val="005C7508"/>
    <w:rsid w:val="005D161B"/>
    <w:rsid w:val="005D1A23"/>
    <w:rsid w:val="005D1F34"/>
    <w:rsid w:val="005D27B5"/>
    <w:rsid w:val="005D33A6"/>
    <w:rsid w:val="005D383D"/>
    <w:rsid w:val="005D5029"/>
    <w:rsid w:val="005D5259"/>
    <w:rsid w:val="005D53F5"/>
    <w:rsid w:val="005D59FD"/>
    <w:rsid w:val="005D6D27"/>
    <w:rsid w:val="005D6E87"/>
    <w:rsid w:val="005D784F"/>
    <w:rsid w:val="005E0A71"/>
    <w:rsid w:val="005E0B83"/>
    <w:rsid w:val="005E0F81"/>
    <w:rsid w:val="005E1CDB"/>
    <w:rsid w:val="005E29A3"/>
    <w:rsid w:val="005E39A6"/>
    <w:rsid w:val="005E41E4"/>
    <w:rsid w:val="005E45FC"/>
    <w:rsid w:val="005E593A"/>
    <w:rsid w:val="005E5A41"/>
    <w:rsid w:val="005E6584"/>
    <w:rsid w:val="005E6A18"/>
    <w:rsid w:val="005E6AB7"/>
    <w:rsid w:val="005E7E13"/>
    <w:rsid w:val="005E7EE1"/>
    <w:rsid w:val="005F1A13"/>
    <w:rsid w:val="005F1AB8"/>
    <w:rsid w:val="005F1F81"/>
    <w:rsid w:val="005F20B5"/>
    <w:rsid w:val="005F297F"/>
    <w:rsid w:val="005F6EAC"/>
    <w:rsid w:val="005F712B"/>
    <w:rsid w:val="005F7663"/>
    <w:rsid w:val="005F769C"/>
    <w:rsid w:val="0060023C"/>
    <w:rsid w:val="0060080F"/>
    <w:rsid w:val="00600DBE"/>
    <w:rsid w:val="00600E74"/>
    <w:rsid w:val="0060117D"/>
    <w:rsid w:val="00601941"/>
    <w:rsid w:val="00602722"/>
    <w:rsid w:val="006027FD"/>
    <w:rsid w:val="006031B3"/>
    <w:rsid w:val="00603C26"/>
    <w:rsid w:val="00604D34"/>
    <w:rsid w:val="00604EBB"/>
    <w:rsid w:val="00604F19"/>
    <w:rsid w:val="0060559F"/>
    <w:rsid w:val="0060567C"/>
    <w:rsid w:val="0060591C"/>
    <w:rsid w:val="006070BE"/>
    <w:rsid w:val="00607EAD"/>
    <w:rsid w:val="0061051C"/>
    <w:rsid w:val="0061073A"/>
    <w:rsid w:val="00610A15"/>
    <w:rsid w:val="00610B4A"/>
    <w:rsid w:val="006112D4"/>
    <w:rsid w:val="00611B3D"/>
    <w:rsid w:val="00613090"/>
    <w:rsid w:val="00613F37"/>
    <w:rsid w:val="0061534B"/>
    <w:rsid w:val="00615E8A"/>
    <w:rsid w:val="0061609B"/>
    <w:rsid w:val="00616F88"/>
    <w:rsid w:val="0062029F"/>
    <w:rsid w:val="00621E23"/>
    <w:rsid w:val="00622298"/>
    <w:rsid w:val="00622508"/>
    <w:rsid w:val="00623237"/>
    <w:rsid w:val="0062338A"/>
    <w:rsid w:val="00623917"/>
    <w:rsid w:val="00623A7B"/>
    <w:rsid w:val="00623E29"/>
    <w:rsid w:val="006248D6"/>
    <w:rsid w:val="00624FEC"/>
    <w:rsid w:val="00624FF1"/>
    <w:rsid w:val="00625416"/>
    <w:rsid w:val="0062586C"/>
    <w:rsid w:val="00625D72"/>
    <w:rsid w:val="00625F30"/>
    <w:rsid w:val="00627A10"/>
    <w:rsid w:val="0063009F"/>
    <w:rsid w:val="00630323"/>
    <w:rsid w:val="00630A13"/>
    <w:rsid w:val="00631B43"/>
    <w:rsid w:val="00631DC2"/>
    <w:rsid w:val="00632547"/>
    <w:rsid w:val="00633E77"/>
    <w:rsid w:val="00634D48"/>
    <w:rsid w:val="006356C5"/>
    <w:rsid w:val="00635B80"/>
    <w:rsid w:val="00635CCB"/>
    <w:rsid w:val="00636689"/>
    <w:rsid w:val="00636848"/>
    <w:rsid w:val="00636BFD"/>
    <w:rsid w:val="00641A0A"/>
    <w:rsid w:val="00641EA1"/>
    <w:rsid w:val="006422C8"/>
    <w:rsid w:val="006428AC"/>
    <w:rsid w:val="006444F2"/>
    <w:rsid w:val="0064453C"/>
    <w:rsid w:val="006464B5"/>
    <w:rsid w:val="00646719"/>
    <w:rsid w:val="00646CA8"/>
    <w:rsid w:val="006471CB"/>
    <w:rsid w:val="00647841"/>
    <w:rsid w:val="00647A72"/>
    <w:rsid w:val="00650382"/>
    <w:rsid w:val="00650A0F"/>
    <w:rsid w:val="00650C9D"/>
    <w:rsid w:val="00650D0E"/>
    <w:rsid w:val="00650E26"/>
    <w:rsid w:val="0065112F"/>
    <w:rsid w:val="00651595"/>
    <w:rsid w:val="00651750"/>
    <w:rsid w:val="0065269D"/>
    <w:rsid w:val="00652A11"/>
    <w:rsid w:val="00652CB9"/>
    <w:rsid w:val="0065342E"/>
    <w:rsid w:val="00654793"/>
    <w:rsid w:val="0065740C"/>
    <w:rsid w:val="006579F4"/>
    <w:rsid w:val="00660942"/>
    <w:rsid w:val="00660F30"/>
    <w:rsid w:val="00661207"/>
    <w:rsid w:val="006617E4"/>
    <w:rsid w:val="00662168"/>
    <w:rsid w:val="0066259F"/>
    <w:rsid w:val="00662657"/>
    <w:rsid w:val="00662866"/>
    <w:rsid w:val="00662B30"/>
    <w:rsid w:val="00662CEC"/>
    <w:rsid w:val="00664225"/>
    <w:rsid w:val="00664C2D"/>
    <w:rsid w:val="006650E3"/>
    <w:rsid w:val="006659A2"/>
    <w:rsid w:val="00665F2D"/>
    <w:rsid w:val="00666156"/>
    <w:rsid w:val="0066663D"/>
    <w:rsid w:val="0066748F"/>
    <w:rsid w:val="00670751"/>
    <w:rsid w:val="00670B34"/>
    <w:rsid w:val="00670C08"/>
    <w:rsid w:val="00672447"/>
    <w:rsid w:val="00672AB7"/>
    <w:rsid w:val="00672B8A"/>
    <w:rsid w:val="00672C61"/>
    <w:rsid w:val="00673103"/>
    <w:rsid w:val="00673784"/>
    <w:rsid w:val="00674A59"/>
    <w:rsid w:val="00674AF5"/>
    <w:rsid w:val="006754BE"/>
    <w:rsid w:val="006759A7"/>
    <w:rsid w:val="00675AF5"/>
    <w:rsid w:val="006765C7"/>
    <w:rsid w:val="00676CB3"/>
    <w:rsid w:val="00676CE5"/>
    <w:rsid w:val="00676E0F"/>
    <w:rsid w:val="00677378"/>
    <w:rsid w:val="006778D7"/>
    <w:rsid w:val="00677A23"/>
    <w:rsid w:val="00677AA3"/>
    <w:rsid w:val="00677BC4"/>
    <w:rsid w:val="00680E8F"/>
    <w:rsid w:val="00681171"/>
    <w:rsid w:val="0068147D"/>
    <w:rsid w:val="00681AA5"/>
    <w:rsid w:val="00681F74"/>
    <w:rsid w:val="00682547"/>
    <w:rsid w:val="00684D32"/>
    <w:rsid w:val="00684FB8"/>
    <w:rsid w:val="00685063"/>
    <w:rsid w:val="006852A6"/>
    <w:rsid w:val="006858E7"/>
    <w:rsid w:val="00686378"/>
    <w:rsid w:val="00686383"/>
    <w:rsid w:val="00686893"/>
    <w:rsid w:val="00686B93"/>
    <w:rsid w:val="00687624"/>
    <w:rsid w:val="00687DB9"/>
    <w:rsid w:val="00691ACB"/>
    <w:rsid w:val="0069375E"/>
    <w:rsid w:val="00693D0B"/>
    <w:rsid w:val="006940F8"/>
    <w:rsid w:val="006944E9"/>
    <w:rsid w:val="00694AAD"/>
    <w:rsid w:val="00694B8F"/>
    <w:rsid w:val="0069519C"/>
    <w:rsid w:val="0069546B"/>
    <w:rsid w:val="00695891"/>
    <w:rsid w:val="006A0EA2"/>
    <w:rsid w:val="006A18EB"/>
    <w:rsid w:val="006A19C0"/>
    <w:rsid w:val="006A1BB0"/>
    <w:rsid w:val="006A1C19"/>
    <w:rsid w:val="006A34A5"/>
    <w:rsid w:val="006A440D"/>
    <w:rsid w:val="006A45B1"/>
    <w:rsid w:val="006A4737"/>
    <w:rsid w:val="006A636F"/>
    <w:rsid w:val="006A6538"/>
    <w:rsid w:val="006A6BB3"/>
    <w:rsid w:val="006A7604"/>
    <w:rsid w:val="006A7E5B"/>
    <w:rsid w:val="006B03E3"/>
    <w:rsid w:val="006B13EA"/>
    <w:rsid w:val="006B1F57"/>
    <w:rsid w:val="006B2DF5"/>
    <w:rsid w:val="006B38DC"/>
    <w:rsid w:val="006B3C0B"/>
    <w:rsid w:val="006B3DE1"/>
    <w:rsid w:val="006B5983"/>
    <w:rsid w:val="006B5B9F"/>
    <w:rsid w:val="006B5FEB"/>
    <w:rsid w:val="006B637F"/>
    <w:rsid w:val="006B7573"/>
    <w:rsid w:val="006B7D28"/>
    <w:rsid w:val="006C0388"/>
    <w:rsid w:val="006C0642"/>
    <w:rsid w:val="006C106A"/>
    <w:rsid w:val="006C1571"/>
    <w:rsid w:val="006C1786"/>
    <w:rsid w:val="006C20EF"/>
    <w:rsid w:val="006C22A4"/>
    <w:rsid w:val="006C2DD2"/>
    <w:rsid w:val="006C3423"/>
    <w:rsid w:val="006C3579"/>
    <w:rsid w:val="006C4A12"/>
    <w:rsid w:val="006C51CD"/>
    <w:rsid w:val="006C58F1"/>
    <w:rsid w:val="006C5A18"/>
    <w:rsid w:val="006C5C70"/>
    <w:rsid w:val="006C6138"/>
    <w:rsid w:val="006C6267"/>
    <w:rsid w:val="006C648D"/>
    <w:rsid w:val="006D0407"/>
    <w:rsid w:val="006D1F33"/>
    <w:rsid w:val="006D2671"/>
    <w:rsid w:val="006D36CA"/>
    <w:rsid w:val="006D3940"/>
    <w:rsid w:val="006D43EE"/>
    <w:rsid w:val="006D5A71"/>
    <w:rsid w:val="006D5EE5"/>
    <w:rsid w:val="006D714C"/>
    <w:rsid w:val="006E0F3C"/>
    <w:rsid w:val="006E1318"/>
    <w:rsid w:val="006E21B5"/>
    <w:rsid w:val="006E3DAD"/>
    <w:rsid w:val="006E3F5F"/>
    <w:rsid w:val="006E4926"/>
    <w:rsid w:val="006E4D02"/>
    <w:rsid w:val="006E5446"/>
    <w:rsid w:val="006E5A2F"/>
    <w:rsid w:val="006E6543"/>
    <w:rsid w:val="006E67C9"/>
    <w:rsid w:val="006E6ACF"/>
    <w:rsid w:val="006E6D3B"/>
    <w:rsid w:val="006E71CA"/>
    <w:rsid w:val="006E751E"/>
    <w:rsid w:val="006E7549"/>
    <w:rsid w:val="006F0F1C"/>
    <w:rsid w:val="006F1353"/>
    <w:rsid w:val="006F1CBF"/>
    <w:rsid w:val="006F2AC0"/>
    <w:rsid w:val="006F31EC"/>
    <w:rsid w:val="006F36C1"/>
    <w:rsid w:val="006F4374"/>
    <w:rsid w:val="006F4727"/>
    <w:rsid w:val="006F4DF4"/>
    <w:rsid w:val="006F4F0A"/>
    <w:rsid w:val="006F6368"/>
    <w:rsid w:val="006F63F5"/>
    <w:rsid w:val="006F6AC2"/>
    <w:rsid w:val="006F6F25"/>
    <w:rsid w:val="006F7CB0"/>
    <w:rsid w:val="0070000B"/>
    <w:rsid w:val="007007ED"/>
    <w:rsid w:val="00700FAC"/>
    <w:rsid w:val="00701A25"/>
    <w:rsid w:val="00701D81"/>
    <w:rsid w:val="00701F72"/>
    <w:rsid w:val="00702330"/>
    <w:rsid w:val="007029F2"/>
    <w:rsid w:val="0070310A"/>
    <w:rsid w:val="0070343E"/>
    <w:rsid w:val="00703444"/>
    <w:rsid w:val="00703504"/>
    <w:rsid w:val="00703DF7"/>
    <w:rsid w:val="00704699"/>
    <w:rsid w:val="007060BE"/>
    <w:rsid w:val="00706CF9"/>
    <w:rsid w:val="00706FEE"/>
    <w:rsid w:val="00707692"/>
    <w:rsid w:val="00710067"/>
    <w:rsid w:val="00710A9E"/>
    <w:rsid w:val="00710DA8"/>
    <w:rsid w:val="00710F78"/>
    <w:rsid w:val="00711AA6"/>
    <w:rsid w:val="00711C55"/>
    <w:rsid w:val="00711D22"/>
    <w:rsid w:val="00712008"/>
    <w:rsid w:val="007134A1"/>
    <w:rsid w:val="00714A22"/>
    <w:rsid w:val="00714FF5"/>
    <w:rsid w:val="007150C1"/>
    <w:rsid w:val="00715206"/>
    <w:rsid w:val="00720891"/>
    <w:rsid w:val="007211CF"/>
    <w:rsid w:val="00721548"/>
    <w:rsid w:val="0072156D"/>
    <w:rsid w:val="00724C58"/>
    <w:rsid w:val="00725706"/>
    <w:rsid w:val="00725D17"/>
    <w:rsid w:val="00730BD2"/>
    <w:rsid w:val="00730D4E"/>
    <w:rsid w:val="007314C6"/>
    <w:rsid w:val="00732505"/>
    <w:rsid w:val="00732673"/>
    <w:rsid w:val="00732F4B"/>
    <w:rsid w:val="00735F3F"/>
    <w:rsid w:val="0073625A"/>
    <w:rsid w:val="007371C1"/>
    <w:rsid w:val="00740CD3"/>
    <w:rsid w:val="00741273"/>
    <w:rsid w:val="00741807"/>
    <w:rsid w:val="00741965"/>
    <w:rsid w:val="00742165"/>
    <w:rsid w:val="0074289D"/>
    <w:rsid w:val="00743A0D"/>
    <w:rsid w:val="00744284"/>
    <w:rsid w:val="00744A59"/>
    <w:rsid w:val="00745F58"/>
    <w:rsid w:val="00746F46"/>
    <w:rsid w:val="0074703B"/>
    <w:rsid w:val="0075009A"/>
    <w:rsid w:val="00750FE2"/>
    <w:rsid w:val="0075148C"/>
    <w:rsid w:val="00751D65"/>
    <w:rsid w:val="00752BA8"/>
    <w:rsid w:val="007539A1"/>
    <w:rsid w:val="007540BF"/>
    <w:rsid w:val="00754E2E"/>
    <w:rsid w:val="007567B3"/>
    <w:rsid w:val="00756CE4"/>
    <w:rsid w:val="00757FBA"/>
    <w:rsid w:val="007603D5"/>
    <w:rsid w:val="00760B0B"/>
    <w:rsid w:val="00762729"/>
    <w:rsid w:val="007630D7"/>
    <w:rsid w:val="007632AC"/>
    <w:rsid w:val="007637A8"/>
    <w:rsid w:val="00763DD8"/>
    <w:rsid w:val="00764704"/>
    <w:rsid w:val="00765B11"/>
    <w:rsid w:val="00765B58"/>
    <w:rsid w:val="00765F11"/>
    <w:rsid w:val="007672BE"/>
    <w:rsid w:val="00767545"/>
    <w:rsid w:val="00770212"/>
    <w:rsid w:val="0077068C"/>
    <w:rsid w:val="00770DCB"/>
    <w:rsid w:val="00771205"/>
    <w:rsid w:val="0077125D"/>
    <w:rsid w:val="007719A8"/>
    <w:rsid w:val="00771F3D"/>
    <w:rsid w:val="007721AD"/>
    <w:rsid w:val="0077249E"/>
    <w:rsid w:val="00774599"/>
    <w:rsid w:val="00774F27"/>
    <w:rsid w:val="00775485"/>
    <w:rsid w:val="00776B4F"/>
    <w:rsid w:val="00777261"/>
    <w:rsid w:val="007804A9"/>
    <w:rsid w:val="00780C33"/>
    <w:rsid w:val="00781305"/>
    <w:rsid w:val="007818DC"/>
    <w:rsid w:val="00781D2F"/>
    <w:rsid w:val="00782190"/>
    <w:rsid w:val="00782E8A"/>
    <w:rsid w:val="0078315A"/>
    <w:rsid w:val="00783532"/>
    <w:rsid w:val="00784473"/>
    <w:rsid w:val="007846B5"/>
    <w:rsid w:val="00784C01"/>
    <w:rsid w:val="00784E56"/>
    <w:rsid w:val="00785065"/>
    <w:rsid w:val="00786182"/>
    <w:rsid w:val="00791449"/>
    <w:rsid w:val="00791880"/>
    <w:rsid w:val="0079196A"/>
    <w:rsid w:val="00791B71"/>
    <w:rsid w:val="0079261E"/>
    <w:rsid w:val="00793408"/>
    <w:rsid w:val="00793CEE"/>
    <w:rsid w:val="00793EF1"/>
    <w:rsid w:val="00794D73"/>
    <w:rsid w:val="007950C9"/>
    <w:rsid w:val="007956DF"/>
    <w:rsid w:val="00795D76"/>
    <w:rsid w:val="00796112"/>
    <w:rsid w:val="00796B6E"/>
    <w:rsid w:val="00797565"/>
    <w:rsid w:val="00797860"/>
    <w:rsid w:val="00797CD9"/>
    <w:rsid w:val="007A1560"/>
    <w:rsid w:val="007A185C"/>
    <w:rsid w:val="007A2E41"/>
    <w:rsid w:val="007A3ABD"/>
    <w:rsid w:val="007A3FE7"/>
    <w:rsid w:val="007A40F3"/>
    <w:rsid w:val="007A4B0D"/>
    <w:rsid w:val="007A4FAB"/>
    <w:rsid w:val="007A5550"/>
    <w:rsid w:val="007A5877"/>
    <w:rsid w:val="007A62DB"/>
    <w:rsid w:val="007A7437"/>
    <w:rsid w:val="007B0484"/>
    <w:rsid w:val="007B06EA"/>
    <w:rsid w:val="007B0D00"/>
    <w:rsid w:val="007B14DD"/>
    <w:rsid w:val="007B2C44"/>
    <w:rsid w:val="007B2CAB"/>
    <w:rsid w:val="007B3366"/>
    <w:rsid w:val="007B3564"/>
    <w:rsid w:val="007B42E0"/>
    <w:rsid w:val="007B4AE2"/>
    <w:rsid w:val="007B5077"/>
    <w:rsid w:val="007B553A"/>
    <w:rsid w:val="007B5AEF"/>
    <w:rsid w:val="007B621C"/>
    <w:rsid w:val="007B6A6F"/>
    <w:rsid w:val="007C01C2"/>
    <w:rsid w:val="007C1042"/>
    <w:rsid w:val="007C1240"/>
    <w:rsid w:val="007C1A5A"/>
    <w:rsid w:val="007C221E"/>
    <w:rsid w:val="007C227D"/>
    <w:rsid w:val="007C2356"/>
    <w:rsid w:val="007C28D2"/>
    <w:rsid w:val="007C29A0"/>
    <w:rsid w:val="007C304B"/>
    <w:rsid w:val="007C3FAB"/>
    <w:rsid w:val="007C43F9"/>
    <w:rsid w:val="007C4DCC"/>
    <w:rsid w:val="007C53C4"/>
    <w:rsid w:val="007C709C"/>
    <w:rsid w:val="007C74BD"/>
    <w:rsid w:val="007C74EE"/>
    <w:rsid w:val="007C76D8"/>
    <w:rsid w:val="007D002E"/>
    <w:rsid w:val="007D048D"/>
    <w:rsid w:val="007D0796"/>
    <w:rsid w:val="007D0D6A"/>
    <w:rsid w:val="007D17EF"/>
    <w:rsid w:val="007D1A75"/>
    <w:rsid w:val="007D1C43"/>
    <w:rsid w:val="007D2F00"/>
    <w:rsid w:val="007D3298"/>
    <w:rsid w:val="007D4ADB"/>
    <w:rsid w:val="007D4EE3"/>
    <w:rsid w:val="007D50AC"/>
    <w:rsid w:val="007D55E1"/>
    <w:rsid w:val="007D5D57"/>
    <w:rsid w:val="007D65FA"/>
    <w:rsid w:val="007D7A0D"/>
    <w:rsid w:val="007D7CD4"/>
    <w:rsid w:val="007E0189"/>
    <w:rsid w:val="007E02B7"/>
    <w:rsid w:val="007E0630"/>
    <w:rsid w:val="007E141B"/>
    <w:rsid w:val="007E2495"/>
    <w:rsid w:val="007E29B2"/>
    <w:rsid w:val="007E3104"/>
    <w:rsid w:val="007E353B"/>
    <w:rsid w:val="007E3A71"/>
    <w:rsid w:val="007E4B2F"/>
    <w:rsid w:val="007E4B8C"/>
    <w:rsid w:val="007E4D4B"/>
    <w:rsid w:val="007E4EF9"/>
    <w:rsid w:val="007E5B88"/>
    <w:rsid w:val="007E5E3C"/>
    <w:rsid w:val="007E5E91"/>
    <w:rsid w:val="007E6CC4"/>
    <w:rsid w:val="007E704A"/>
    <w:rsid w:val="007F01BD"/>
    <w:rsid w:val="007F0D0B"/>
    <w:rsid w:val="007F1060"/>
    <w:rsid w:val="007F119B"/>
    <w:rsid w:val="007F242A"/>
    <w:rsid w:val="007F2859"/>
    <w:rsid w:val="007F29A2"/>
    <w:rsid w:val="007F3C1F"/>
    <w:rsid w:val="007F3C99"/>
    <w:rsid w:val="007F46C7"/>
    <w:rsid w:val="007F486F"/>
    <w:rsid w:val="007F5728"/>
    <w:rsid w:val="007F6A01"/>
    <w:rsid w:val="007F6F42"/>
    <w:rsid w:val="00800059"/>
    <w:rsid w:val="008007A8"/>
    <w:rsid w:val="008011B9"/>
    <w:rsid w:val="0080193C"/>
    <w:rsid w:val="00802917"/>
    <w:rsid w:val="00803F85"/>
    <w:rsid w:val="008042D9"/>
    <w:rsid w:val="00804F4A"/>
    <w:rsid w:val="00805D6C"/>
    <w:rsid w:val="00805EE2"/>
    <w:rsid w:val="008070CD"/>
    <w:rsid w:val="008074A9"/>
    <w:rsid w:val="00807C4F"/>
    <w:rsid w:val="00807E39"/>
    <w:rsid w:val="00810144"/>
    <w:rsid w:val="0081194B"/>
    <w:rsid w:val="0081233E"/>
    <w:rsid w:val="00812635"/>
    <w:rsid w:val="00812A74"/>
    <w:rsid w:val="00812EC3"/>
    <w:rsid w:val="00813305"/>
    <w:rsid w:val="008142B7"/>
    <w:rsid w:val="00814FC0"/>
    <w:rsid w:val="008157E7"/>
    <w:rsid w:val="00816AB2"/>
    <w:rsid w:val="00817A7D"/>
    <w:rsid w:val="00817C73"/>
    <w:rsid w:val="008206B5"/>
    <w:rsid w:val="00821E2B"/>
    <w:rsid w:val="00822555"/>
    <w:rsid w:val="008225A5"/>
    <w:rsid w:val="00822906"/>
    <w:rsid w:val="00822D6C"/>
    <w:rsid w:val="00823005"/>
    <w:rsid w:val="00823857"/>
    <w:rsid w:val="00823E89"/>
    <w:rsid w:val="0082408F"/>
    <w:rsid w:val="00824540"/>
    <w:rsid w:val="00825068"/>
    <w:rsid w:val="00825235"/>
    <w:rsid w:val="00825358"/>
    <w:rsid w:val="00826008"/>
    <w:rsid w:val="0082652E"/>
    <w:rsid w:val="0082662B"/>
    <w:rsid w:val="00826B69"/>
    <w:rsid w:val="00826E01"/>
    <w:rsid w:val="008304E5"/>
    <w:rsid w:val="00830F3B"/>
    <w:rsid w:val="00832129"/>
    <w:rsid w:val="008329F1"/>
    <w:rsid w:val="00833502"/>
    <w:rsid w:val="00833F48"/>
    <w:rsid w:val="0083428F"/>
    <w:rsid w:val="00835219"/>
    <w:rsid w:val="00836986"/>
    <w:rsid w:val="00836CA7"/>
    <w:rsid w:val="008372D5"/>
    <w:rsid w:val="00837C0E"/>
    <w:rsid w:val="0084000B"/>
    <w:rsid w:val="00841F63"/>
    <w:rsid w:val="00842897"/>
    <w:rsid w:val="00842CB8"/>
    <w:rsid w:val="00843322"/>
    <w:rsid w:val="00844811"/>
    <w:rsid w:val="008449B9"/>
    <w:rsid w:val="00845005"/>
    <w:rsid w:val="00845E16"/>
    <w:rsid w:val="008461B7"/>
    <w:rsid w:val="00846298"/>
    <w:rsid w:val="00846636"/>
    <w:rsid w:val="00847191"/>
    <w:rsid w:val="00847946"/>
    <w:rsid w:val="0085075D"/>
    <w:rsid w:val="00851D98"/>
    <w:rsid w:val="00852192"/>
    <w:rsid w:val="00852892"/>
    <w:rsid w:val="00852EA4"/>
    <w:rsid w:val="0085326E"/>
    <w:rsid w:val="008535C3"/>
    <w:rsid w:val="00854354"/>
    <w:rsid w:val="008565E7"/>
    <w:rsid w:val="00856A45"/>
    <w:rsid w:val="00856EB8"/>
    <w:rsid w:val="00857E72"/>
    <w:rsid w:val="008600DF"/>
    <w:rsid w:val="008602AA"/>
    <w:rsid w:val="0086095F"/>
    <w:rsid w:val="00860C83"/>
    <w:rsid w:val="00860CC6"/>
    <w:rsid w:val="00861274"/>
    <w:rsid w:val="008612C4"/>
    <w:rsid w:val="0086208F"/>
    <w:rsid w:val="0086254F"/>
    <w:rsid w:val="0086270E"/>
    <w:rsid w:val="00863F13"/>
    <w:rsid w:val="008671E4"/>
    <w:rsid w:val="008701CA"/>
    <w:rsid w:val="00870902"/>
    <w:rsid w:val="008724DE"/>
    <w:rsid w:val="00872515"/>
    <w:rsid w:val="00872EF3"/>
    <w:rsid w:val="008737A8"/>
    <w:rsid w:val="008740CB"/>
    <w:rsid w:val="0087433F"/>
    <w:rsid w:val="008744A2"/>
    <w:rsid w:val="008745AA"/>
    <w:rsid w:val="008747B9"/>
    <w:rsid w:val="00874D36"/>
    <w:rsid w:val="008758D9"/>
    <w:rsid w:val="00875C06"/>
    <w:rsid w:val="008760AC"/>
    <w:rsid w:val="008761D1"/>
    <w:rsid w:val="00877151"/>
    <w:rsid w:val="00877376"/>
    <w:rsid w:val="00877412"/>
    <w:rsid w:val="00877E3B"/>
    <w:rsid w:val="0088024A"/>
    <w:rsid w:val="00880CB3"/>
    <w:rsid w:val="00880F67"/>
    <w:rsid w:val="00882B0A"/>
    <w:rsid w:val="0088349B"/>
    <w:rsid w:val="0088354F"/>
    <w:rsid w:val="0088376C"/>
    <w:rsid w:val="0088406F"/>
    <w:rsid w:val="0088446C"/>
    <w:rsid w:val="00884CD7"/>
    <w:rsid w:val="008864B8"/>
    <w:rsid w:val="00886905"/>
    <w:rsid w:val="00887029"/>
    <w:rsid w:val="008904B1"/>
    <w:rsid w:val="00891259"/>
    <w:rsid w:val="00891840"/>
    <w:rsid w:val="0089319D"/>
    <w:rsid w:val="008934DF"/>
    <w:rsid w:val="00894565"/>
    <w:rsid w:val="008949DF"/>
    <w:rsid w:val="00894C1C"/>
    <w:rsid w:val="008953AD"/>
    <w:rsid w:val="00895AA9"/>
    <w:rsid w:val="00896308"/>
    <w:rsid w:val="00896F4D"/>
    <w:rsid w:val="0089773A"/>
    <w:rsid w:val="008A0402"/>
    <w:rsid w:val="008A056B"/>
    <w:rsid w:val="008A0834"/>
    <w:rsid w:val="008A0CB0"/>
    <w:rsid w:val="008A1BDD"/>
    <w:rsid w:val="008A2661"/>
    <w:rsid w:val="008A27D0"/>
    <w:rsid w:val="008A3055"/>
    <w:rsid w:val="008A328E"/>
    <w:rsid w:val="008A3D57"/>
    <w:rsid w:val="008A3F85"/>
    <w:rsid w:val="008A586B"/>
    <w:rsid w:val="008A5C1E"/>
    <w:rsid w:val="008A6035"/>
    <w:rsid w:val="008A634D"/>
    <w:rsid w:val="008A6715"/>
    <w:rsid w:val="008A6809"/>
    <w:rsid w:val="008A6ABC"/>
    <w:rsid w:val="008A7462"/>
    <w:rsid w:val="008A7966"/>
    <w:rsid w:val="008B07F1"/>
    <w:rsid w:val="008B11FD"/>
    <w:rsid w:val="008B1DB6"/>
    <w:rsid w:val="008B23BC"/>
    <w:rsid w:val="008B270F"/>
    <w:rsid w:val="008B3291"/>
    <w:rsid w:val="008B3899"/>
    <w:rsid w:val="008B3EFB"/>
    <w:rsid w:val="008B4768"/>
    <w:rsid w:val="008B639A"/>
    <w:rsid w:val="008B6E23"/>
    <w:rsid w:val="008B6FB6"/>
    <w:rsid w:val="008C1CDC"/>
    <w:rsid w:val="008C29F4"/>
    <w:rsid w:val="008C3A0A"/>
    <w:rsid w:val="008C6035"/>
    <w:rsid w:val="008C670A"/>
    <w:rsid w:val="008C6BC3"/>
    <w:rsid w:val="008C7381"/>
    <w:rsid w:val="008C7EB7"/>
    <w:rsid w:val="008D0376"/>
    <w:rsid w:val="008D0A8A"/>
    <w:rsid w:val="008D138D"/>
    <w:rsid w:val="008D139B"/>
    <w:rsid w:val="008D26E8"/>
    <w:rsid w:val="008D2EF1"/>
    <w:rsid w:val="008D394C"/>
    <w:rsid w:val="008D3ACE"/>
    <w:rsid w:val="008D4007"/>
    <w:rsid w:val="008D461F"/>
    <w:rsid w:val="008D51D9"/>
    <w:rsid w:val="008D5C10"/>
    <w:rsid w:val="008D6636"/>
    <w:rsid w:val="008D6E71"/>
    <w:rsid w:val="008D6FEB"/>
    <w:rsid w:val="008D7B49"/>
    <w:rsid w:val="008D7BF5"/>
    <w:rsid w:val="008D7FFB"/>
    <w:rsid w:val="008E0223"/>
    <w:rsid w:val="008E0E6D"/>
    <w:rsid w:val="008E1BC0"/>
    <w:rsid w:val="008E235E"/>
    <w:rsid w:val="008E328C"/>
    <w:rsid w:val="008E3D60"/>
    <w:rsid w:val="008E3EE5"/>
    <w:rsid w:val="008E3F4C"/>
    <w:rsid w:val="008E4F26"/>
    <w:rsid w:val="008E549D"/>
    <w:rsid w:val="008E5891"/>
    <w:rsid w:val="008E5B82"/>
    <w:rsid w:val="008E62E2"/>
    <w:rsid w:val="008E71BE"/>
    <w:rsid w:val="008E7692"/>
    <w:rsid w:val="008E784F"/>
    <w:rsid w:val="008F062E"/>
    <w:rsid w:val="008F0719"/>
    <w:rsid w:val="008F1082"/>
    <w:rsid w:val="008F15DA"/>
    <w:rsid w:val="008F2703"/>
    <w:rsid w:val="008F304A"/>
    <w:rsid w:val="008F3079"/>
    <w:rsid w:val="008F3744"/>
    <w:rsid w:val="008F396C"/>
    <w:rsid w:val="008F3E08"/>
    <w:rsid w:val="008F42E8"/>
    <w:rsid w:val="008F44FD"/>
    <w:rsid w:val="008F65DC"/>
    <w:rsid w:val="008F6818"/>
    <w:rsid w:val="008F6A78"/>
    <w:rsid w:val="008F6B50"/>
    <w:rsid w:val="008F7D1B"/>
    <w:rsid w:val="008F7EBD"/>
    <w:rsid w:val="00900AA6"/>
    <w:rsid w:val="00900D55"/>
    <w:rsid w:val="0090165F"/>
    <w:rsid w:val="00901B82"/>
    <w:rsid w:val="00901DB0"/>
    <w:rsid w:val="00902C05"/>
    <w:rsid w:val="00905FA4"/>
    <w:rsid w:val="00906EAB"/>
    <w:rsid w:val="0090787E"/>
    <w:rsid w:val="00907CF7"/>
    <w:rsid w:val="00910BAB"/>
    <w:rsid w:val="009123A6"/>
    <w:rsid w:val="0091282D"/>
    <w:rsid w:val="00912B09"/>
    <w:rsid w:val="00912E6C"/>
    <w:rsid w:val="00913004"/>
    <w:rsid w:val="0091389B"/>
    <w:rsid w:val="00913EF3"/>
    <w:rsid w:val="0091442F"/>
    <w:rsid w:val="00914BED"/>
    <w:rsid w:val="0091538A"/>
    <w:rsid w:val="009155DA"/>
    <w:rsid w:val="009169F1"/>
    <w:rsid w:val="00916C0D"/>
    <w:rsid w:val="00917766"/>
    <w:rsid w:val="009177D6"/>
    <w:rsid w:val="00917A95"/>
    <w:rsid w:val="00917DE8"/>
    <w:rsid w:val="00920493"/>
    <w:rsid w:val="00920544"/>
    <w:rsid w:val="0092210D"/>
    <w:rsid w:val="009223B8"/>
    <w:rsid w:val="009223EA"/>
    <w:rsid w:val="00922CDF"/>
    <w:rsid w:val="00922EBD"/>
    <w:rsid w:val="0092360A"/>
    <w:rsid w:val="00923FE1"/>
    <w:rsid w:val="0092495A"/>
    <w:rsid w:val="00924A8D"/>
    <w:rsid w:val="00925135"/>
    <w:rsid w:val="00925ACB"/>
    <w:rsid w:val="0092742B"/>
    <w:rsid w:val="009300D8"/>
    <w:rsid w:val="009304BA"/>
    <w:rsid w:val="00930761"/>
    <w:rsid w:val="00931169"/>
    <w:rsid w:val="009318B5"/>
    <w:rsid w:val="00932F9E"/>
    <w:rsid w:val="00932FCC"/>
    <w:rsid w:val="009332D2"/>
    <w:rsid w:val="009333AA"/>
    <w:rsid w:val="00933F87"/>
    <w:rsid w:val="00934BAA"/>
    <w:rsid w:val="009364B5"/>
    <w:rsid w:val="009367DE"/>
    <w:rsid w:val="009406A3"/>
    <w:rsid w:val="009408BC"/>
    <w:rsid w:val="00942A26"/>
    <w:rsid w:val="009432CF"/>
    <w:rsid w:val="0094362A"/>
    <w:rsid w:val="00943AB6"/>
    <w:rsid w:val="00943CBF"/>
    <w:rsid w:val="00943E9E"/>
    <w:rsid w:val="0094553D"/>
    <w:rsid w:val="009457FA"/>
    <w:rsid w:val="0094643C"/>
    <w:rsid w:val="009465BD"/>
    <w:rsid w:val="00946733"/>
    <w:rsid w:val="00946F5F"/>
    <w:rsid w:val="00947184"/>
    <w:rsid w:val="00947F79"/>
    <w:rsid w:val="00950802"/>
    <w:rsid w:val="00950F0D"/>
    <w:rsid w:val="00951039"/>
    <w:rsid w:val="00951C4C"/>
    <w:rsid w:val="009529D7"/>
    <w:rsid w:val="00952EDB"/>
    <w:rsid w:val="00954C01"/>
    <w:rsid w:val="009550B2"/>
    <w:rsid w:val="0095521E"/>
    <w:rsid w:val="0095523A"/>
    <w:rsid w:val="0095553D"/>
    <w:rsid w:val="00955879"/>
    <w:rsid w:val="00955999"/>
    <w:rsid w:val="00956807"/>
    <w:rsid w:val="0095791D"/>
    <w:rsid w:val="00957C6A"/>
    <w:rsid w:val="00960478"/>
    <w:rsid w:val="00961014"/>
    <w:rsid w:val="00961D3E"/>
    <w:rsid w:val="00962929"/>
    <w:rsid w:val="009629B8"/>
    <w:rsid w:val="00962F00"/>
    <w:rsid w:val="009631EB"/>
    <w:rsid w:val="0096385E"/>
    <w:rsid w:val="009645BD"/>
    <w:rsid w:val="00964683"/>
    <w:rsid w:val="009650CD"/>
    <w:rsid w:val="00965682"/>
    <w:rsid w:val="009661D4"/>
    <w:rsid w:val="00966C2F"/>
    <w:rsid w:val="009671E1"/>
    <w:rsid w:val="0096742A"/>
    <w:rsid w:val="0096749F"/>
    <w:rsid w:val="0096760B"/>
    <w:rsid w:val="00967AEA"/>
    <w:rsid w:val="009704BE"/>
    <w:rsid w:val="00970665"/>
    <w:rsid w:val="00971975"/>
    <w:rsid w:val="00972A87"/>
    <w:rsid w:val="00972E05"/>
    <w:rsid w:val="009739E9"/>
    <w:rsid w:val="00974640"/>
    <w:rsid w:val="00974D00"/>
    <w:rsid w:val="00974F73"/>
    <w:rsid w:val="0097512B"/>
    <w:rsid w:val="00975C0A"/>
    <w:rsid w:val="00976301"/>
    <w:rsid w:val="00976E46"/>
    <w:rsid w:val="00977C43"/>
    <w:rsid w:val="00977CE0"/>
    <w:rsid w:val="00981392"/>
    <w:rsid w:val="00981A4A"/>
    <w:rsid w:val="00981A65"/>
    <w:rsid w:val="009823BF"/>
    <w:rsid w:val="00982404"/>
    <w:rsid w:val="00982751"/>
    <w:rsid w:val="00982FF1"/>
    <w:rsid w:val="00983017"/>
    <w:rsid w:val="00984267"/>
    <w:rsid w:val="009845AA"/>
    <w:rsid w:val="0098498F"/>
    <w:rsid w:val="00984A13"/>
    <w:rsid w:val="0098508E"/>
    <w:rsid w:val="009858C3"/>
    <w:rsid w:val="00986077"/>
    <w:rsid w:val="0099020C"/>
    <w:rsid w:val="00990C74"/>
    <w:rsid w:val="009914A8"/>
    <w:rsid w:val="009923C2"/>
    <w:rsid w:val="00993020"/>
    <w:rsid w:val="009942B0"/>
    <w:rsid w:val="00994B9E"/>
    <w:rsid w:val="00995E7C"/>
    <w:rsid w:val="0099663B"/>
    <w:rsid w:val="0099689F"/>
    <w:rsid w:val="00997ED3"/>
    <w:rsid w:val="009A1259"/>
    <w:rsid w:val="009A2AB5"/>
    <w:rsid w:val="009A30B3"/>
    <w:rsid w:val="009A331D"/>
    <w:rsid w:val="009A4927"/>
    <w:rsid w:val="009A53B8"/>
    <w:rsid w:val="009A5D8D"/>
    <w:rsid w:val="009A6132"/>
    <w:rsid w:val="009A719A"/>
    <w:rsid w:val="009B1FDA"/>
    <w:rsid w:val="009B26DD"/>
    <w:rsid w:val="009B341B"/>
    <w:rsid w:val="009B476C"/>
    <w:rsid w:val="009B49A0"/>
    <w:rsid w:val="009B4B4C"/>
    <w:rsid w:val="009B6739"/>
    <w:rsid w:val="009B69B7"/>
    <w:rsid w:val="009B7C2F"/>
    <w:rsid w:val="009B7D87"/>
    <w:rsid w:val="009C0820"/>
    <w:rsid w:val="009C127F"/>
    <w:rsid w:val="009C18BB"/>
    <w:rsid w:val="009C1D4F"/>
    <w:rsid w:val="009C22FB"/>
    <w:rsid w:val="009C2A7D"/>
    <w:rsid w:val="009C3E0F"/>
    <w:rsid w:val="009C50BA"/>
    <w:rsid w:val="009C5A02"/>
    <w:rsid w:val="009C63B3"/>
    <w:rsid w:val="009C72BA"/>
    <w:rsid w:val="009C73FE"/>
    <w:rsid w:val="009C7CB8"/>
    <w:rsid w:val="009D06FB"/>
    <w:rsid w:val="009D0FA1"/>
    <w:rsid w:val="009D139D"/>
    <w:rsid w:val="009D1B64"/>
    <w:rsid w:val="009D1F99"/>
    <w:rsid w:val="009D216F"/>
    <w:rsid w:val="009D2A13"/>
    <w:rsid w:val="009D3996"/>
    <w:rsid w:val="009D3BEA"/>
    <w:rsid w:val="009D41C5"/>
    <w:rsid w:val="009D4E9F"/>
    <w:rsid w:val="009D551B"/>
    <w:rsid w:val="009D67F6"/>
    <w:rsid w:val="009D759F"/>
    <w:rsid w:val="009E036B"/>
    <w:rsid w:val="009E08BD"/>
    <w:rsid w:val="009E08D1"/>
    <w:rsid w:val="009E0FE1"/>
    <w:rsid w:val="009E4BD0"/>
    <w:rsid w:val="009E5E9E"/>
    <w:rsid w:val="009E6736"/>
    <w:rsid w:val="009E67F8"/>
    <w:rsid w:val="009E6882"/>
    <w:rsid w:val="009E79AE"/>
    <w:rsid w:val="009E7E03"/>
    <w:rsid w:val="009E7EA9"/>
    <w:rsid w:val="009E7F89"/>
    <w:rsid w:val="009F08E1"/>
    <w:rsid w:val="009F1CCC"/>
    <w:rsid w:val="009F2343"/>
    <w:rsid w:val="009F23A4"/>
    <w:rsid w:val="009F2764"/>
    <w:rsid w:val="009F2A8B"/>
    <w:rsid w:val="009F3D52"/>
    <w:rsid w:val="009F44E6"/>
    <w:rsid w:val="009F5ABF"/>
    <w:rsid w:val="009F67EB"/>
    <w:rsid w:val="009F74AF"/>
    <w:rsid w:val="009F7DAC"/>
    <w:rsid w:val="009F7E54"/>
    <w:rsid w:val="00A00756"/>
    <w:rsid w:val="00A014EF"/>
    <w:rsid w:val="00A01C93"/>
    <w:rsid w:val="00A0263B"/>
    <w:rsid w:val="00A02968"/>
    <w:rsid w:val="00A03E6D"/>
    <w:rsid w:val="00A0406E"/>
    <w:rsid w:val="00A045A2"/>
    <w:rsid w:val="00A061A7"/>
    <w:rsid w:val="00A06E51"/>
    <w:rsid w:val="00A073D7"/>
    <w:rsid w:val="00A07921"/>
    <w:rsid w:val="00A079C1"/>
    <w:rsid w:val="00A10482"/>
    <w:rsid w:val="00A11286"/>
    <w:rsid w:val="00A11307"/>
    <w:rsid w:val="00A11459"/>
    <w:rsid w:val="00A11A07"/>
    <w:rsid w:val="00A125E2"/>
    <w:rsid w:val="00A12D50"/>
    <w:rsid w:val="00A1378F"/>
    <w:rsid w:val="00A13A52"/>
    <w:rsid w:val="00A13AF3"/>
    <w:rsid w:val="00A14636"/>
    <w:rsid w:val="00A14C9A"/>
    <w:rsid w:val="00A15242"/>
    <w:rsid w:val="00A1719A"/>
    <w:rsid w:val="00A1768E"/>
    <w:rsid w:val="00A202A9"/>
    <w:rsid w:val="00A20B25"/>
    <w:rsid w:val="00A21388"/>
    <w:rsid w:val="00A21840"/>
    <w:rsid w:val="00A21A44"/>
    <w:rsid w:val="00A21AA4"/>
    <w:rsid w:val="00A21D6B"/>
    <w:rsid w:val="00A23529"/>
    <w:rsid w:val="00A23AA7"/>
    <w:rsid w:val="00A245ED"/>
    <w:rsid w:val="00A24ED5"/>
    <w:rsid w:val="00A25051"/>
    <w:rsid w:val="00A251F7"/>
    <w:rsid w:val="00A25463"/>
    <w:rsid w:val="00A25D10"/>
    <w:rsid w:val="00A25E3C"/>
    <w:rsid w:val="00A25F11"/>
    <w:rsid w:val="00A26493"/>
    <w:rsid w:val="00A26D52"/>
    <w:rsid w:val="00A2729E"/>
    <w:rsid w:val="00A273DD"/>
    <w:rsid w:val="00A27791"/>
    <w:rsid w:val="00A27A8F"/>
    <w:rsid w:val="00A27ABE"/>
    <w:rsid w:val="00A31C50"/>
    <w:rsid w:val="00A31F82"/>
    <w:rsid w:val="00A3222F"/>
    <w:rsid w:val="00A327B0"/>
    <w:rsid w:val="00A32B9D"/>
    <w:rsid w:val="00A33445"/>
    <w:rsid w:val="00A347EF"/>
    <w:rsid w:val="00A35274"/>
    <w:rsid w:val="00A355F9"/>
    <w:rsid w:val="00A3618F"/>
    <w:rsid w:val="00A36986"/>
    <w:rsid w:val="00A37CA1"/>
    <w:rsid w:val="00A37DB1"/>
    <w:rsid w:val="00A40BBA"/>
    <w:rsid w:val="00A41355"/>
    <w:rsid w:val="00A41CD5"/>
    <w:rsid w:val="00A41F49"/>
    <w:rsid w:val="00A42570"/>
    <w:rsid w:val="00A437B6"/>
    <w:rsid w:val="00A43B14"/>
    <w:rsid w:val="00A43B92"/>
    <w:rsid w:val="00A441EA"/>
    <w:rsid w:val="00A44794"/>
    <w:rsid w:val="00A4507F"/>
    <w:rsid w:val="00A4516F"/>
    <w:rsid w:val="00A45EEE"/>
    <w:rsid w:val="00A45FAD"/>
    <w:rsid w:val="00A46505"/>
    <w:rsid w:val="00A4709B"/>
    <w:rsid w:val="00A47837"/>
    <w:rsid w:val="00A501D4"/>
    <w:rsid w:val="00A506C8"/>
    <w:rsid w:val="00A50F9A"/>
    <w:rsid w:val="00A51127"/>
    <w:rsid w:val="00A51C4D"/>
    <w:rsid w:val="00A526B1"/>
    <w:rsid w:val="00A52B79"/>
    <w:rsid w:val="00A52F80"/>
    <w:rsid w:val="00A53625"/>
    <w:rsid w:val="00A54251"/>
    <w:rsid w:val="00A54530"/>
    <w:rsid w:val="00A54BC9"/>
    <w:rsid w:val="00A552D4"/>
    <w:rsid w:val="00A555B7"/>
    <w:rsid w:val="00A55D19"/>
    <w:rsid w:val="00A56493"/>
    <w:rsid w:val="00A56A29"/>
    <w:rsid w:val="00A56A42"/>
    <w:rsid w:val="00A56F1E"/>
    <w:rsid w:val="00A60E3A"/>
    <w:rsid w:val="00A61529"/>
    <w:rsid w:val="00A616D6"/>
    <w:rsid w:val="00A6179E"/>
    <w:rsid w:val="00A6228F"/>
    <w:rsid w:val="00A627CE"/>
    <w:rsid w:val="00A6294B"/>
    <w:rsid w:val="00A63F3F"/>
    <w:rsid w:val="00A64316"/>
    <w:rsid w:val="00A6445E"/>
    <w:rsid w:val="00A64CD4"/>
    <w:rsid w:val="00A6556B"/>
    <w:rsid w:val="00A656B6"/>
    <w:rsid w:val="00A65E2E"/>
    <w:rsid w:val="00A65FE6"/>
    <w:rsid w:val="00A66794"/>
    <w:rsid w:val="00A66AAB"/>
    <w:rsid w:val="00A66AEC"/>
    <w:rsid w:val="00A66CC3"/>
    <w:rsid w:val="00A6710E"/>
    <w:rsid w:val="00A67656"/>
    <w:rsid w:val="00A67845"/>
    <w:rsid w:val="00A702DD"/>
    <w:rsid w:val="00A709A8"/>
    <w:rsid w:val="00A711E2"/>
    <w:rsid w:val="00A71698"/>
    <w:rsid w:val="00A71795"/>
    <w:rsid w:val="00A71D74"/>
    <w:rsid w:val="00A739BA"/>
    <w:rsid w:val="00A74960"/>
    <w:rsid w:val="00A7540B"/>
    <w:rsid w:val="00A754EE"/>
    <w:rsid w:val="00A7615D"/>
    <w:rsid w:val="00A76E7B"/>
    <w:rsid w:val="00A76E8E"/>
    <w:rsid w:val="00A773E0"/>
    <w:rsid w:val="00A77918"/>
    <w:rsid w:val="00A804D9"/>
    <w:rsid w:val="00A80B72"/>
    <w:rsid w:val="00A80CF0"/>
    <w:rsid w:val="00A8114D"/>
    <w:rsid w:val="00A814AF"/>
    <w:rsid w:val="00A8168D"/>
    <w:rsid w:val="00A81A47"/>
    <w:rsid w:val="00A829EE"/>
    <w:rsid w:val="00A82F54"/>
    <w:rsid w:val="00A83310"/>
    <w:rsid w:val="00A843A8"/>
    <w:rsid w:val="00A843CF"/>
    <w:rsid w:val="00A84BBF"/>
    <w:rsid w:val="00A84E23"/>
    <w:rsid w:val="00A8562A"/>
    <w:rsid w:val="00A8573B"/>
    <w:rsid w:val="00A8637B"/>
    <w:rsid w:val="00A8771A"/>
    <w:rsid w:val="00A87E47"/>
    <w:rsid w:val="00A9228E"/>
    <w:rsid w:val="00A92915"/>
    <w:rsid w:val="00A92C4D"/>
    <w:rsid w:val="00A92F92"/>
    <w:rsid w:val="00A94834"/>
    <w:rsid w:val="00A94BB8"/>
    <w:rsid w:val="00A94F84"/>
    <w:rsid w:val="00A9530C"/>
    <w:rsid w:val="00A95445"/>
    <w:rsid w:val="00A960CA"/>
    <w:rsid w:val="00A96892"/>
    <w:rsid w:val="00A97CD9"/>
    <w:rsid w:val="00AA0231"/>
    <w:rsid w:val="00AA08DD"/>
    <w:rsid w:val="00AA09A9"/>
    <w:rsid w:val="00AA10E6"/>
    <w:rsid w:val="00AA191D"/>
    <w:rsid w:val="00AA1BED"/>
    <w:rsid w:val="00AA2051"/>
    <w:rsid w:val="00AA2096"/>
    <w:rsid w:val="00AA23F3"/>
    <w:rsid w:val="00AA263A"/>
    <w:rsid w:val="00AA2D37"/>
    <w:rsid w:val="00AA3B4E"/>
    <w:rsid w:val="00AA5167"/>
    <w:rsid w:val="00AA54F2"/>
    <w:rsid w:val="00AA5597"/>
    <w:rsid w:val="00AA5734"/>
    <w:rsid w:val="00AA5DA4"/>
    <w:rsid w:val="00AA641F"/>
    <w:rsid w:val="00AA673D"/>
    <w:rsid w:val="00AA6DD7"/>
    <w:rsid w:val="00AA70C4"/>
    <w:rsid w:val="00AA72A8"/>
    <w:rsid w:val="00AB0D95"/>
    <w:rsid w:val="00AB1386"/>
    <w:rsid w:val="00AB1903"/>
    <w:rsid w:val="00AB25B4"/>
    <w:rsid w:val="00AB25C8"/>
    <w:rsid w:val="00AB2CC4"/>
    <w:rsid w:val="00AB2E3D"/>
    <w:rsid w:val="00AB3465"/>
    <w:rsid w:val="00AB3DAA"/>
    <w:rsid w:val="00AB4564"/>
    <w:rsid w:val="00AB45F1"/>
    <w:rsid w:val="00AB4E26"/>
    <w:rsid w:val="00AB5814"/>
    <w:rsid w:val="00AB5DAE"/>
    <w:rsid w:val="00AB7C8F"/>
    <w:rsid w:val="00AC00C7"/>
    <w:rsid w:val="00AC076C"/>
    <w:rsid w:val="00AC0886"/>
    <w:rsid w:val="00AC0D75"/>
    <w:rsid w:val="00AC0F91"/>
    <w:rsid w:val="00AC0FC6"/>
    <w:rsid w:val="00AC10EF"/>
    <w:rsid w:val="00AC138B"/>
    <w:rsid w:val="00AC2012"/>
    <w:rsid w:val="00AC2066"/>
    <w:rsid w:val="00AC20E0"/>
    <w:rsid w:val="00AC2192"/>
    <w:rsid w:val="00AC21E7"/>
    <w:rsid w:val="00AC22B6"/>
    <w:rsid w:val="00AC2524"/>
    <w:rsid w:val="00AC2EE5"/>
    <w:rsid w:val="00AC38C4"/>
    <w:rsid w:val="00AC3A1D"/>
    <w:rsid w:val="00AC4AED"/>
    <w:rsid w:val="00AC4E57"/>
    <w:rsid w:val="00AC636D"/>
    <w:rsid w:val="00AC6BFE"/>
    <w:rsid w:val="00AC6FC0"/>
    <w:rsid w:val="00AC74EB"/>
    <w:rsid w:val="00AC7C0B"/>
    <w:rsid w:val="00AD0F56"/>
    <w:rsid w:val="00AD2274"/>
    <w:rsid w:val="00AD28AD"/>
    <w:rsid w:val="00AD292E"/>
    <w:rsid w:val="00AD2AA3"/>
    <w:rsid w:val="00AD2CA1"/>
    <w:rsid w:val="00AD2CF4"/>
    <w:rsid w:val="00AD33A5"/>
    <w:rsid w:val="00AD3503"/>
    <w:rsid w:val="00AD38C8"/>
    <w:rsid w:val="00AD4095"/>
    <w:rsid w:val="00AD4864"/>
    <w:rsid w:val="00AD48AE"/>
    <w:rsid w:val="00AD4918"/>
    <w:rsid w:val="00AD5888"/>
    <w:rsid w:val="00AD5BE6"/>
    <w:rsid w:val="00AD5FC3"/>
    <w:rsid w:val="00AD6757"/>
    <w:rsid w:val="00AD72EA"/>
    <w:rsid w:val="00AE0CEF"/>
    <w:rsid w:val="00AE1A29"/>
    <w:rsid w:val="00AE2340"/>
    <w:rsid w:val="00AE2A1B"/>
    <w:rsid w:val="00AE3232"/>
    <w:rsid w:val="00AE559D"/>
    <w:rsid w:val="00AE5662"/>
    <w:rsid w:val="00AE5725"/>
    <w:rsid w:val="00AE7F58"/>
    <w:rsid w:val="00AF0092"/>
    <w:rsid w:val="00AF1422"/>
    <w:rsid w:val="00AF1499"/>
    <w:rsid w:val="00AF1A32"/>
    <w:rsid w:val="00AF1AB4"/>
    <w:rsid w:val="00AF256D"/>
    <w:rsid w:val="00AF296E"/>
    <w:rsid w:val="00AF2A4E"/>
    <w:rsid w:val="00AF3809"/>
    <w:rsid w:val="00AF389D"/>
    <w:rsid w:val="00AF3A10"/>
    <w:rsid w:val="00AF50F6"/>
    <w:rsid w:val="00AF5500"/>
    <w:rsid w:val="00AF5521"/>
    <w:rsid w:val="00AF6D87"/>
    <w:rsid w:val="00B003E6"/>
    <w:rsid w:val="00B006A0"/>
    <w:rsid w:val="00B00F61"/>
    <w:rsid w:val="00B0271B"/>
    <w:rsid w:val="00B028F7"/>
    <w:rsid w:val="00B049CE"/>
    <w:rsid w:val="00B04A80"/>
    <w:rsid w:val="00B054B8"/>
    <w:rsid w:val="00B062DF"/>
    <w:rsid w:val="00B067AA"/>
    <w:rsid w:val="00B06870"/>
    <w:rsid w:val="00B06B42"/>
    <w:rsid w:val="00B07CDA"/>
    <w:rsid w:val="00B1069B"/>
    <w:rsid w:val="00B11B1C"/>
    <w:rsid w:val="00B12775"/>
    <w:rsid w:val="00B12B11"/>
    <w:rsid w:val="00B13709"/>
    <w:rsid w:val="00B174D1"/>
    <w:rsid w:val="00B203DD"/>
    <w:rsid w:val="00B208C1"/>
    <w:rsid w:val="00B2107D"/>
    <w:rsid w:val="00B2111C"/>
    <w:rsid w:val="00B21890"/>
    <w:rsid w:val="00B21B7E"/>
    <w:rsid w:val="00B21F16"/>
    <w:rsid w:val="00B22C2A"/>
    <w:rsid w:val="00B2313F"/>
    <w:rsid w:val="00B231E1"/>
    <w:rsid w:val="00B233CF"/>
    <w:rsid w:val="00B237FB"/>
    <w:rsid w:val="00B2412A"/>
    <w:rsid w:val="00B24500"/>
    <w:rsid w:val="00B24B1D"/>
    <w:rsid w:val="00B25049"/>
    <w:rsid w:val="00B263CF"/>
    <w:rsid w:val="00B267AB"/>
    <w:rsid w:val="00B26C33"/>
    <w:rsid w:val="00B27137"/>
    <w:rsid w:val="00B277A4"/>
    <w:rsid w:val="00B277E0"/>
    <w:rsid w:val="00B304A6"/>
    <w:rsid w:val="00B30589"/>
    <w:rsid w:val="00B3160F"/>
    <w:rsid w:val="00B31AC1"/>
    <w:rsid w:val="00B32124"/>
    <w:rsid w:val="00B32928"/>
    <w:rsid w:val="00B333C2"/>
    <w:rsid w:val="00B33BE0"/>
    <w:rsid w:val="00B34520"/>
    <w:rsid w:val="00B34946"/>
    <w:rsid w:val="00B34EAC"/>
    <w:rsid w:val="00B35A45"/>
    <w:rsid w:val="00B35A54"/>
    <w:rsid w:val="00B35BD5"/>
    <w:rsid w:val="00B35E53"/>
    <w:rsid w:val="00B36053"/>
    <w:rsid w:val="00B363B0"/>
    <w:rsid w:val="00B36AF3"/>
    <w:rsid w:val="00B37D40"/>
    <w:rsid w:val="00B37DA6"/>
    <w:rsid w:val="00B408C4"/>
    <w:rsid w:val="00B41879"/>
    <w:rsid w:val="00B41EB7"/>
    <w:rsid w:val="00B41F92"/>
    <w:rsid w:val="00B429BE"/>
    <w:rsid w:val="00B42C53"/>
    <w:rsid w:val="00B4350F"/>
    <w:rsid w:val="00B437A9"/>
    <w:rsid w:val="00B43B67"/>
    <w:rsid w:val="00B4437F"/>
    <w:rsid w:val="00B451B2"/>
    <w:rsid w:val="00B451C3"/>
    <w:rsid w:val="00B455E1"/>
    <w:rsid w:val="00B46234"/>
    <w:rsid w:val="00B46728"/>
    <w:rsid w:val="00B469D1"/>
    <w:rsid w:val="00B46B2A"/>
    <w:rsid w:val="00B47776"/>
    <w:rsid w:val="00B47A81"/>
    <w:rsid w:val="00B51132"/>
    <w:rsid w:val="00B519FD"/>
    <w:rsid w:val="00B51E8F"/>
    <w:rsid w:val="00B51EFA"/>
    <w:rsid w:val="00B520BC"/>
    <w:rsid w:val="00B52A5F"/>
    <w:rsid w:val="00B52BDF"/>
    <w:rsid w:val="00B52D42"/>
    <w:rsid w:val="00B52E4A"/>
    <w:rsid w:val="00B539CC"/>
    <w:rsid w:val="00B53F50"/>
    <w:rsid w:val="00B54D58"/>
    <w:rsid w:val="00B5576F"/>
    <w:rsid w:val="00B56A90"/>
    <w:rsid w:val="00B60698"/>
    <w:rsid w:val="00B60BA1"/>
    <w:rsid w:val="00B60CA1"/>
    <w:rsid w:val="00B619D3"/>
    <w:rsid w:val="00B622D6"/>
    <w:rsid w:val="00B63D24"/>
    <w:rsid w:val="00B66463"/>
    <w:rsid w:val="00B66BB9"/>
    <w:rsid w:val="00B67507"/>
    <w:rsid w:val="00B67A9C"/>
    <w:rsid w:val="00B67D0B"/>
    <w:rsid w:val="00B67E8D"/>
    <w:rsid w:val="00B67FD7"/>
    <w:rsid w:val="00B701A4"/>
    <w:rsid w:val="00B70DFE"/>
    <w:rsid w:val="00B70F4C"/>
    <w:rsid w:val="00B71476"/>
    <w:rsid w:val="00B71601"/>
    <w:rsid w:val="00B71D74"/>
    <w:rsid w:val="00B739CA"/>
    <w:rsid w:val="00B73BDA"/>
    <w:rsid w:val="00B745B3"/>
    <w:rsid w:val="00B74644"/>
    <w:rsid w:val="00B74AB3"/>
    <w:rsid w:val="00B74D0C"/>
    <w:rsid w:val="00B75F3C"/>
    <w:rsid w:val="00B76499"/>
    <w:rsid w:val="00B76B36"/>
    <w:rsid w:val="00B773A7"/>
    <w:rsid w:val="00B778DE"/>
    <w:rsid w:val="00B77B32"/>
    <w:rsid w:val="00B77F77"/>
    <w:rsid w:val="00B80B2C"/>
    <w:rsid w:val="00B81DD2"/>
    <w:rsid w:val="00B82867"/>
    <w:rsid w:val="00B8302D"/>
    <w:rsid w:val="00B83ABD"/>
    <w:rsid w:val="00B83C41"/>
    <w:rsid w:val="00B83C7E"/>
    <w:rsid w:val="00B83E0E"/>
    <w:rsid w:val="00B841D9"/>
    <w:rsid w:val="00B8467C"/>
    <w:rsid w:val="00B84775"/>
    <w:rsid w:val="00B86DED"/>
    <w:rsid w:val="00B878C7"/>
    <w:rsid w:val="00B87C5F"/>
    <w:rsid w:val="00B9012E"/>
    <w:rsid w:val="00B91388"/>
    <w:rsid w:val="00B913B5"/>
    <w:rsid w:val="00B9248B"/>
    <w:rsid w:val="00B924E6"/>
    <w:rsid w:val="00B92EDD"/>
    <w:rsid w:val="00B92FF2"/>
    <w:rsid w:val="00B938C4"/>
    <w:rsid w:val="00B946C0"/>
    <w:rsid w:val="00B94710"/>
    <w:rsid w:val="00B94DEE"/>
    <w:rsid w:val="00B95873"/>
    <w:rsid w:val="00B95BFA"/>
    <w:rsid w:val="00B962B6"/>
    <w:rsid w:val="00B963BF"/>
    <w:rsid w:val="00B96EB1"/>
    <w:rsid w:val="00B97989"/>
    <w:rsid w:val="00BA0338"/>
    <w:rsid w:val="00BA05BF"/>
    <w:rsid w:val="00BA0D35"/>
    <w:rsid w:val="00BA18D7"/>
    <w:rsid w:val="00BA1C98"/>
    <w:rsid w:val="00BA262D"/>
    <w:rsid w:val="00BA28AC"/>
    <w:rsid w:val="00BA2B77"/>
    <w:rsid w:val="00BA2D89"/>
    <w:rsid w:val="00BA37E8"/>
    <w:rsid w:val="00BA3817"/>
    <w:rsid w:val="00BA3CC8"/>
    <w:rsid w:val="00BA50A6"/>
    <w:rsid w:val="00BA5247"/>
    <w:rsid w:val="00BA5566"/>
    <w:rsid w:val="00BA5698"/>
    <w:rsid w:val="00BA5C86"/>
    <w:rsid w:val="00BA6391"/>
    <w:rsid w:val="00BA7528"/>
    <w:rsid w:val="00BB166C"/>
    <w:rsid w:val="00BB242C"/>
    <w:rsid w:val="00BB2A4C"/>
    <w:rsid w:val="00BB2BCF"/>
    <w:rsid w:val="00BB38D0"/>
    <w:rsid w:val="00BB3A8E"/>
    <w:rsid w:val="00BB3C70"/>
    <w:rsid w:val="00BB44AC"/>
    <w:rsid w:val="00BB4F49"/>
    <w:rsid w:val="00BB5EEA"/>
    <w:rsid w:val="00BB69BE"/>
    <w:rsid w:val="00BB6BDB"/>
    <w:rsid w:val="00BB7AB8"/>
    <w:rsid w:val="00BC0298"/>
    <w:rsid w:val="00BC13E9"/>
    <w:rsid w:val="00BC17EE"/>
    <w:rsid w:val="00BC2284"/>
    <w:rsid w:val="00BC2358"/>
    <w:rsid w:val="00BC35F3"/>
    <w:rsid w:val="00BC3D64"/>
    <w:rsid w:val="00BC4453"/>
    <w:rsid w:val="00BC4738"/>
    <w:rsid w:val="00BC4DDC"/>
    <w:rsid w:val="00BC5276"/>
    <w:rsid w:val="00BC5EE6"/>
    <w:rsid w:val="00BC6401"/>
    <w:rsid w:val="00BC6491"/>
    <w:rsid w:val="00BC68D5"/>
    <w:rsid w:val="00BC79EB"/>
    <w:rsid w:val="00BD0994"/>
    <w:rsid w:val="00BD0AE2"/>
    <w:rsid w:val="00BD0B84"/>
    <w:rsid w:val="00BD3DED"/>
    <w:rsid w:val="00BD403C"/>
    <w:rsid w:val="00BD4597"/>
    <w:rsid w:val="00BD4B4B"/>
    <w:rsid w:val="00BD507B"/>
    <w:rsid w:val="00BD6C31"/>
    <w:rsid w:val="00BD6D33"/>
    <w:rsid w:val="00BD7084"/>
    <w:rsid w:val="00BD70AF"/>
    <w:rsid w:val="00BD73D7"/>
    <w:rsid w:val="00BD7E51"/>
    <w:rsid w:val="00BD7FCF"/>
    <w:rsid w:val="00BE0017"/>
    <w:rsid w:val="00BE0D27"/>
    <w:rsid w:val="00BE0E9D"/>
    <w:rsid w:val="00BE2307"/>
    <w:rsid w:val="00BE27B2"/>
    <w:rsid w:val="00BE2BFB"/>
    <w:rsid w:val="00BE2C43"/>
    <w:rsid w:val="00BE2E9F"/>
    <w:rsid w:val="00BE2F19"/>
    <w:rsid w:val="00BE3BBD"/>
    <w:rsid w:val="00BE42B7"/>
    <w:rsid w:val="00BE4647"/>
    <w:rsid w:val="00BE4F68"/>
    <w:rsid w:val="00BE64D5"/>
    <w:rsid w:val="00BE6504"/>
    <w:rsid w:val="00BE6D41"/>
    <w:rsid w:val="00BF02DF"/>
    <w:rsid w:val="00BF17FF"/>
    <w:rsid w:val="00BF2BF4"/>
    <w:rsid w:val="00BF2DE0"/>
    <w:rsid w:val="00BF2E8D"/>
    <w:rsid w:val="00BF50D9"/>
    <w:rsid w:val="00BF5EF2"/>
    <w:rsid w:val="00BF61D6"/>
    <w:rsid w:val="00BF6358"/>
    <w:rsid w:val="00BF6406"/>
    <w:rsid w:val="00BF721A"/>
    <w:rsid w:val="00BF7F67"/>
    <w:rsid w:val="00C00092"/>
    <w:rsid w:val="00C00642"/>
    <w:rsid w:val="00C006B9"/>
    <w:rsid w:val="00C00CC6"/>
    <w:rsid w:val="00C011D4"/>
    <w:rsid w:val="00C01D0B"/>
    <w:rsid w:val="00C026A0"/>
    <w:rsid w:val="00C02842"/>
    <w:rsid w:val="00C0395E"/>
    <w:rsid w:val="00C046AE"/>
    <w:rsid w:val="00C04B49"/>
    <w:rsid w:val="00C04CBC"/>
    <w:rsid w:val="00C059CC"/>
    <w:rsid w:val="00C064DC"/>
    <w:rsid w:val="00C07369"/>
    <w:rsid w:val="00C07415"/>
    <w:rsid w:val="00C07651"/>
    <w:rsid w:val="00C078EA"/>
    <w:rsid w:val="00C07AA3"/>
    <w:rsid w:val="00C100B5"/>
    <w:rsid w:val="00C124A3"/>
    <w:rsid w:val="00C12BC0"/>
    <w:rsid w:val="00C133A0"/>
    <w:rsid w:val="00C13D36"/>
    <w:rsid w:val="00C144DE"/>
    <w:rsid w:val="00C149BD"/>
    <w:rsid w:val="00C1609C"/>
    <w:rsid w:val="00C1666B"/>
    <w:rsid w:val="00C170D7"/>
    <w:rsid w:val="00C17607"/>
    <w:rsid w:val="00C20122"/>
    <w:rsid w:val="00C21821"/>
    <w:rsid w:val="00C228AB"/>
    <w:rsid w:val="00C23809"/>
    <w:rsid w:val="00C24278"/>
    <w:rsid w:val="00C24CA4"/>
    <w:rsid w:val="00C25075"/>
    <w:rsid w:val="00C25BDA"/>
    <w:rsid w:val="00C25C09"/>
    <w:rsid w:val="00C261ED"/>
    <w:rsid w:val="00C26E8C"/>
    <w:rsid w:val="00C27E1F"/>
    <w:rsid w:val="00C3036C"/>
    <w:rsid w:val="00C316E7"/>
    <w:rsid w:val="00C318D6"/>
    <w:rsid w:val="00C322C8"/>
    <w:rsid w:val="00C326E1"/>
    <w:rsid w:val="00C33104"/>
    <w:rsid w:val="00C332D4"/>
    <w:rsid w:val="00C33B63"/>
    <w:rsid w:val="00C34774"/>
    <w:rsid w:val="00C35267"/>
    <w:rsid w:val="00C354DD"/>
    <w:rsid w:val="00C35540"/>
    <w:rsid w:val="00C35A0C"/>
    <w:rsid w:val="00C36570"/>
    <w:rsid w:val="00C37664"/>
    <w:rsid w:val="00C37E99"/>
    <w:rsid w:val="00C40D36"/>
    <w:rsid w:val="00C434D7"/>
    <w:rsid w:val="00C43C48"/>
    <w:rsid w:val="00C4474C"/>
    <w:rsid w:val="00C44B07"/>
    <w:rsid w:val="00C44EEA"/>
    <w:rsid w:val="00C45480"/>
    <w:rsid w:val="00C45BE0"/>
    <w:rsid w:val="00C45C12"/>
    <w:rsid w:val="00C46650"/>
    <w:rsid w:val="00C46B79"/>
    <w:rsid w:val="00C46FB5"/>
    <w:rsid w:val="00C470CE"/>
    <w:rsid w:val="00C50091"/>
    <w:rsid w:val="00C50497"/>
    <w:rsid w:val="00C505B9"/>
    <w:rsid w:val="00C50892"/>
    <w:rsid w:val="00C50A3B"/>
    <w:rsid w:val="00C50D82"/>
    <w:rsid w:val="00C51011"/>
    <w:rsid w:val="00C52B2D"/>
    <w:rsid w:val="00C52B78"/>
    <w:rsid w:val="00C52FD0"/>
    <w:rsid w:val="00C5338B"/>
    <w:rsid w:val="00C550E8"/>
    <w:rsid w:val="00C560AC"/>
    <w:rsid w:val="00C568E1"/>
    <w:rsid w:val="00C5781C"/>
    <w:rsid w:val="00C60343"/>
    <w:rsid w:val="00C605E2"/>
    <w:rsid w:val="00C60664"/>
    <w:rsid w:val="00C60B81"/>
    <w:rsid w:val="00C60D57"/>
    <w:rsid w:val="00C612E8"/>
    <w:rsid w:val="00C61AFD"/>
    <w:rsid w:val="00C61CDB"/>
    <w:rsid w:val="00C6308A"/>
    <w:rsid w:val="00C631AD"/>
    <w:rsid w:val="00C641D4"/>
    <w:rsid w:val="00C6486D"/>
    <w:rsid w:val="00C659FB"/>
    <w:rsid w:val="00C65E56"/>
    <w:rsid w:val="00C66782"/>
    <w:rsid w:val="00C669D5"/>
    <w:rsid w:val="00C66EF1"/>
    <w:rsid w:val="00C67509"/>
    <w:rsid w:val="00C724C6"/>
    <w:rsid w:val="00C729C8"/>
    <w:rsid w:val="00C73590"/>
    <w:rsid w:val="00C73D42"/>
    <w:rsid w:val="00C74CE5"/>
    <w:rsid w:val="00C75112"/>
    <w:rsid w:val="00C760BE"/>
    <w:rsid w:val="00C76A5E"/>
    <w:rsid w:val="00C76DC2"/>
    <w:rsid w:val="00C772B0"/>
    <w:rsid w:val="00C80118"/>
    <w:rsid w:val="00C802A5"/>
    <w:rsid w:val="00C80FE4"/>
    <w:rsid w:val="00C812DA"/>
    <w:rsid w:val="00C81734"/>
    <w:rsid w:val="00C81A57"/>
    <w:rsid w:val="00C81BCB"/>
    <w:rsid w:val="00C82704"/>
    <w:rsid w:val="00C82C08"/>
    <w:rsid w:val="00C832B5"/>
    <w:rsid w:val="00C83CF6"/>
    <w:rsid w:val="00C83EBB"/>
    <w:rsid w:val="00C84A7E"/>
    <w:rsid w:val="00C854D4"/>
    <w:rsid w:val="00C8584C"/>
    <w:rsid w:val="00C85CEC"/>
    <w:rsid w:val="00C86324"/>
    <w:rsid w:val="00C86385"/>
    <w:rsid w:val="00C864A5"/>
    <w:rsid w:val="00C86592"/>
    <w:rsid w:val="00C86B2C"/>
    <w:rsid w:val="00C870B2"/>
    <w:rsid w:val="00C875B9"/>
    <w:rsid w:val="00C90556"/>
    <w:rsid w:val="00C91060"/>
    <w:rsid w:val="00C91282"/>
    <w:rsid w:val="00C91B50"/>
    <w:rsid w:val="00C920EF"/>
    <w:rsid w:val="00C92F9E"/>
    <w:rsid w:val="00C93C1E"/>
    <w:rsid w:val="00C94A4D"/>
    <w:rsid w:val="00C95074"/>
    <w:rsid w:val="00C95304"/>
    <w:rsid w:val="00C9562E"/>
    <w:rsid w:val="00C956F0"/>
    <w:rsid w:val="00C95EED"/>
    <w:rsid w:val="00C96228"/>
    <w:rsid w:val="00C96902"/>
    <w:rsid w:val="00C96FEB"/>
    <w:rsid w:val="00C9781A"/>
    <w:rsid w:val="00CA099A"/>
    <w:rsid w:val="00CA0D78"/>
    <w:rsid w:val="00CA0F3C"/>
    <w:rsid w:val="00CA1DC8"/>
    <w:rsid w:val="00CA2506"/>
    <w:rsid w:val="00CA38ED"/>
    <w:rsid w:val="00CA42F7"/>
    <w:rsid w:val="00CA4855"/>
    <w:rsid w:val="00CA5D90"/>
    <w:rsid w:val="00CA6972"/>
    <w:rsid w:val="00CA7702"/>
    <w:rsid w:val="00CA7AA7"/>
    <w:rsid w:val="00CB0256"/>
    <w:rsid w:val="00CB0E9A"/>
    <w:rsid w:val="00CB0EF3"/>
    <w:rsid w:val="00CB1043"/>
    <w:rsid w:val="00CB21A0"/>
    <w:rsid w:val="00CB2400"/>
    <w:rsid w:val="00CB24FE"/>
    <w:rsid w:val="00CB36BB"/>
    <w:rsid w:val="00CB3E34"/>
    <w:rsid w:val="00CB4DE1"/>
    <w:rsid w:val="00CB4EC5"/>
    <w:rsid w:val="00CB5753"/>
    <w:rsid w:val="00CB5CDA"/>
    <w:rsid w:val="00CB792C"/>
    <w:rsid w:val="00CB7B4E"/>
    <w:rsid w:val="00CC0DB1"/>
    <w:rsid w:val="00CC1110"/>
    <w:rsid w:val="00CC2140"/>
    <w:rsid w:val="00CC2AA0"/>
    <w:rsid w:val="00CC2C4F"/>
    <w:rsid w:val="00CC32B2"/>
    <w:rsid w:val="00CC37C1"/>
    <w:rsid w:val="00CC58E3"/>
    <w:rsid w:val="00CC758B"/>
    <w:rsid w:val="00CC78F9"/>
    <w:rsid w:val="00CC7BC4"/>
    <w:rsid w:val="00CD05AC"/>
    <w:rsid w:val="00CD128E"/>
    <w:rsid w:val="00CD1694"/>
    <w:rsid w:val="00CD1819"/>
    <w:rsid w:val="00CD1EDD"/>
    <w:rsid w:val="00CD29DD"/>
    <w:rsid w:val="00CD2C42"/>
    <w:rsid w:val="00CD345C"/>
    <w:rsid w:val="00CD440C"/>
    <w:rsid w:val="00CD485A"/>
    <w:rsid w:val="00CD58FD"/>
    <w:rsid w:val="00CD5917"/>
    <w:rsid w:val="00CD5E2F"/>
    <w:rsid w:val="00CD68EC"/>
    <w:rsid w:val="00CD6C29"/>
    <w:rsid w:val="00CD70B4"/>
    <w:rsid w:val="00CD727A"/>
    <w:rsid w:val="00CD765C"/>
    <w:rsid w:val="00CD7F15"/>
    <w:rsid w:val="00CE052B"/>
    <w:rsid w:val="00CE0872"/>
    <w:rsid w:val="00CE0E28"/>
    <w:rsid w:val="00CE0E8B"/>
    <w:rsid w:val="00CE13D4"/>
    <w:rsid w:val="00CE17C0"/>
    <w:rsid w:val="00CE17CA"/>
    <w:rsid w:val="00CE1EE4"/>
    <w:rsid w:val="00CE1F39"/>
    <w:rsid w:val="00CE214A"/>
    <w:rsid w:val="00CE23F3"/>
    <w:rsid w:val="00CE3684"/>
    <w:rsid w:val="00CE410B"/>
    <w:rsid w:val="00CE4DA2"/>
    <w:rsid w:val="00CE6139"/>
    <w:rsid w:val="00CE68F3"/>
    <w:rsid w:val="00CE6B8A"/>
    <w:rsid w:val="00CE6C38"/>
    <w:rsid w:val="00CE7EE3"/>
    <w:rsid w:val="00CF0811"/>
    <w:rsid w:val="00CF0CF8"/>
    <w:rsid w:val="00CF1C66"/>
    <w:rsid w:val="00CF23EC"/>
    <w:rsid w:val="00CF28B3"/>
    <w:rsid w:val="00CF3321"/>
    <w:rsid w:val="00CF39A5"/>
    <w:rsid w:val="00CF406B"/>
    <w:rsid w:val="00CF4304"/>
    <w:rsid w:val="00CF4791"/>
    <w:rsid w:val="00CF4B96"/>
    <w:rsid w:val="00CF5823"/>
    <w:rsid w:val="00CF708C"/>
    <w:rsid w:val="00CF7153"/>
    <w:rsid w:val="00D01B48"/>
    <w:rsid w:val="00D01F8E"/>
    <w:rsid w:val="00D02074"/>
    <w:rsid w:val="00D02B78"/>
    <w:rsid w:val="00D03307"/>
    <w:rsid w:val="00D04223"/>
    <w:rsid w:val="00D045E8"/>
    <w:rsid w:val="00D04909"/>
    <w:rsid w:val="00D05938"/>
    <w:rsid w:val="00D05ABC"/>
    <w:rsid w:val="00D06DCD"/>
    <w:rsid w:val="00D1013A"/>
    <w:rsid w:val="00D1077F"/>
    <w:rsid w:val="00D1089E"/>
    <w:rsid w:val="00D11078"/>
    <w:rsid w:val="00D11ECE"/>
    <w:rsid w:val="00D12297"/>
    <w:rsid w:val="00D122EA"/>
    <w:rsid w:val="00D1289F"/>
    <w:rsid w:val="00D1334A"/>
    <w:rsid w:val="00D13862"/>
    <w:rsid w:val="00D13B3B"/>
    <w:rsid w:val="00D13E5F"/>
    <w:rsid w:val="00D13FBA"/>
    <w:rsid w:val="00D14E07"/>
    <w:rsid w:val="00D15C1B"/>
    <w:rsid w:val="00D1612C"/>
    <w:rsid w:val="00D1643A"/>
    <w:rsid w:val="00D165C4"/>
    <w:rsid w:val="00D16ABC"/>
    <w:rsid w:val="00D173F9"/>
    <w:rsid w:val="00D1795D"/>
    <w:rsid w:val="00D20957"/>
    <w:rsid w:val="00D2165D"/>
    <w:rsid w:val="00D22683"/>
    <w:rsid w:val="00D236AB"/>
    <w:rsid w:val="00D2378B"/>
    <w:rsid w:val="00D23EA3"/>
    <w:rsid w:val="00D23F8F"/>
    <w:rsid w:val="00D24DD3"/>
    <w:rsid w:val="00D25ADF"/>
    <w:rsid w:val="00D26743"/>
    <w:rsid w:val="00D26BBB"/>
    <w:rsid w:val="00D277C5"/>
    <w:rsid w:val="00D30348"/>
    <w:rsid w:val="00D30F8E"/>
    <w:rsid w:val="00D31F79"/>
    <w:rsid w:val="00D331FE"/>
    <w:rsid w:val="00D33D09"/>
    <w:rsid w:val="00D34117"/>
    <w:rsid w:val="00D343FA"/>
    <w:rsid w:val="00D34748"/>
    <w:rsid w:val="00D34B48"/>
    <w:rsid w:val="00D34E1C"/>
    <w:rsid w:val="00D3520C"/>
    <w:rsid w:val="00D35860"/>
    <w:rsid w:val="00D36B14"/>
    <w:rsid w:val="00D3795B"/>
    <w:rsid w:val="00D40469"/>
    <w:rsid w:val="00D411FA"/>
    <w:rsid w:val="00D418FF"/>
    <w:rsid w:val="00D41A34"/>
    <w:rsid w:val="00D41F17"/>
    <w:rsid w:val="00D42FE4"/>
    <w:rsid w:val="00D452CF"/>
    <w:rsid w:val="00D460E7"/>
    <w:rsid w:val="00D4655A"/>
    <w:rsid w:val="00D500DB"/>
    <w:rsid w:val="00D50169"/>
    <w:rsid w:val="00D503EB"/>
    <w:rsid w:val="00D5072F"/>
    <w:rsid w:val="00D50958"/>
    <w:rsid w:val="00D50A2D"/>
    <w:rsid w:val="00D51BFB"/>
    <w:rsid w:val="00D52C9E"/>
    <w:rsid w:val="00D53391"/>
    <w:rsid w:val="00D536B7"/>
    <w:rsid w:val="00D54B0A"/>
    <w:rsid w:val="00D54B55"/>
    <w:rsid w:val="00D54BA1"/>
    <w:rsid w:val="00D5600B"/>
    <w:rsid w:val="00D568FA"/>
    <w:rsid w:val="00D60CAD"/>
    <w:rsid w:val="00D61723"/>
    <w:rsid w:val="00D62FD5"/>
    <w:rsid w:val="00D63697"/>
    <w:rsid w:val="00D63EE9"/>
    <w:rsid w:val="00D63F7B"/>
    <w:rsid w:val="00D64DD6"/>
    <w:rsid w:val="00D65128"/>
    <w:rsid w:val="00D65C20"/>
    <w:rsid w:val="00D65C76"/>
    <w:rsid w:val="00D6632E"/>
    <w:rsid w:val="00D664EF"/>
    <w:rsid w:val="00D66A3A"/>
    <w:rsid w:val="00D66B33"/>
    <w:rsid w:val="00D66D01"/>
    <w:rsid w:val="00D66E37"/>
    <w:rsid w:val="00D6719B"/>
    <w:rsid w:val="00D6761F"/>
    <w:rsid w:val="00D67A8B"/>
    <w:rsid w:val="00D67E13"/>
    <w:rsid w:val="00D7078F"/>
    <w:rsid w:val="00D708D0"/>
    <w:rsid w:val="00D734C7"/>
    <w:rsid w:val="00D73AB6"/>
    <w:rsid w:val="00D73B53"/>
    <w:rsid w:val="00D73E9B"/>
    <w:rsid w:val="00D73ED5"/>
    <w:rsid w:val="00D73F08"/>
    <w:rsid w:val="00D73F98"/>
    <w:rsid w:val="00D740EB"/>
    <w:rsid w:val="00D745AC"/>
    <w:rsid w:val="00D74B25"/>
    <w:rsid w:val="00D7542B"/>
    <w:rsid w:val="00D75532"/>
    <w:rsid w:val="00D769EF"/>
    <w:rsid w:val="00D77187"/>
    <w:rsid w:val="00D80C88"/>
    <w:rsid w:val="00D80FE1"/>
    <w:rsid w:val="00D813E2"/>
    <w:rsid w:val="00D81AD1"/>
    <w:rsid w:val="00D829B6"/>
    <w:rsid w:val="00D82A2A"/>
    <w:rsid w:val="00D8351F"/>
    <w:rsid w:val="00D83822"/>
    <w:rsid w:val="00D83D63"/>
    <w:rsid w:val="00D83F28"/>
    <w:rsid w:val="00D84539"/>
    <w:rsid w:val="00D846B2"/>
    <w:rsid w:val="00D85B0C"/>
    <w:rsid w:val="00D85E60"/>
    <w:rsid w:val="00D85E8D"/>
    <w:rsid w:val="00D85F1E"/>
    <w:rsid w:val="00D8618D"/>
    <w:rsid w:val="00D86568"/>
    <w:rsid w:val="00D86597"/>
    <w:rsid w:val="00D86687"/>
    <w:rsid w:val="00D86C47"/>
    <w:rsid w:val="00D87ADD"/>
    <w:rsid w:val="00D90741"/>
    <w:rsid w:val="00D90BE7"/>
    <w:rsid w:val="00D91798"/>
    <w:rsid w:val="00D92E14"/>
    <w:rsid w:val="00D92ECB"/>
    <w:rsid w:val="00D937A9"/>
    <w:rsid w:val="00D938CD"/>
    <w:rsid w:val="00D952E5"/>
    <w:rsid w:val="00D95D8F"/>
    <w:rsid w:val="00D9728D"/>
    <w:rsid w:val="00D9799A"/>
    <w:rsid w:val="00DA04BA"/>
    <w:rsid w:val="00DA0F15"/>
    <w:rsid w:val="00DA1D32"/>
    <w:rsid w:val="00DA1DA2"/>
    <w:rsid w:val="00DA1E8F"/>
    <w:rsid w:val="00DA2F73"/>
    <w:rsid w:val="00DA37D4"/>
    <w:rsid w:val="00DA3CDC"/>
    <w:rsid w:val="00DA4070"/>
    <w:rsid w:val="00DA4223"/>
    <w:rsid w:val="00DA5315"/>
    <w:rsid w:val="00DA5C05"/>
    <w:rsid w:val="00DA5F25"/>
    <w:rsid w:val="00DA6A27"/>
    <w:rsid w:val="00DA6D6C"/>
    <w:rsid w:val="00DA7A55"/>
    <w:rsid w:val="00DA7E90"/>
    <w:rsid w:val="00DA7E91"/>
    <w:rsid w:val="00DB0F25"/>
    <w:rsid w:val="00DB162F"/>
    <w:rsid w:val="00DB1882"/>
    <w:rsid w:val="00DB289E"/>
    <w:rsid w:val="00DB3283"/>
    <w:rsid w:val="00DB38F9"/>
    <w:rsid w:val="00DB4568"/>
    <w:rsid w:val="00DB61CC"/>
    <w:rsid w:val="00DB6FC0"/>
    <w:rsid w:val="00DB7C50"/>
    <w:rsid w:val="00DB7CA7"/>
    <w:rsid w:val="00DC0462"/>
    <w:rsid w:val="00DC06ED"/>
    <w:rsid w:val="00DC0A55"/>
    <w:rsid w:val="00DC1145"/>
    <w:rsid w:val="00DC19CF"/>
    <w:rsid w:val="00DC1DEA"/>
    <w:rsid w:val="00DC307B"/>
    <w:rsid w:val="00DC343B"/>
    <w:rsid w:val="00DC34A2"/>
    <w:rsid w:val="00DC3D56"/>
    <w:rsid w:val="00DC462F"/>
    <w:rsid w:val="00DC4978"/>
    <w:rsid w:val="00DC499A"/>
    <w:rsid w:val="00DC4A6F"/>
    <w:rsid w:val="00DC4F77"/>
    <w:rsid w:val="00DC556F"/>
    <w:rsid w:val="00DC5608"/>
    <w:rsid w:val="00DC5D37"/>
    <w:rsid w:val="00DC719E"/>
    <w:rsid w:val="00DC7447"/>
    <w:rsid w:val="00DD1782"/>
    <w:rsid w:val="00DD2052"/>
    <w:rsid w:val="00DD223B"/>
    <w:rsid w:val="00DD2985"/>
    <w:rsid w:val="00DD2B92"/>
    <w:rsid w:val="00DD37AE"/>
    <w:rsid w:val="00DD3A62"/>
    <w:rsid w:val="00DD4BE6"/>
    <w:rsid w:val="00DD4C1B"/>
    <w:rsid w:val="00DD4C81"/>
    <w:rsid w:val="00DD59B6"/>
    <w:rsid w:val="00DD6812"/>
    <w:rsid w:val="00DD6A21"/>
    <w:rsid w:val="00DD7EC8"/>
    <w:rsid w:val="00DE00EE"/>
    <w:rsid w:val="00DE04AE"/>
    <w:rsid w:val="00DE04C6"/>
    <w:rsid w:val="00DE18A7"/>
    <w:rsid w:val="00DE1AAE"/>
    <w:rsid w:val="00DE1FFA"/>
    <w:rsid w:val="00DE2EFB"/>
    <w:rsid w:val="00DE330E"/>
    <w:rsid w:val="00DE38B9"/>
    <w:rsid w:val="00DE3BE3"/>
    <w:rsid w:val="00DE3E8F"/>
    <w:rsid w:val="00DE3EBC"/>
    <w:rsid w:val="00DE588A"/>
    <w:rsid w:val="00DE5AA5"/>
    <w:rsid w:val="00DE60CA"/>
    <w:rsid w:val="00DE7A61"/>
    <w:rsid w:val="00DF0A58"/>
    <w:rsid w:val="00DF20B0"/>
    <w:rsid w:val="00DF2230"/>
    <w:rsid w:val="00DF2A4B"/>
    <w:rsid w:val="00DF2B95"/>
    <w:rsid w:val="00DF32C0"/>
    <w:rsid w:val="00DF3920"/>
    <w:rsid w:val="00DF4577"/>
    <w:rsid w:val="00DF4D4E"/>
    <w:rsid w:val="00DF4D7C"/>
    <w:rsid w:val="00DF4E8B"/>
    <w:rsid w:val="00DF541C"/>
    <w:rsid w:val="00DF5FAF"/>
    <w:rsid w:val="00DF6018"/>
    <w:rsid w:val="00DF60E7"/>
    <w:rsid w:val="00DF622F"/>
    <w:rsid w:val="00DF67C8"/>
    <w:rsid w:val="00DF688C"/>
    <w:rsid w:val="00DF6A3D"/>
    <w:rsid w:val="00DF6C98"/>
    <w:rsid w:val="00DF6DD5"/>
    <w:rsid w:val="00E009EC"/>
    <w:rsid w:val="00E01946"/>
    <w:rsid w:val="00E02290"/>
    <w:rsid w:val="00E024A1"/>
    <w:rsid w:val="00E02517"/>
    <w:rsid w:val="00E035C3"/>
    <w:rsid w:val="00E03645"/>
    <w:rsid w:val="00E048D5"/>
    <w:rsid w:val="00E0541C"/>
    <w:rsid w:val="00E05789"/>
    <w:rsid w:val="00E065ED"/>
    <w:rsid w:val="00E073CC"/>
    <w:rsid w:val="00E102A4"/>
    <w:rsid w:val="00E1054A"/>
    <w:rsid w:val="00E106A1"/>
    <w:rsid w:val="00E10EFB"/>
    <w:rsid w:val="00E110EF"/>
    <w:rsid w:val="00E112C7"/>
    <w:rsid w:val="00E11404"/>
    <w:rsid w:val="00E12AD8"/>
    <w:rsid w:val="00E12B87"/>
    <w:rsid w:val="00E13923"/>
    <w:rsid w:val="00E14730"/>
    <w:rsid w:val="00E14833"/>
    <w:rsid w:val="00E15510"/>
    <w:rsid w:val="00E15C58"/>
    <w:rsid w:val="00E15DE5"/>
    <w:rsid w:val="00E164BB"/>
    <w:rsid w:val="00E1675F"/>
    <w:rsid w:val="00E175FC"/>
    <w:rsid w:val="00E17F65"/>
    <w:rsid w:val="00E17F75"/>
    <w:rsid w:val="00E21257"/>
    <w:rsid w:val="00E22034"/>
    <w:rsid w:val="00E223B0"/>
    <w:rsid w:val="00E231BE"/>
    <w:rsid w:val="00E2394D"/>
    <w:rsid w:val="00E23F1F"/>
    <w:rsid w:val="00E2418F"/>
    <w:rsid w:val="00E24FA3"/>
    <w:rsid w:val="00E25600"/>
    <w:rsid w:val="00E259B9"/>
    <w:rsid w:val="00E259F6"/>
    <w:rsid w:val="00E25D42"/>
    <w:rsid w:val="00E264F2"/>
    <w:rsid w:val="00E26B28"/>
    <w:rsid w:val="00E26C66"/>
    <w:rsid w:val="00E26E53"/>
    <w:rsid w:val="00E27E0E"/>
    <w:rsid w:val="00E30EA3"/>
    <w:rsid w:val="00E31465"/>
    <w:rsid w:val="00E315CE"/>
    <w:rsid w:val="00E31804"/>
    <w:rsid w:val="00E328CD"/>
    <w:rsid w:val="00E331C4"/>
    <w:rsid w:val="00E33F52"/>
    <w:rsid w:val="00E3489E"/>
    <w:rsid w:val="00E34CA0"/>
    <w:rsid w:val="00E34FF8"/>
    <w:rsid w:val="00E35EA3"/>
    <w:rsid w:val="00E362F0"/>
    <w:rsid w:val="00E367B6"/>
    <w:rsid w:val="00E36B95"/>
    <w:rsid w:val="00E3757C"/>
    <w:rsid w:val="00E376DB"/>
    <w:rsid w:val="00E4003F"/>
    <w:rsid w:val="00E40C42"/>
    <w:rsid w:val="00E4158B"/>
    <w:rsid w:val="00E4187F"/>
    <w:rsid w:val="00E41AE1"/>
    <w:rsid w:val="00E42645"/>
    <w:rsid w:val="00E435ED"/>
    <w:rsid w:val="00E43FFE"/>
    <w:rsid w:val="00E44680"/>
    <w:rsid w:val="00E44D6B"/>
    <w:rsid w:val="00E454A5"/>
    <w:rsid w:val="00E458F6"/>
    <w:rsid w:val="00E45954"/>
    <w:rsid w:val="00E46267"/>
    <w:rsid w:val="00E4640A"/>
    <w:rsid w:val="00E46704"/>
    <w:rsid w:val="00E46D41"/>
    <w:rsid w:val="00E46E17"/>
    <w:rsid w:val="00E47F64"/>
    <w:rsid w:val="00E50287"/>
    <w:rsid w:val="00E504DE"/>
    <w:rsid w:val="00E507DA"/>
    <w:rsid w:val="00E5134F"/>
    <w:rsid w:val="00E51815"/>
    <w:rsid w:val="00E51A7E"/>
    <w:rsid w:val="00E51B43"/>
    <w:rsid w:val="00E524E8"/>
    <w:rsid w:val="00E528FF"/>
    <w:rsid w:val="00E52DA5"/>
    <w:rsid w:val="00E53512"/>
    <w:rsid w:val="00E53546"/>
    <w:rsid w:val="00E538B7"/>
    <w:rsid w:val="00E5498D"/>
    <w:rsid w:val="00E558A6"/>
    <w:rsid w:val="00E55A7B"/>
    <w:rsid w:val="00E55F24"/>
    <w:rsid w:val="00E56653"/>
    <w:rsid w:val="00E574D8"/>
    <w:rsid w:val="00E60296"/>
    <w:rsid w:val="00E60437"/>
    <w:rsid w:val="00E60477"/>
    <w:rsid w:val="00E60CDF"/>
    <w:rsid w:val="00E60FA7"/>
    <w:rsid w:val="00E61A38"/>
    <w:rsid w:val="00E62204"/>
    <w:rsid w:val="00E63729"/>
    <w:rsid w:val="00E651EB"/>
    <w:rsid w:val="00E65842"/>
    <w:rsid w:val="00E6616F"/>
    <w:rsid w:val="00E665A5"/>
    <w:rsid w:val="00E66887"/>
    <w:rsid w:val="00E67314"/>
    <w:rsid w:val="00E67BF3"/>
    <w:rsid w:val="00E7035D"/>
    <w:rsid w:val="00E70827"/>
    <w:rsid w:val="00E719F3"/>
    <w:rsid w:val="00E72575"/>
    <w:rsid w:val="00E739B0"/>
    <w:rsid w:val="00E73EF3"/>
    <w:rsid w:val="00E748D3"/>
    <w:rsid w:val="00E74B6C"/>
    <w:rsid w:val="00E74C6B"/>
    <w:rsid w:val="00E74FB7"/>
    <w:rsid w:val="00E762F2"/>
    <w:rsid w:val="00E7750B"/>
    <w:rsid w:val="00E776E9"/>
    <w:rsid w:val="00E801DD"/>
    <w:rsid w:val="00E81572"/>
    <w:rsid w:val="00E815C6"/>
    <w:rsid w:val="00E8208A"/>
    <w:rsid w:val="00E82C09"/>
    <w:rsid w:val="00E83210"/>
    <w:rsid w:val="00E83B05"/>
    <w:rsid w:val="00E846F7"/>
    <w:rsid w:val="00E8498F"/>
    <w:rsid w:val="00E84D00"/>
    <w:rsid w:val="00E8509C"/>
    <w:rsid w:val="00E85A13"/>
    <w:rsid w:val="00E85E43"/>
    <w:rsid w:val="00E85F5A"/>
    <w:rsid w:val="00E868BD"/>
    <w:rsid w:val="00E86E97"/>
    <w:rsid w:val="00E872DA"/>
    <w:rsid w:val="00E90059"/>
    <w:rsid w:val="00E902B7"/>
    <w:rsid w:val="00E904CF"/>
    <w:rsid w:val="00E90622"/>
    <w:rsid w:val="00E91E37"/>
    <w:rsid w:val="00E9261B"/>
    <w:rsid w:val="00E92C24"/>
    <w:rsid w:val="00E936D3"/>
    <w:rsid w:val="00E93891"/>
    <w:rsid w:val="00E9391C"/>
    <w:rsid w:val="00E93F5E"/>
    <w:rsid w:val="00E9455D"/>
    <w:rsid w:val="00E9538E"/>
    <w:rsid w:val="00E9620E"/>
    <w:rsid w:val="00E96E8E"/>
    <w:rsid w:val="00E9715F"/>
    <w:rsid w:val="00EA1106"/>
    <w:rsid w:val="00EA24FC"/>
    <w:rsid w:val="00EA328D"/>
    <w:rsid w:val="00EA3317"/>
    <w:rsid w:val="00EA336C"/>
    <w:rsid w:val="00EA37D4"/>
    <w:rsid w:val="00EA44D9"/>
    <w:rsid w:val="00EA4B38"/>
    <w:rsid w:val="00EA6487"/>
    <w:rsid w:val="00EA687E"/>
    <w:rsid w:val="00EA7655"/>
    <w:rsid w:val="00EB032A"/>
    <w:rsid w:val="00EB0644"/>
    <w:rsid w:val="00EB3058"/>
    <w:rsid w:val="00EB448F"/>
    <w:rsid w:val="00EB54FE"/>
    <w:rsid w:val="00EB5507"/>
    <w:rsid w:val="00EB5E30"/>
    <w:rsid w:val="00EB6003"/>
    <w:rsid w:val="00EB630D"/>
    <w:rsid w:val="00EB649C"/>
    <w:rsid w:val="00EB6933"/>
    <w:rsid w:val="00EB6A76"/>
    <w:rsid w:val="00EB780F"/>
    <w:rsid w:val="00EB7975"/>
    <w:rsid w:val="00EC1371"/>
    <w:rsid w:val="00EC1594"/>
    <w:rsid w:val="00EC16C2"/>
    <w:rsid w:val="00EC2283"/>
    <w:rsid w:val="00EC2C8C"/>
    <w:rsid w:val="00EC35CE"/>
    <w:rsid w:val="00EC49B2"/>
    <w:rsid w:val="00EC4EED"/>
    <w:rsid w:val="00EC5C39"/>
    <w:rsid w:val="00EC5DCA"/>
    <w:rsid w:val="00EC6335"/>
    <w:rsid w:val="00EC7537"/>
    <w:rsid w:val="00EC77B3"/>
    <w:rsid w:val="00EC7977"/>
    <w:rsid w:val="00EC7F2E"/>
    <w:rsid w:val="00EC7FC4"/>
    <w:rsid w:val="00ED0974"/>
    <w:rsid w:val="00ED10E0"/>
    <w:rsid w:val="00ED256F"/>
    <w:rsid w:val="00ED2F1A"/>
    <w:rsid w:val="00ED34E0"/>
    <w:rsid w:val="00ED37AB"/>
    <w:rsid w:val="00ED43E7"/>
    <w:rsid w:val="00ED5CF6"/>
    <w:rsid w:val="00ED5E65"/>
    <w:rsid w:val="00ED65D0"/>
    <w:rsid w:val="00ED71BD"/>
    <w:rsid w:val="00ED74C5"/>
    <w:rsid w:val="00EE06F6"/>
    <w:rsid w:val="00EE1FE7"/>
    <w:rsid w:val="00EE2409"/>
    <w:rsid w:val="00EE263A"/>
    <w:rsid w:val="00EE3738"/>
    <w:rsid w:val="00EE3856"/>
    <w:rsid w:val="00EE3903"/>
    <w:rsid w:val="00EE3EC2"/>
    <w:rsid w:val="00EE3F6E"/>
    <w:rsid w:val="00EE438F"/>
    <w:rsid w:val="00EE4929"/>
    <w:rsid w:val="00EE5C9E"/>
    <w:rsid w:val="00EE5F29"/>
    <w:rsid w:val="00EE64B5"/>
    <w:rsid w:val="00EE6E33"/>
    <w:rsid w:val="00EE7FE8"/>
    <w:rsid w:val="00EF06AF"/>
    <w:rsid w:val="00EF0CB9"/>
    <w:rsid w:val="00EF0D83"/>
    <w:rsid w:val="00EF2037"/>
    <w:rsid w:val="00EF2100"/>
    <w:rsid w:val="00EF2FC1"/>
    <w:rsid w:val="00EF425B"/>
    <w:rsid w:val="00EF460D"/>
    <w:rsid w:val="00EF4D3B"/>
    <w:rsid w:val="00EF4E94"/>
    <w:rsid w:val="00EF5266"/>
    <w:rsid w:val="00EF6503"/>
    <w:rsid w:val="00EF65E3"/>
    <w:rsid w:val="00EF69D6"/>
    <w:rsid w:val="00EF7D20"/>
    <w:rsid w:val="00F006BC"/>
    <w:rsid w:val="00F017F3"/>
    <w:rsid w:val="00F01A55"/>
    <w:rsid w:val="00F01DF7"/>
    <w:rsid w:val="00F03091"/>
    <w:rsid w:val="00F0346D"/>
    <w:rsid w:val="00F04663"/>
    <w:rsid w:val="00F04A61"/>
    <w:rsid w:val="00F05392"/>
    <w:rsid w:val="00F05859"/>
    <w:rsid w:val="00F06B80"/>
    <w:rsid w:val="00F06C7B"/>
    <w:rsid w:val="00F0799D"/>
    <w:rsid w:val="00F07E18"/>
    <w:rsid w:val="00F1062E"/>
    <w:rsid w:val="00F107A0"/>
    <w:rsid w:val="00F1129F"/>
    <w:rsid w:val="00F11EED"/>
    <w:rsid w:val="00F126E0"/>
    <w:rsid w:val="00F127A8"/>
    <w:rsid w:val="00F12A59"/>
    <w:rsid w:val="00F13068"/>
    <w:rsid w:val="00F13B9C"/>
    <w:rsid w:val="00F14C6D"/>
    <w:rsid w:val="00F1582E"/>
    <w:rsid w:val="00F1584C"/>
    <w:rsid w:val="00F1696A"/>
    <w:rsid w:val="00F16BE7"/>
    <w:rsid w:val="00F177FE"/>
    <w:rsid w:val="00F20833"/>
    <w:rsid w:val="00F2118C"/>
    <w:rsid w:val="00F215E6"/>
    <w:rsid w:val="00F21A1D"/>
    <w:rsid w:val="00F220A5"/>
    <w:rsid w:val="00F22FB5"/>
    <w:rsid w:val="00F24FD9"/>
    <w:rsid w:val="00F25039"/>
    <w:rsid w:val="00F26282"/>
    <w:rsid w:val="00F27A24"/>
    <w:rsid w:val="00F3138F"/>
    <w:rsid w:val="00F31792"/>
    <w:rsid w:val="00F31D91"/>
    <w:rsid w:val="00F32825"/>
    <w:rsid w:val="00F32BFB"/>
    <w:rsid w:val="00F33DF1"/>
    <w:rsid w:val="00F3404F"/>
    <w:rsid w:val="00F34109"/>
    <w:rsid w:val="00F34362"/>
    <w:rsid w:val="00F346C9"/>
    <w:rsid w:val="00F34BC9"/>
    <w:rsid w:val="00F35136"/>
    <w:rsid w:val="00F3645F"/>
    <w:rsid w:val="00F36542"/>
    <w:rsid w:val="00F3669D"/>
    <w:rsid w:val="00F3686E"/>
    <w:rsid w:val="00F36A9B"/>
    <w:rsid w:val="00F36D82"/>
    <w:rsid w:val="00F3718E"/>
    <w:rsid w:val="00F3770D"/>
    <w:rsid w:val="00F37B9D"/>
    <w:rsid w:val="00F404E6"/>
    <w:rsid w:val="00F40EBB"/>
    <w:rsid w:val="00F411DA"/>
    <w:rsid w:val="00F41DAE"/>
    <w:rsid w:val="00F42B5C"/>
    <w:rsid w:val="00F43A9A"/>
    <w:rsid w:val="00F43BB5"/>
    <w:rsid w:val="00F44521"/>
    <w:rsid w:val="00F44661"/>
    <w:rsid w:val="00F457B4"/>
    <w:rsid w:val="00F466BA"/>
    <w:rsid w:val="00F46D70"/>
    <w:rsid w:val="00F470A9"/>
    <w:rsid w:val="00F47228"/>
    <w:rsid w:val="00F501AB"/>
    <w:rsid w:val="00F501B3"/>
    <w:rsid w:val="00F50413"/>
    <w:rsid w:val="00F50866"/>
    <w:rsid w:val="00F50AD0"/>
    <w:rsid w:val="00F50FCF"/>
    <w:rsid w:val="00F513AE"/>
    <w:rsid w:val="00F517FD"/>
    <w:rsid w:val="00F51CD8"/>
    <w:rsid w:val="00F5274E"/>
    <w:rsid w:val="00F5311C"/>
    <w:rsid w:val="00F53CE0"/>
    <w:rsid w:val="00F53ECD"/>
    <w:rsid w:val="00F53EF7"/>
    <w:rsid w:val="00F53F2F"/>
    <w:rsid w:val="00F54756"/>
    <w:rsid w:val="00F54BB8"/>
    <w:rsid w:val="00F55674"/>
    <w:rsid w:val="00F55747"/>
    <w:rsid w:val="00F55DE9"/>
    <w:rsid w:val="00F55F1E"/>
    <w:rsid w:val="00F56A78"/>
    <w:rsid w:val="00F56D40"/>
    <w:rsid w:val="00F56F67"/>
    <w:rsid w:val="00F57B3A"/>
    <w:rsid w:val="00F619B0"/>
    <w:rsid w:val="00F61D0F"/>
    <w:rsid w:val="00F62E88"/>
    <w:rsid w:val="00F64488"/>
    <w:rsid w:val="00F64992"/>
    <w:rsid w:val="00F655B2"/>
    <w:rsid w:val="00F670F5"/>
    <w:rsid w:val="00F70669"/>
    <w:rsid w:val="00F70C70"/>
    <w:rsid w:val="00F729A6"/>
    <w:rsid w:val="00F74B88"/>
    <w:rsid w:val="00F751BF"/>
    <w:rsid w:val="00F759DC"/>
    <w:rsid w:val="00F759DD"/>
    <w:rsid w:val="00F75B07"/>
    <w:rsid w:val="00F77F68"/>
    <w:rsid w:val="00F8183C"/>
    <w:rsid w:val="00F8302E"/>
    <w:rsid w:val="00F83D33"/>
    <w:rsid w:val="00F83DDB"/>
    <w:rsid w:val="00F84196"/>
    <w:rsid w:val="00F85088"/>
    <w:rsid w:val="00F852D7"/>
    <w:rsid w:val="00F86115"/>
    <w:rsid w:val="00F86DAB"/>
    <w:rsid w:val="00F86F09"/>
    <w:rsid w:val="00F874FD"/>
    <w:rsid w:val="00F9039F"/>
    <w:rsid w:val="00F90AAD"/>
    <w:rsid w:val="00F92179"/>
    <w:rsid w:val="00F92A40"/>
    <w:rsid w:val="00F92F91"/>
    <w:rsid w:val="00F9333E"/>
    <w:rsid w:val="00F935BC"/>
    <w:rsid w:val="00F947E4"/>
    <w:rsid w:val="00F96F5D"/>
    <w:rsid w:val="00F970CB"/>
    <w:rsid w:val="00F972F4"/>
    <w:rsid w:val="00F97514"/>
    <w:rsid w:val="00F9781E"/>
    <w:rsid w:val="00F978F5"/>
    <w:rsid w:val="00FA0877"/>
    <w:rsid w:val="00FA0F83"/>
    <w:rsid w:val="00FA1143"/>
    <w:rsid w:val="00FA127D"/>
    <w:rsid w:val="00FA12A2"/>
    <w:rsid w:val="00FA1CD1"/>
    <w:rsid w:val="00FA23DC"/>
    <w:rsid w:val="00FA263C"/>
    <w:rsid w:val="00FA3772"/>
    <w:rsid w:val="00FA4916"/>
    <w:rsid w:val="00FA4A36"/>
    <w:rsid w:val="00FA4A57"/>
    <w:rsid w:val="00FA5165"/>
    <w:rsid w:val="00FA5BF3"/>
    <w:rsid w:val="00FA5CCF"/>
    <w:rsid w:val="00FA67C6"/>
    <w:rsid w:val="00FA6B37"/>
    <w:rsid w:val="00FA6B6F"/>
    <w:rsid w:val="00FA6FC7"/>
    <w:rsid w:val="00FA7158"/>
    <w:rsid w:val="00FA73AC"/>
    <w:rsid w:val="00FA7E5C"/>
    <w:rsid w:val="00FB07FC"/>
    <w:rsid w:val="00FB193D"/>
    <w:rsid w:val="00FB258A"/>
    <w:rsid w:val="00FB279A"/>
    <w:rsid w:val="00FB29C7"/>
    <w:rsid w:val="00FB306B"/>
    <w:rsid w:val="00FB3388"/>
    <w:rsid w:val="00FB3422"/>
    <w:rsid w:val="00FB346B"/>
    <w:rsid w:val="00FB3511"/>
    <w:rsid w:val="00FB3E58"/>
    <w:rsid w:val="00FB3E7C"/>
    <w:rsid w:val="00FB457F"/>
    <w:rsid w:val="00FB5377"/>
    <w:rsid w:val="00FB54A5"/>
    <w:rsid w:val="00FB64FC"/>
    <w:rsid w:val="00FB6D7B"/>
    <w:rsid w:val="00FB7789"/>
    <w:rsid w:val="00FC03B8"/>
    <w:rsid w:val="00FC1129"/>
    <w:rsid w:val="00FC11D8"/>
    <w:rsid w:val="00FC26DA"/>
    <w:rsid w:val="00FC2F1E"/>
    <w:rsid w:val="00FC2F31"/>
    <w:rsid w:val="00FC2FA0"/>
    <w:rsid w:val="00FC3079"/>
    <w:rsid w:val="00FC51EC"/>
    <w:rsid w:val="00FC520D"/>
    <w:rsid w:val="00FC57D0"/>
    <w:rsid w:val="00FC6C18"/>
    <w:rsid w:val="00FC753F"/>
    <w:rsid w:val="00FC788A"/>
    <w:rsid w:val="00FD01B5"/>
    <w:rsid w:val="00FD0B68"/>
    <w:rsid w:val="00FD1EDA"/>
    <w:rsid w:val="00FD20E0"/>
    <w:rsid w:val="00FD27C4"/>
    <w:rsid w:val="00FD2D57"/>
    <w:rsid w:val="00FD35A2"/>
    <w:rsid w:val="00FD5987"/>
    <w:rsid w:val="00FD5BF0"/>
    <w:rsid w:val="00FD6640"/>
    <w:rsid w:val="00FD6A32"/>
    <w:rsid w:val="00FE02DC"/>
    <w:rsid w:val="00FE0843"/>
    <w:rsid w:val="00FE0EF9"/>
    <w:rsid w:val="00FE0F4A"/>
    <w:rsid w:val="00FE1BF3"/>
    <w:rsid w:val="00FE2961"/>
    <w:rsid w:val="00FE2BBE"/>
    <w:rsid w:val="00FE2C77"/>
    <w:rsid w:val="00FE2C8D"/>
    <w:rsid w:val="00FE3893"/>
    <w:rsid w:val="00FE62B2"/>
    <w:rsid w:val="00FE6D82"/>
    <w:rsid w:val="00FE6E96"/>
    <w:rsid w:val="00FE7281"/>
    <w:rsid w:val="00FF025F"/>
    <w:rsid w:val="00FF02F5"/>
    <w:rsid w:val="00FF0455"/>
    <w:rsid w:val="00FF04D4"/>
    <w:rsid w:val="00FF16F9"/>
    <w:rsid w:val="00FF1706"/>
    <w:rsid w:val="00FF24DF"/>
    <w:rsid w:val="00FF449E"/>
    <w:rsid w:val="00FF5256"/>
    <w:rsid w:val="00FF5ACE"/>
    <w:rsid w:val="00FF5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shapelayout>
  </w:shapeDefaults>
  <w:decimalSymbol w:val="."/>
  <w:listSeparator w:val=","/>
  <w14:docId w14:val="3344A7BD"/>
  <w15:chartTrackingRefBased/>
  <w15:docId w15:val="{F62B1C47-A67A-49C2-9F9C-BFB7DC33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2"/>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2"/>
      </w:numPr>
      <w:spacing w:before="200"/>
      <w:outlineLvl w:val="4"/>
    </w:pPr>
  </w:style>
  <w:style w:type="paragraph" w:styleId="Heading6">
    <w:name w:val="heading 6"/>
    <w:basedOn w:val="Normal"/>
    <w:next w:val="Normal"/>
    <w:link w:val="Heading6Char"/>
    <w:locked/>
    <w:rsid w:val="005C2ECF"/>
    <w:pPr>
      <w:keepNext/>
      <w:keepLines/>
      <w:numPr>
        <w:ilvl w:val="5"/>
        <w:numId w:val="2"/>
      </w:numPr>
      <w:spacing w:before="200"/>
      <w:outlineLvl w:val="5"/>
    </w:pPr>
    <w:rPr>
      <w:i/>
      <w:iCs/>
    </w:rPr>
  </w:style>
  <w:style w:type="paragraph" w:styleId="Heading7">
    <w:name w:val="heading 7"/>
    <w:basedOn w:val="Normal"/>
    <w:next w:val="Normal"/>
    <w:link w:val="Heading7Char"/>
    <w:locked/>
    <w:rsid w:val="005C2ECF"/>
    <w:pPr>
      <w:keepNext/>
      <w:keepLines/>
      <w:numPr>
        <w:ilvl w:val="6"/>
        <w:numId w:val="2"/>
      </w:numPr>
      <w:spacing w:before="200"/>
      <w:outlineLvl w:val="6"/>
    </w:pPr>
    <w:rPr>
      <w:i/>
      <w:iCs/>
    </w:rPr>
  </w:style>
  <w:style w:type="paragraph" w:styleId="Heading8">
    <w:name w:val="heading 8"/>
    <w:basedOn w:val="Normal"/>
    <w:next w:val="Normal"/>
    <w:link w:val="Heading8Char"/>
    <w:locked/>
    <w:rsid w:val="005C2ECF"/>
    <w:pPr>
      <w:keepNext/>
      <w:keepLines/>
      <w:numPr>
        <w:ilvl w:val="7"/>
        <w:numId w:val="2"/>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2"/>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7"/>
      </w:numPr>
      <w:spacing w:before="0"/>
    </w:pPr>
  </w:style>
  <w:style w:type="paragraph" w:styleId="ListBullet2">
    <w:name w:val="List Bullet 2"/>
    <w:basedOn w:val="Normal"/>
    <w:semiHidden/>
    <w:locked/>
    <w:rsid w:val="005C2ECF"/>
    <w:pPr>
      <w:numPr>
        <w:numId w:val="8"/>
      </w:numPr>
    </w:pPr>
  </w:style>
  <w:style w:type="paragraph" w:styleId="ListBullet3">
    <w:name w:val="List Bullet 3"/>
    <w:basedOn w:val="Normal"/>
    <w:semiHidden/>
    <w:locked/>
    <w:rsid w:val="005C2ECF"/>
    <w:pPr>
      <w:numPr>
        <w:numId w:val="9"/>
      </w:numPr>
    </w:pPr>
  </w:style>
  <w:style w:type="paragraph" w:styleId="ListBullet4">
    <w:name w:val="List Bullet 4"/>
    <w:basedOn w:val="Normal"/>
    <w:semiHidden/>
    <w:locked/>
    <w:rsid w:val="005C2ECF"/>
    <w:pPr>
      <w:numPr>
        <w:numId w:val="10"/>
      </w:numPr>
    </w:pPr>
  </w:style>
  <w:style w:type="paragraph" w:styleId="ListBullet5">
    <w:name w:val="List Bullet 5"/>
    <w:basedOn w:val="Normal"/>
    <w:semiHidden/>
    <w:locked/>
    <w:rsid w:val="005C2ECF"/>
    <w:pPr>
      <w:numPr>
        <w:numId w:val="11"/>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12"/>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5"/>
      </w:numPr>
    </w:pPr>
  </w:style>
  <w:style w:type="paragraph" w:styleId="ListNumber3">
    <w:name w:val="List Number 3"/>
    <w:basedOn w:val="Normal"/>
    <w:semiHidden/>
    <w:locked/>
    <w:rsid w:val="005C2ECF"/>
    <w:pPr>
      <w:numPr>
        <w:numId w:val="16"/>
      </w:numPr>
    </w:pPr>
  </w:style>
  <w:style w:type="paragraph" w:styleId="ListNumber4">
    <w:name w:val="List Number 4"/>
    <w:basedOn w:val="Normal"/>
    <w:semiHidden/>
    <w:locked/>
    <w:rsid w:val="005C2ECF"/>
    <w:pPr>
      <w:numPr>
        <w:numId w:val="13"/>
      </w:numPr>
    </w:pPr>
  </w:style>
  <w:style w:type="paragraph" w:styleId="ListNumber5">
    <w:name w:val="List Number 5"/>
    <w:basedOn w:val="Normal"/>
    <w:semiHidden/>
    <w:locked/>
    <w:rsid w:val="005C2ECF"/>
    <w:pPr>
      <w:numPr>
        <w:numId w:val="14"/>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4B71CE"/>
    <w:rPr>
      <w:color w:val="605E5C"/>
      <w:shd w:val="clear" w:color="auto" w:fill="E1DFDD"/>
    </w:rPr>
  </w:style>
  <w:style w:type="paragraph" w:styleId="FootnoteText">
    <w:name w:val="footnote text"/>
    <w:basedOn w:val="Normal"/>
    <w:link w:val="FootnoteTextChar"/>
    <w:locked/>
    <w:rsid w:val="003A4BD3"/>
    <w:pPr>
      <w:spacing w:before="0" w:after="0"/>
    </w:pPr>
    <w:rPr>
      <w:sz w:val="20"/>
      <w:szCs w:val="20"/>
    </w:rPr>
  </w:style>
  <w:style w:type="character" w:customStyle="1" w:styleId="FootnoteTextChar">
    <w:name w:val="Footnote Text Char"/>
    <w:basedOn w:val="DefaultParagraphFont"/>
    <w:link w:val="FootnoteText"/>
    <w:rsid w:val="003A4BD3"/>
    <w:rPr>
      <w:rFonts w:ascii="Open Sans" w:eastAsia="MS Mincho" w:hAnsi="Open Sans"/>
    </w:rPr>
  </w:style>
  <w:style w:type="character" w:styleId="FootnoteReference">
    <w:name w:val="footnote reference"/>
    <w:basedOn w:val="DefaultParagraphFont"/>
    <w:locked/>
    <w:rsid w:val="003A4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3" Type="http://schemas.openxmlformats.org/officeDocument/2006/relationships/hyperlink" Target="https://www.humanrights.gov.au/our-work/rights-and-freedoms/publications/discussion-paper-priorities-federal-discrimination-law" TargetMode="External"/><Relationship Id="rId2" Type="http://schemas.openxmlformats.org/officeDocument/2006/relationships/hyperlink" Target="https://www.ag.gov.au/rights-and-protections/publications/roadmap-for-respect" TargetMode="External"/><Relationship Id="rId1" Type="http://schemas.openxmlformats.org/officeDocument/2006/relationships/hyperlink" Target="https://humanrights.gov.au/our-work/sex-discrimination/publications/everyones-business-fourth-national-survey-sexual" TargetMode="External"/><Relationship Id="rId5" Type="http://schemas.openxmlformats.org/officeDocument/2006/relationships/hyperlink" Target="https://www.safeworkaustralia.gov.au/doc/work-related-psychological-health-and-safety-systematic-approach-meeting-your-duties" TargetMode="External"/><Relationship Id="rId4" Type="http://schemas.openxmlformats.org/officeDocument/2006/relationships/hyperlink" Target="https://humanrights.gov.au/our-work/sex-discrimination/publications/ending-workplace-sexual-harassment-resource-small-med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0" ma:contentTypeDescription="Create a new document." ma:contentTypeScope="" ma:versionID="9845be5e4e16fe936cd2852ca00845fa">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6a5b027b2457213cec9ab565ecf74091"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 xsi:nil="true"/>
    <TaxCatchAll xmlns="6500fe01-343b-4fb9-a1b0-68ac19d62e01"/>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_dlc_DocId xmlns="6500fe01-343b-4fb9-a1b0-68ac19d62e01">DGE6U7RJ2EFV-31920988-8369</_dlc_DocId>
    <_dlc_DocIdUrl xmlns="6500fe01-343b-4fb9-a1b0-68ac19d62e01">
      <Url>https://australianhrc.sharepoint.com/sites/LegalServicesWorkspace/_layouts/15/DocIdRedir.aspx?ID=DGE6U7RJ2EFV-31920988-8369</Url>
      <Description>DGE6U7RJ2EFV-31920988-8369</Description>
    </_dlc_DocIdUrl>
  </documentManagement>
</p:properties>
</file>

<file path=customXml/itemProps1.xml><?xml version="1.0" encoding="utf-8"?>
<ds:datastoreItem xmlns:ds="http://schemas.openxmlformats.org/officeDocument/2006/customXml" ds:itemID="{57822922-2FD1-43A4-B010-653AC25C03B5}">
  <ds:schemaRefs>
    <ds:schemaRef ds:uri="http://schemas.openxmlformats.org/officeDocument/2006/bibliography"/>
  </ds:schemaRefs>
</ds:datastoreItem>
</file>

<file path=customXml/itemProps2.xml><?xml version="1.0" encoding="utf-8"?>
<ds:datastoreItem xmlns:ds="http://schemas.openxmlformats.org/officeDocument/2006/customXml" ds:itemID="{75ED8BE3-EAAD-4BE0-9072-23226A49F4A6}">
  <ds:schemaRefs>
    <ds:schemaRef ds:uri="http://schemas.microsoft.com/sharepoint/events"/>
  </ds:schemaRefs>
</ds:datastoreItem>
</file>

<file path=customXml/itemProps3.xml><?xml version="1.0" encoding="utf-8"?>
<ds:datastoreItem xmlns:ds="http://schemas.openxmlformats.org/officeDocument/2006/customXml" ds:itemID="{18CAC884-BC64-4921-AE72-A5966DB72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366B5-9F85-4B94-9348-69C445611A3F}">
  <ds:schemaRefs>
    <ds:schemaRef ds:uri="Microsoft.SharePoint.Taxonomy.ContentTypeSync"/>
  </ds:schemaRefs>
</ds:datastoreItem>
</file>

<file path=customXml/itemProps5.xml><?xml version="1.0" encoding="utf-8"?>
<ds:datastoreItem xmlns:ds="http://schemas.openxmlformats.org/officeDocument/2006/customXml" ds:itemID="{0138C299-6584-4C50-9E47-3ACB131A8F06}">
  <ds:schemaRefs>
    <ds:schemaRef ds:uri="http://schemas.microsoft.com/office/2006/metadata/customXsn"/>
  </ds:schemaRefs>
</ds:datastoreItem>
</file>

<file path=customXml/itemProps6.xml><?xml version="1.0" encoding="utf-8"?>
<ds:datastoreItem xmlns:ds="http://schemas.openxmlformats.org/officeDocument/2006/customXml" ds:itemID="{A38B308F-0072-482B-889E-242E86A1BC68}">
  <ds:schemaRefs>
    <ds:schemaRef ds:uri="http://schemas.microsoft.com/sharepoint/v3/contenttype/forms"/>
  </ds:schemaRefs>
</ds:datastoreItem>
</file>

<file path=customXml/itemProps7.xml><?xml version="1.0" encoding="utf-8"?>
<ds:datastoreItem xmlns:ds="http://schemas.openxmlformats.org/officeDocument/2006/customXml" ds:itemID="{C7E5F9EF-A5F3-402B-BF8F-41410A522797}">
  <ds:schemaRefs>
    <ds:schemaRef ds:uri="http://purl.org/dc/terms/"/>
    <ds:schemaRef ds:uri="6500fe01-343b-4fb9-a1b0-68ac19d62e01"/>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1a69bdef-c635-48ac-9cf9-b687dab64bb7"/>
    <ds:schemaRef ds:uri="57f1fb52-79b9-4278-9d54-1e5db41bfcd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Submission_New.dotx</Template>
  <TotalTime>4635</TotalTime>
  <Pages>29</Pages>
  <Words>7946</Words>
  <Characters>44059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51902</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1393</cp:revision>
  <cp:lastPrinted>2021-07-09T04:13:00Z</cp:lastPrinted>
  <dcterms:created xsi:type="dcterms:W3CDTF">2021-07-02T00:39:00Z</dcterms:created>
  <dcterms:modified xsi:type="dcterms:W3CDTF">2021-07-09T04:13:00Z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
  </property>
  <property fmtid="{D5CDD505-2E9C-101B-9397-08002B2CF9AE}" pid="5" name="_dlc_DocIdItemGuid">
    <vt:lpwstr>4285649a-e7e1-47df-b66b-f0ca7be075af</vt:lpwstr>
  </property>
</Properties>
</file>