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F214" w14:textId="77777777" w:rsidR="00A4265D" w:rsidRDefault="00A4265D" w:rsidP="002F167A">
      <w:pPr>
        <w:spacing w:before="0" w:after="120"/>
        <w:rPr>
          <w:b/>
          <w:sz w:val="28"/>
          <w:szCs w:val="28"/>
        </w:rPr>
      </w:pPr>
      <w:bookmarkStart w:id="0" w:name="_Toc207761829"/>
      <w:r>
        <w:rPr>
          <w:rFonts w:cs="ArialMT"/>
          <w:b/>
          <w:noProof/>
          <w:color w:val="000000"/>
          <w:spacing w:val="-20"/>
          <w:sz w:val="32"/>
          <w:lang w:val="en-US" w:eastAsia="en-US"/>
        </w:rPr>
        <w:drawing>
          <wp:inline distT="0" distB="0" distL="0" distR="0" wp14:anchorId="51BA00DF" wp14:editId="67C03929">
            <wp:extent cx="2362200" cy="80962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p>
    <w:p w14:paraId="313D8BCF" w14:textId="77777777" w:rsidR="00A4265D" w:rsidRDefault="00A4265D" w:rsidP="002F167A">
      <w:pPr>
        <w:spacing w:before="0" w:after="120"/>
        <w:rPr>
          <w:b/>
          <w:sz w:val="28"/>
          <w:szCs w:val="28"/>
        </w:rPr>
      </w:pPr>
    </w:p>
    <w:p w14:paraId="212953ED" w14:textId="77777777" w:rsidR="002F167A" w:rsidRPr="005A35ED" w:rsidRDefault="002F167A" w:rsidP="00A4265D">
      <w:pPr>
        <w:spacing w:before="0" w:after="120"/>
        <w:jc w:val="center"/>
        <w:rPr>
          <w:b/>
          <w:sz w:val="28"/>
          <w:szCs w:val="28"/>
        </w:rPr>
      </w:pPr>
      <w:r w:rsidRPr="005A35ED">
        <w:rPr>
          <w:b/>
          <w:sz w:val="28"/>
          <w:szCs w:val="28"/>
        </w:rPr>
        <w:t>Supporting workplaces to end workplace sexual harassment: A Guide for Small Businesses in Australia</w:t>
      </w:r>
    </w:p>
    <w:p w14:paraId="498568C3" w14:textId="77777777" w:rsidR="002F167A" w:rsidRPr="005A35ED" w:rsidRDefault="004F5909" w:rsidP="00A4265D">
      <w:pPr>
        <w:spacing w:before="0" w:after="120"/>
        <w:jc w:val="center"/>
        <w:rPr>
          <w:b/>
          <w:sz w:val="28"/>
          <w:szCs w:val="28"/>
        </w:rPr>
      </w:pPr>
      <w:r>
        <w:rPr>
          <w:b/>
          <w:sz w:val="28"/>
          <w:szCs w:val="28"/>
        </w:rPr>
        <w:t>2015</w:t>
      </w:r>
    </w:p>
    <w:p w14:paraId="1E10ED7D" w14:textId="77777777" w:rsidR="002F167A" w:rsidRDefault="002F167A" w:rsidP="002F167A">
      <w:pPr>
        <w:pStyle w:val="SubmissionNormal"/>
        <w:numPr>
          <w:ilvl w:val="0"/>
          <w:numId w:val="0"/>
        </w:numPr>
      </w:pPr>
      <w:r w:rsidRPr="003624E0">
        <w:t xml:space="preserve">Most </w:t>
      </w:r>
      <w:r>
        <w:t>small businesses</w:t>
      </w:r>
      <w:r w:rsidRPr="003624E0">
        <w:t xml:space="preserve"> </w:t>
      </w:r>
      <w:r w:rsidR="00C67B83">
        <w:t xml:space="preserve">and small business people </w:t>
      </w:r>
      <w:r w:rsidRPr="003624E0">
        <w:t xml:space="preserve">would like </w:t>
      </w:r>
      <w:r>
        <w:t xml:space="preserve">to think that sexual harassment </w:t>
      </w:r>
      <w:r w:rsidRPr="003624E0">
        <w:t xml:space="preserve">is not something that </w:t>
      </w:r>
      <w:r w:rsidR="009E2A09">
        <w:t>could happen</w:t>
      </w:r>
      <w:r w:rsidR="009E2A09" w:rsidRPr="003624E0">
        <w:t xml:space="preserve"> </w:t>
      </w:r>
      <w:r w:rsidRPr="003624E0">
        <w:t xml:space="preserve">in their workplace.  </w:t>
      </w:r>
      <w:r w:rsidR="009825E4">
        <w:t>Research</w:t>
      </w:r>
      <w:r w:rsidR="009E2A09">
        <w:t xml:space="preserve"> carried out by the Commission found that</w:t>
      </w:r>
      <w:r>
        <w:t xml:space="preserve"> </w:t>
      </w:r>
      <w:r w:rsidR="009825E4">
        <w:t xml:space="preserve">sexual harassment </w:t>
      </w:r>
      <w:r w:rsidR="00F05574">
        <w:t xml:space="preserve">in workplaces </w:t>
      </w:r>
      <w:r w:rsidR="009825E4">
        <w:t xml:space="preserve">is quite common and </w:t>
      </w:r>
      <w:r>
        <w:t>1 in 5 people have experienced workplace sexual harassment in the last five years.</w:t>
      </w:r>
      <w:r w:rsidRPr="009F3969">
        <w:rPr>
          <w:rStyle w:val="EndnoteReference"/>
          <w:color w:val="000000" w:themeColor="text1"/>
        </w:rPr>
        <w:endnoteReference w:id="1"/>
      </w:r>
      <w:r w:rsidRPr="009F3969">
        <w:rPr>
          <w:color w:val="000000" w:themeColor="text1"/>
        </w:rPr>
        <w:t xml:space="preserve"> </w:t>
      </w:r>
      <w:r w:rsidR="009E2A09">
        <w:t>Sexual harassment can occur</w:t>
      </w:r>
      <w:r w:rsidRPr="003624E0">
        <w:t xml:space="preserve"> across a broad </w:t>
      </w:r>
      <w:r w:rsidR="009E2A09">
        <w:t>range</w:t>
      </w:r>
      <w:r w:rsidR="009E2A09" w:rsidRPr="003624E0">
        <w:t xml:space="preserve"> </w:t>
      </w:r>
      <w:r w:rsidRPr="003624E0">
        <w:t>of occupations, workplaces and industries.</w:t>
      </w:r>
      <w:r w:rsidRPr="003624E0">
        <w:rPr>
          <w:rStyle w:val="EndnoteReference"/>
        </w:rPr>
        <w:endnoteReference w:id="2"/>
      </w:r>
      <w:r w:rsidRPr="003624E0">
        <w:t xml:space="preserve">  </w:t>
      </w:r>
    </w:p>
    <w:p w14:paraId="0A73966D" w14:textId="77777777" w:rsidR="004A0CA9" w:rsidRPr="004A0CA9" w:rsidRDefault="004A0CA9" w:rsidP="004A0CA9">
      <w:pPr>
        <w:rPr>
          <w:rFonts w:eastAsia="Times New Roman"/>
        </w:rPr>
      </w:pPr>
      <w:r>
        <w:rPr>
          <w:rFonts w:eastAsia="Times New Roman"/>
        </w:rPr>
        <w:t>The effects of sexual harassment are costly not only to the individual employees who experience it and the bystanders who witness or later hear about it, but also to the businesses in which it occurs.  Consequ</w:t>
      </w:r>
      <w:bookmarkStart w:id="1" w:name="_GoBack"/>
      <w:bookmarkEnd w:id="1"/>
      <w:r>
        <w:rPr>
          <w:rFonts w:eastAsia="Times New Roman"/>
        </w:rPr>
        <w:t>ences such as reduced morale, absenteeism, injury to reputation and the loss of shareholder confidence show that sexual harassment is an issue that employers cannot afford to ignore.  </w:t>
      </w:r>
    </w:p>
    <w:p w14:paraId="0F5E880D" w14:textId="77777777" w:rsidR="00A5649B" w:rsidRDefault="002F167A" w:rsidP="002F167A">
      <w:pPr>
        <w:pStyle w:val="SubmissionNormal"/>
        <w:numPr>
          <w:ilvl w:val="0"/>
          <w:numId w:val="0"/>
        </w:numPr>
      </w:pPr>
      <w:r>
        <w:t xml:space="preserve">Under the </w:t>
      </w:r>
      <w:r w:rsidRPr="004D00AD">
        <w:rPr>
          <w:i/>
        </w:rPr>
        <w:t>Sex Discrimination Act 1984</w:t>
      </w:r>
      <w:r>
        <w:t xml:space="preserve"> (Cth), </w:t>
      </w:r>
      <w:r w:rsidR="00F05574">
        <w:t>businesses, including small businesses</w:t>
      </w:r>
      <w:r w:rsidR="00D57391">
        <w:t>,</w:t>
      </w:r>
      <w:r w:rsidR="00F05574" w:rsidDel="00F05574">
        <w:t xml:space="preserve"> </w:t>
      </w:r>
      <w:r w:rsidR="009825E4">
        <w:t>can</w:t>
      </w:r>
      <w:r w:rsidR="009825E4" w:rsidRPr="003624E0">
        <w:t xml:space="preserve"> </w:t>
      </w:r>
      <w:r w:rsidRPr="003624E0">
        <w:t>be held legally responsible for sexual harassment unless they have taken all reasonable steps to prevent the harassment.</w:t>
      </w:r>
      <w:r>
        <w:t xml:space="preserve"> </w:t>
      </w:r>
      <w:r w:rsidRPr="003624E0">
        <w:t>An important part of ensuring compliance</w:t>
      </w:r>
      <w:r>
        <w:t xml:space="preserve"> with the Sex Discrimination Act</w:t>
      </w:r>
      <w:r w:rsidRPr="003624E0">
        <w:t xml:space="preserve"> is regularly reviewing and (where appropriate) revising sexual harassment policies, procedures and training programs to ensure they remain current.   </w:t>
      </w:r>
    </w:p>
    <w:tbl>
      <w:tblPr>
        <w:tblStyle w:val="TableGrid"/>
        <w:tblW w:w="0" w:type="auto"/>
        <w:tblLook w:val="04A0" w:firstRow="1" w:lastRow="0" w:firstColumn="1" w:lastColumn="0" w:noHBand="0" w:noVBand="1"/>
      </w:tblPr>
      <w:tblGrid>
        <w:gridCol w:w="9060"/>
      </w:tblGrid>
      <w:tr w:rsidR="00A5649B" w:rsidRPr="005A35ED" w14:paraId="0224D3A6" w14:textId="77777777" w:rsidTr="00A5649B">
        <w:tc>
          <w:tcPr>
            <w:tcW w:w="9286" w:type="dxa"/>
          </w:tcPr>
          <w:p w14:paraId="389613E5" w14:textId="77777777" w:rsidR="00437740" w:rsidRDefault="00A5649B">
            <w:pPr>
              <w:pStyle w:val="TOC1"/>
              <w:rPr>
                <w:rFonts w:asciiTheme="minorHAnsi" w:eastAsiaTheme="minorEastAsia" w:hAnsiTheme="minorHAnsi" w:cstheme="minorBidi"/>
                <w:b w:val="0"/>
                <w:szCs w:val="22"/>
              </w:rPr>
            </w:pPr>
            <w:r w:rsidRPr="005A35ED">
              <w:fldChar w:fldCharType="begin"/>
            </w:r>
            <w:r w:rsidRPr="005A35ED">
              <w:instrText xml:space="preserve"> TOC \o "1-2" \h \z \u </w:instrText>
            </w:r>
            <w:r w:rsidRPr="005A35ED">
              <w:fldChar w:fldCharType="separate"/>
            </w:r>
            <w:hyperlink w:anchor="_Toc397509092" w:history="1">
              <w:r w:rsidR="00437740" w:rsidRPr="002F3255">
                <w:rPr>
                  <w:rStyle w:val="Hyperlink"/>
                </w:rPr>
                <w:t>1</w:t>
              </w:r>
              <w:r w:rsidR="00437740">
                <w:rPr>
                  <w:rFonts w:asciiTheme="minorHAnsi" w:eastAsiaTheme="minorEastAsia" w:hAnsiTheme="minorHAnsi" w:cstheme="minorBidi"/>
                  <w:b w:val="0"/>
                  <w:szCs w:val="22"/>
                </w:rPr>
                <w:tab/>
              </w:r>
              <w:r w:rsidR="00437740" w:rsidRPr="002F3255">
                <w:rPr>
                  <w:rStyle w:val="Hyperlink"/>
                </w:rPr>
                <w:t>What this Guide Covers</w:t>
              </w:r>
              <w:r w:rsidR="00437740">
                <w:rPr>
                  <w:webHidden/>
                </w:rPr>
                <w:tab/>
              </w:r>
              <w:r w:rsidR="00437740">
                <w:rPr>
                  <w:webHidden/>
                </w:rPr>
                <w:fldChar w:fldCharType="begin"/>
              </w:r>
              <w:r w:rsidR="00437740">
                <w:rPr>
                  <w:webHidden/>
                </w:rPr>
                <w:instrText xml:space="preserve"> PAGEREF _Toc397509092 \h </w:instrText>
              </w:r>
              <w:r w:rsidR="00437740">
                <w:rPr>
                  <w:webHidden/>
                </w:rPr>
              </w:r>
              <w:r w:rsidR="00437740">
                <w:rPr>
                  <w:webHidden/>
                </w:rPr>
                <w:fldChar w:fldCharType="separate"/>
              </w:r>
              <w:r w:rsidR="00437740">
                <w:rPr>
                  <w:webHidden/>
                </w:rPr>
                <w:t>2</w:t>
              </w:r>
              <w:r w:rsidR="00437740">
                <w:rPr>
                  <w:webHidden/>
                </w:rPr>
                <w:fldChar w:fldCharType="end"/>
              </w:r>
            </w:hyperlink>
          </w:p>
          <w:p w14:paraId="7086025E" w14:textId="77777777" w:rsidR="00437740" w:rsidRDefault="005B2E48">
            <w:pPr>
              <w:pStyle w:val="TOC1"/>
              <w:rPr>
                <w:rFonts w:asciiTheme="minorHAnsi" w:eastAsiaTheme="minorEastAsia" w:hAnsiTheme="minorHAnsi" w:cstheme="minorBidi"/>
                <w:b w:val="0"/>
                <w:szCs w:val="22"/>
              </w:rPr>
            </w:pPr>
            <w:hyperlink w:anchor="_Toc397509093" w:history="1">
              <w:r w:rsidR="00437740" w:rsidRPr="002F3255">
                <w:rPr>
                  <w:rStyle w:val="Hyperlink"/>
                </w:rPr>
                <w:t>2</w:t>
              </w:r>
              <w:r w:rsidR="00437740">
                <w:rPr>
                  <w:rFonts w:asciiTheme="minorHAnsi" w:eastAsiaTheme="minorEastAsia" w:hAnsiTheme="minorHAnsi" w:cstheme="minorBidi"/>
                  <w:b w:val="0"/>
                  <w:szCs w:val="22"/>
                </w:rPr>
                <w:tab/>
              </w:r>
              <w:r w:rsidR="00437740" w:rsidRPr="002F3255">
                <w:rPr>
                  <w:rStyle w:val="Hyperlink"/>
                </w:rPr>
                <w:t>Summary</w:t>
              </w:r>
              <w:r w:rsidR="00437740">
                <w:rPr>
                  <w:webHidden/>
                </w:rPr>
                <w:tab/>
              </w:r>
              <w:r w:rsidR="00437740">
                <w:rPr>
                  <w:webHidden/>
                </w:rPr>
                <w:fldChar w:fldCharType="begin"/>
              </w:r>
              <w:r w:rsidR="00437740">
                <w:rPr>
                  <w:webHidden/>
                </w:rPr>
                <w:instrText xml:space="preserve"> PAGEREF _Toc397509093 \h </w:instrText>
              </w:r>
              <w:r w:rsidR="00437740">
                <w:rPr>
                  <w:webHidden/>
                </w:rPr>
              </w:r>
              <w:r w:rsidR="00437740">
                <w:rPr>
                  <w:webHidden/>
                </w:rPr>
                <w:fldChar w:fldCharType="separate"/>
              </w:r>
              <w:r w:rsidR="00437740">
                <w:rPr>
                  <w:webHidden/>
                </w:rPr>
                <w:t>2</w:t>
              </w:r>
              <w:r w:rsidR="00437740">
                <w:rPr>
                  <w:webHidden/>
                </w:rPr>
                <w:fldChar w:fldCharType="end"/>
              </w:r>
            </w:hyperlink>
          </w:p>
          <w:p w14:paraId="6015C99B" w14:textId="77777777" w:rsidR="00437740" w:rsidRDefault="005B2E48">
            <w:pPr>
              <w:pStyle w:val="TOC1"/>
              <w:rPr>
                <w:rFonts w:asciiTheme="minorHAnsi" w:eastAsiaTheme="minorEastAsia" w:hAnsiTheme="minorHAnsi" w:cstheme="minorBidi"/>
                <w:b w:val="0"/>
                <w:szCs w:val="22"/>
              </w:rPr>
            </w:pPr>
            <w:hyperlink w:anchor="_Toc397509094" w:history="1">
              <w:r w:rsidR="00437740" w:rsidRPr="002F3255">
                <w:rPr>
                  <w:rStyle w:val="Hyperlink"/>
                </w:rPr>
                <w:t>3</w:t>
              </w:r>
              <w:r w:rsidR="00437740">
                <w:rPr>
                  <w:rFonts w:asciiTheme="minorHAnsi" w:eastAsiaTheme="minorEastAsia" w:hAnsiTheme="minorHAnsi" w:cstheme="minorBidi"/>
                  <w:b w:val="0"/>
                  <w:szCs w:val="22"/>
                </w:rPr>
                <w:tab/>
              </w:r>
              <w:r w:rsidR="00437740" w:rsidRPr="002F3255">
                <w:rPr>
                  <w:rStyle w:val="Hyperlink"/>
                </w:rPr>
                <w:t>Understanding sexual harassment</w:t>
              </w:r>
              <w:r w:rsidR="00437740">
                <w:rPr>
                  <w:webHidden/>
                </w:rPr>
                <w:tab/>
              </w:r>
              <w:r w:rsidR="00437740">
                <w:rPr>
                  <w:webHidden/>
                </w:rPr>
                <w:fldChar w:fldCharType="begin"/>
              </w:r>
              <w:r w:rsidR="00437740">
                <w:rPr>
                  <w:webHidden/>
                </w:rPr>
                <w:instrText xml:space="preserve"> PAGEREF _Toc397509094 \h </w:instrText>
              </w:r>
              <w:r w:rsidR="00437740">
                <w:rPr>
                  <w:webHidden/>
                </w:rPr>
              </w:r>
              <w:r w:rsidR="00437740">
                <w:rPr>
                  <w:webHidden/>
                </w:rPr>
                <w:fldChar w:fldCharType="separate"/>
              </w:r>
              <w:r w:rsidR="00437740">
                <w:rPr>
                  <w:webHidden/>
                </w:rPr>
                <w:t>4</w:t>
              </w:r>
              <w:r w:rsidR="00437740">
                <w:rPr>
                  <w:webHidden/>
                </w:rPr>
                <w:fldChar w:fldCharType="end"/>
              </w:r>
            </w:hyperlink>
          </w:p>
          <w:p w14:paraId="3EE42A15" w14:textId="77777777" w:rsidR="00437740" w:rsidRDefault="005B2E48">
            <w:pPr>
              <w:pStyle w:val="TOC1"/>
              <w:rPr>
                <w:rFonts w:asciiTheme="minorHAnsi" w:eastAsiaTheme="minorEastAsia" w:hAnsiTheme="minorHAnsi" w:cstheme="minorBidi"/>
                <w:b w:val="0"/>
                <w:szCs w:val="22"/>
              </w:rPr>
            </w:pPr>
            <w:hyperlink w:anchor="_Toc397509099" w:history="1">
              <w:r w:rsidR="00437740" w:rsidRPr="002F3255">
                <w:rPr>
                  <w:rStyle w:val="Hyperlink"/>
                </w:rPr>
                <w:t>4</w:t>
              </w:r>
              <w:r w:rsidR="00437740">
                <w:rPr>
                  <w:rFonts w:asciiTheme="minorHAnsi" w:eastAsiaTheme="minorEastAsia" w:hAnsiTheme="minorHAnsi" w:cstheme="minorBidi"/>
                  <w:b w:val="0"/>
                  <w:szCs w:val="22"/>
                </w:rPr>
                <w:tab/>
              </w:r>
              <w:r w:rsidR="00437740" w:rsidRPr="002F3255">
                <w:rPr>
                  <w:rStyle w:val="Hyperlink"/>
                </w:rPr>
                <w:t>Types of legal action</w:t>
              </w:r>
              <w:r w:rsidR="00437740">
                <w:rPr>
                  <w:webHidden/>
                </w:rPr>
                <w:tab/>
              </w:r>
              <w:r w:rsidR="00437740">
                <w:rPr>
                  <w:webHidden/>
                </w:rPr>
                <w:fldChar w:fldCharType="begin"/>
              </w:r>
              <w:r w:rsidR="00437740">
                <w:rPr>
                  <w:webHidden/>
                </w:rPr>
                <w:instrText xml:space="preserve"> PAGEREF _Toc397509099 \h </w:instrText>
              </w:r>
              <w:r w:rsidR="00437740">
                <w:rPr>
                  <w:webHidden/>
                </w:rPr>
              </w:r>
              <w:r w:rsidR="00437740">
                <w:rPr>
                  <w:webHidden/>
                </w:rPr>
                <w:fldChar w:fldCharType="separate"/>
              </w:r>
              <w:r w:rsidR="00437740">
                <w:rPr>
                  <w:webHidden/>
                </w:rPr>
                <w:t>6</w:t>
              </w:r>
              <w:r w:rsidR="00437740">
                <w:rPr>
                  <w:webHidden/>
                </w:rPr>
                <w:fldChar w:fldCharType="end"/>
              </w:r>
            </w:hyperlink>
          </w:p>
          <w:p w14:paraId="522F3B40" w14:textId="77777777" w:rsidR="00437740" w:rsidRDefault="005B2E48">
            <w:pPr>
              <w:pStyle w:val="TOC1"/>
              <w:rPr>
                <w:rFonts w:asciiTheme="minorHAnsi" w:eastAsiaTheme="minorEastAsia" w:hAnsiTheme="minorHAnsi" w:cstheme="minorBidi"/>
                <w:b w:val="0"/>
                <w:szCs w:val="22"/>
              </w:rPr>
            </w:pPr>
            <w:hyperlink w:anchor="_Toc397509103" w:history="1">
              <w:r w:rsidR="00437740" w:rsidRPr="002F3255">
                <w:rPr>
                  <w:rStyle w:val="Hyperlink"/>
                </w:rPr>
                <w:t>5</w:t>
              </w:r>
              <w:r w:rsidR="00437740">
                <w:rPr>
                  <w:rFonts w:asciiTheme="minorHAnsi" w:eastAsiaTheme="minorEastAsia" w:hAnsiTheme="minorHAnsi" w:cstheme="minorBidi"/>
                  <w:b w:val="0"/>
                  <w:szCs w:val="22"/>
                </w:rPr>
                <w:tab/>
              </w:r>
              <w:r w:rsidR="00437740" w:rsidRPr="002F3255">
                <w:rPr>
                  <w:rStyle w:val="Hyperlink"/>
                </w:rPr>
                <w:t>Preventing and redressing sexual harassment</w:t>
              </w:r>
              <w:r w:rsidR="00437740">
                <w:rPr>
                  <w:webHidden/>
                </w:rPr>
                <w:tab/>
              </w:r>
              <w:r w:rsidR="00437740">
                <w:rPr>
                  <w:webHidden/>
                </w:rPr>
                <w:fldChar w:fldCharType="begin"/>
              </w:r>
              <w:r w:rsidR="00437740">
                <w:rPr>
                  <w:webHidden/>
                </w:rPr>
                <w:instrText xml:space="preserve"> PAGEREF _Toc397509103 \h </w:instrText>
              </w:r>
              <w:r w:rsidR="00437740">
                <w:rPr>
                  <w:webHidden/>
                </w:rPr>
              </w:r>
              <w:r w:rsidR="00437740">
                <w:rPr>
                  <w:webHidden/>
                </w:rPr>
                <w:fldChar w:fldCharType="separate"/>
              </w:r>
              <w:r w:rsidR="00437740">
                <w:rPr>
                  <w:webHidden/>
                </w:rPr>
                <w:t>9</w:t>
              </w:r>
              <w:r w:rsidR="00437740">
                <w:rPr>
                  <w:webHidden/>
                </w:rPr>
                <w:fldChar w:fldCharType="end"/>
              </w:r>
            </w:hyperlink>
          </w:p>
          <w:p w14:paraId="7900D4FF" w14:textId="77777777" w:rsidR="00437740" w:rsidRDefault="005B2E48">
            <w:pPr>
              <w:pStyle w:val="TOC1"/>
              <w:rPr>
                <w:rFonts w:asciiTheme="minorHAnsi" w:eastAsiaTheme="minorEastAsia" w:hAnsiTheme="minorHAnsi" w:cstheme="minorBidi"/>
                <w:b w:val="0"/>
                <w:szCs w:val="22"/>
              </w:rPr>
            </w:pPr>
            <w:hyperlink w:anchor="_Toc397509106" w:history="1">
              <w:r w:rsidR="00437740" w:rsidRPr="002F3255">
                <w:rPr>
                  <w:rStyle w:val="Hyperlink"/>
                </w:rPr>
                <w:t>Appendix 1: Template Policy for preventing and addressing sexual harassment in small businesses</w:t>
              </w:r>
              <w:r w:rsidR="00437740">
                <w:rPr>
                  <w:webHidden/>
                </w:rPr>
                <w:tab/>
              </w:r>
              <w:r w:rsidR="00437740">
                <w:rPr>
                  <w:webHidden/>
                </w:rPr>
                <w:fldChar w:fldCharType="begin"/>
              </w:r>
              <w:r w:rsidR="00437740">
                <w:rPr>
                  <w:webHidden/>
                </w:rPr>
                <w:instrText xml:space="preserve"> PAGEREF _Toc397509106 \h </w:instrText>
              </w:r>
              <w:r w:rsidR="00437740">
                <w:rPr>
                  <w:webHidden/>
                </w:rPr>
              </w:r>
              <w:r w:rsidR="00437740">
                <w:rPr>
                  <w:webHidden/>
                </w:rPr>
                <w:fldChar w:fldCharType="separate"/>
              </w:r>
              <w:r w:rsidR="00437740">
                <w:rPr>
                  <w:webHidden/>
                </w:rPr>
                <w:t>11</w:t>
              </w:r>
              <w:r w:rsidR="00437740">
                <w:rPr>
                  <w:webHidden/>
                </w:rPr>
                <w:fldChar w:fldCharType="end"/>
              </w:r>
            </w:hyperlink>
          </w:p>
          <w:p w14:paraId="2FF8372B" w14:textId="77777777" w:rsidR="00437740" w:rsidRDefault="005B2E48">
            <w:pPr>
              <w:pStyle w:val="TOC1"/>
              <w:rPr>
                <w:rFonts w:asciiTheme="minorHAnsi" w:eastAsiaTheme="minorEastAsia" w:hAnsiTheme="minorHAnsi" w:cstheme="minorBidi"/>
                <w:b w:val="0"/>
                <w:szCs w:val="22"/>
              </w:rPr>
            </w:pPr>
            <w:hyperlink w:anchor="_Toc397509107" w:history="1">
              <w:r w:rsidR="00437740" w:rsidRPr="002F3255">
                <w:rPr>
                  <w:rStyle w:val="Hyperlink"/>
                </w:rPr>
                <w:t>Appendix 2: Good Practice Guidelines for internal complaint processes</w:t>
              </w:r>
              <w:r w:rsidR="00437740">
                <w:rPr>
                  <w:webHidden/>
                </w:rPr>
                <w:tab/>
              </w:r>
              <w:r w:rsidR="00437740">
                <w:rPr>
                  <w:webHidden/>
                </w:rPr>
                <w:fldChar w:fldCharType="begin"/>
              </w:r>
              <w:r w:rsidR="00437740">
                <w:rPr>
                  <w:webHidden/>
                </w:rPr>
                <w:instrText xml:space="preserve"> PAGEREF _Toc397509107 \h </w:instrText>
              </w:r>
              <w:r w:rsidR="00437740">
                <w:rPr>
                  <w:webHidden/>
                </w:rPr>
              </w:r>
              <w:r w:rsidR="00437740">
                <w:rPr>
                  <w:webHidden/>
                </w:rPr>
                <w:fldChar w:fldCharType="separate"/>
              </w:r>
              <w:r w:rsidR="00437740">
                <w:rPr>
                  <w:webHidden/>
                </w:rPr>
                <w:t>15</w:t>
              </w:r>
              <w:r w:rsidR="00437740">
                <w:rPr>
                  <w:webHidden/>
                </w:rPr>
                <w:fldChar w:fldCharType="end"/>
              </w:r>
            </w:hyperlink>
          </w:p>
          <w:p w14:paraId="60694243" w14:textId="77777777" w:rsidR="00437740" w:rsidRDefault="005B2E48">
            <w:pPr>
              <w:pStyle w:val="TOC1"/>
              <w:rPr>
                <w:rFonts w:asciiTheme="minorHAnsi" w:eastAsiaTheme="minorEastAsia" w:hAnsiTheme="minorHAnsi" w:cstheme="minorBidi"/>
                <w:b w:val="0"/>
                <w:szCs w:val="22"/>
              </w:rPr>
            </w:pPr>
            <w:hyperlink w:anchor="_Toc397509117" w:history="1">
              <w:r w:rsidR="00437740" w:rsidRPr="002F3255">
                <w:rPr>
                  <w:rStyle w:val="Hyperlink"/>
                </w:rPr>
                <w:t>Appendix 3: Sources of assistance and information</w:t>
              </w:r>
              <w:r w:rsidR="00437740">
                <w:rPr>
                  <w:webHidden/>
                </w:rPr>
                <w:tab/>
              </w:r>
              <w:r w:rsidR="00437740">
                <w:rPr>
                  <w:webHidden/>
                </w:rPr>
                <w:fldChar w:fldCharType="begin"/>
              </w:r>
              <w:r w:rsidR="00437740">
                <w:rPr>
                  <w:webHidden/>
                </w:rPr>
                <w:instrText xml:space="preserve"> PAGEREF _Toc397509117 \h </w:instrText>
              </w:r>
              <w:r w:rsidR="00437740">
                <w:rPr>
                  <w:webHidden/>
                </w:rPr>
              </w:r>
              <w:r w:rsidR="00437740">
                <w:rPr>
                  <w:webHidden/>
                </w:rPr>
                <w:fldChar w:fldCharType="separate"/>
              </w:r>
              <w:r w:rsidR="00437740">
                <w:rPr>
                  <w:webHidden/>
                </w:rPr>
                <w:t>20</w:t>
              </w:r>
              <w:r w:rsidR="00437740">
                <w:rPr>
                  <w:webHidden/>
                </w:rPr>
                <w:fldChar w:fldCharType="end"/>
              </w:r>
            </w:hyperlink>
          </w:p>
          <w:p w14:paraId="411FF5C8" w14:textId="77777777" w:rsidR="00A5649B" w:rsidRPr="005A35ED" w:rsidRDefault="00A5649B" w:rsidP="00A5649B">
            <w:pPr>
              <w:rPr>
                <w:b/>
              </w:rPr>
            </w:pPr>
            <w:r w:rsidRPr="005A35ED">
              <w:rPr>
                <w:b/>
              </w:rPr>
              <w:fldChar w:fldCharType="end"/>
            </w:r>
          </w:p>
        </w:tc>
      </w:tr>
    </w:tbl>
    <w:p w14:paraId="59D8408C" w14:textId="77777777" w:rsidR="002F167A" w:rsidRPr="002F167A" w:rsidRDefault="002F167A" w:rsidP="0003575F">
      <w:pPr>
        <w:pStyle w:val="Heading1"/>
      </w:pPr>
      <w:bookmarkStart w:id="2" w:name="_Toc397509092"/>
      <w:r w:rsidRPr="002F167A">
        <w:lastRenderedPageBreak/>
        <w:t>What this Guide Covers</w:t>
      </w:r>
      <w:bookmarkEnd w:id="2"/>
    </w:p>
    <w:p w14:paraId="5831325F" w14:textId="77777777" w:rsidR="002F167A" w:rsidRPr="002F167A" w:rsidRDefault="002F167A" w:rsidP="002F167A">
      <w:pPr>
        <w:pStyle w:val="SubmissionNormal"/>
        <w:numPr>
          <w:ilvl w:val="0"/>
          <w:numId w:val="0"/>
        </w:numPr>
      </w:pPr>
      <w:r w:rsidRPr="002F167A">
        <w:t xml:space="preserve">This Guide is based on a resource produced by the Australian Human Rights Commission, </w:t>
      </w:r>
      <w:hyperlink r:id="rId9" w:history="1">
        <w:r w:rsidRPr="0003575F">
          <w:rPr>
            <w:rStyle w:val="Hyperlink"/>
            <w:rFonts w:eastAsia="MS Mincho"/>
            <w:i/>
            <w:color w:val="0070C0"/>
            <w:lang w:val="en"/>
          </w:rPr>
          <w:t>End</w:t>
        </w:r>
        <w:r w:rsidR="007D44BB" w:rsidRPr="0003575F">
          <w:rPr>
            <w:rStyle w:val="Hyperlink"/>
            <w:rFonts w:eastAsia="MS Mincho"/>
            <w:i/>
            <w:color w:val="0070C0"/>
            <w:lang w:val="en"/>
          </w:rPr>
          <w:t>ing workplace sexual harassment</w:t>
        </w:r>
        <w:r w:rsidRPr="0003575F">
          <w:rPr>
            <w:rStyle w:val="Hyperlink"/>
            <w:rFonts w:eastAsia="MS Mincho"/>
            <w:i/>
            <w:color w:val="0070C0"/>
            <w:lang w:val="en"/>
          </w:rPr>
          <w:t>: A resource for small, medium and large employers</w:t>
        </w:r>
      </w:hyperlink>
      <w:r w:rsidR="009825E4">
        <w:rPr>
          <w:lang w:val="en"/>
        </w:rPr>
        <w:t xml:space="preserve"> and has</w:t>
      </w:r>
      <w:r w:rsidRPr="002F167A">
        <w:t xml:space="preserve"> been </w:t>
      </w:r>
      <w:r w:rsidR="009825E4">
        <w:t xml:space="preserve">specifically </w:t>
      </w:r>
      <w:r w:rsidRPr="002F167A">
        <w:t>tailored for small business</w:t>
      </w:r>
      <w:r w:rsidR="002F6B5F">
        <w:t>es</w:t>
      </w:r>
      <w:r w:rsidRPr="002F167A">
        <w:t>.</w:t>
      </w:r>
    </w:p>
    <w:p w14:paraId="72664C7D" w14:textId="77777777" w:rsidR="002F167A" w:rsidRDefault="002F167A" w:rsidP="002F167A">
      <w:pPr>
        <w:pStyle w:val="SubmissionNormal"/>
        <w:numPr>
          <w:ilvl w:val="0"/>
          <w:numId w:val="0"/>
        </w:numPr>
      </w:pPr>
      <w:r>
        <w:t>It</w:t>
      </w:r>
      <w:r w:rsidRPr="00037E4A">
        <w:t xml:space="preserve"> provides an overview of obligations under </w:t>
      </w:r>
      <w:r w:rsidRPr="0003575F">
        <w:t>the Sex Discrimination Act</w:t>
      </w:r>
      <w:r w:rsidRPr="00037E4A">
        <w:rPr>
          <w:i/>
        </w:rPr>
        <w:t xml:space="preserve"> </w:t>
      </w:r>
      <w:r w:rsidRPr="00037E4A">
        <w:t>and, to a lesser degree, other federal laws.  It also provides some guidance on obligations in this area under state and territory laws</w:t>
      </w:r>
      <w:r w:rsidR="00D57391">
        <w:t>. H</w:t>
      </w:r>
      <w:r w:rsidRPr="00037E4A">
        <w:t xml:space="preserve">owever, small businesses are encouraged to consult state/territory resources and agencies when seeking to understand and implement their obligations </w:t>
      </w:r>
      <w:r w:rsidR="008C176B">
        <w:t>under those laws (See Appendix 3</w:t>
      </w:r>
      <w:r w:rsidRPr="00037E4A">
        <w:t xml:space="preserve"> for contact information).</w:t>
      </w:r>
    </w:p>
    <w:p w14:paraId="5991396A" w14:textId="77777777" w:rsidR="002F167A" w:rsidRPr="008317C4" w:rsidRDefault="002F167A" w:rsidP="002F167A">
      <w:pPr>
        <w:pStyle w:val="SubmissionNormal"/>
        <w:numPr>
          <w:ilvl w:val="0"/>
          <w:numId w:val="0"/>
        </w:numPr>
        <w:rPr>
          <w:b/>
        </w:rPr>
      </w:pPr>
      <w:r w:rsidRPr="008317C4">
        <w:rPr>
          <w:b/>
        </w:rPr>
        <w:t xml:space="preserve">Small businesses </w:t>
      </w:r>
      <w:r w:rsidR="00F05574">
        <w:rPr>
          <w:b/>
        </w:rPr>
        <w:t xml:space="preserve">and small business people </w:t>
      </w:r>
      <w:r w:rsidRPr="008317C4">
        <w:rPr>
          <w:b/>
        </w:rPr>
        <w:t>are advised that this resource provides gene</w:t>
      </w:r>
      <w:r w:rsidR="0054076D">
        <w:rPr>
          <w:b/>
        </w:rPr>
        <w:t>ral information only and is not</w:t>
      </w:r>
      <w:r w:rsidR="009A16F8">
        <w:rPr>
          <w:b/>
        </w:rPr>
        <w:t xml:space="preserve"> a </w:t>
      </w:r>
      <w:r w:rsidR="00C67B83">
        <w:rPr>
          <w:b/>
        </w:rPr>
        <w:t>substitute for legal advice. Small businesses</w:t>
      </w:r>
      <w:r>
        <w:rPr>
          <w:b/>
        </w:rPr>
        <w:t xml:space="preserve"> </w:t>
      </w:r>
      <w:r w:rsidRPr="008317C4">
        <w:rPr>
          <w:b/>
        </w:rPr>
        <w:t xml:space="preserve">should therefore seek their own legal advice, as needed. </w:t>
      </w:r>
    </w:p>
    <w:p w14:paraId="335487D4" w14:textId="77777777" w:rsidR="002F167A" w:rsidRDefault="002F167A" w:rsidP="00F953CC">
      <w:pPr>
        <w:pStyle w:val="SubmissionNormal"/>
        <w:numPr>
          <w:ilvl w:val="0"/>
          <w:numId w:val="0"/>
        </w:numPr>
      </w:pPr>
      <w:r>
        <w:t>Small businesses</w:t>
      </w:r>
      <w:r w:rsidRPr="003624E0">
        <w:t xml:space="preserve"> </w:t>
      </w:r>
      <w:r w:rsidRPr="00317352">
        <w:t xml:space="preserve">can contact the Commission’s National Information Service for information about </w:t>
      </w:r>
      <w:r w:rsidR="00C255C3">
        <w:t xml:space="preserve">sexual harassment under the </w:t>
      </w:r>
      <w:r w:rsidR="00C255C3" w:rsidRPr="0003575F">
        <w:t>Sex Discrimination Act</w:t>
      </w:r>
      <w:r w:rsidR="00C255C3">
        <w:rPr>
          <w:i/>
        </w:rPr>
        <w:t xml:space="preserve"> </w:t>
      </w:r>
      <w:r w:rsidR="00C255C3">
        <w:t>and the Commission’s investigation and conciliation processes.</w:t>
      </w:r>
      <w:r>
        <w:t xml:space="preserve"> (</w:t>
      </w:r>
      <w:r w:rsidR="00F953CC">
        <w:t xml:space="preserve">see </w:t>
      </w:r>
      <w:r w:rsidR="008C176B">
        <w:t>Appendix 3</w:t>
      </w:r>
      <w:r w:rsidR="00F953CC">
        <w:t xml:space="preserve"> for contact information</w:t>
      </w:r>
      <w:r w:rsidRPr="00317352">
        <w:t>).</w:t>
      </w:r>
    </w:p>
    <w:p w14:paraId="4CEB8E35" w14:textId="77777777" w:rsidR="008C176B" w:rsidRDefault="008C176B" w:rsidP="008C176B">
      <w:pPr>
        <w:pStyle w:val="Heading1"/>
      </w:pPr>
      <w:bookmarkStart w:id="3" w:name="_Toc397509093"/>
      <w:r>
        <w:t>Summary</w:t>
      </w:r>
      <w:bookmarkEnd w:id="3"/>
      <w:r>
        <w:t xml:space="preserve"> </w:t>
      </w:r>
    </w:p>
    <w:tbl>
      <w:tblPr>
        <w:tblStyle w:val="TableGrid"/>
        <w:tblW w:w="0" w:type="auto"/>
        <w:tblLook w:val="04A0" w:firstRow="1" w:lastRow="0" w:firstColumn="1" w:lastColumn="0" w:noHBand="0" w:noVBand="1"/>
      </w:tblPr>
      <w:tblGrid>
        <w:gridCol w:w="9060"/>
      </w:tblGrid>
      <w:tr w:rsidR="008C176B" w:rsidRPr="002E756E" w14:paraId="7B2356EC" w14:textId="77777777" w:rsidTr="00521856">
        <w:tc>
          <w:tcPr>
            <w:tcW w:w="9286" w:type="dxa"/>
          </w:tcPr>
          <w:p w14:paraId="03BB57F5" w14:textId="77777777" w:rsidR="008C176B" w:rsidRPr="002E756E" w:rsidRDefault="008C176B" w:rsidP="00521856">
            <w:pPr>
              <w:spacing w:before="120" w:after="120"/>
              <w:jc w:val="center"/>
              <w:rPr>
                <w:b/>
              </w:rPr>
            </w:pPr>
            <w:r w:rsidRPr="002E756E">
              <w:rPr>
                <w:b/>
              </w:rPr>
              <w:t>What is sexual harassment</w:t>
            </w:r>
          </w:p>
          <w:p w14:paraId="4529F72B" w14:textId="77777777" w:rsidR="008C176B" w:rsidRPr="002E756E" w:rsidRDefault="008C176B" w:rsidP="00521856">
            <w:pPr>
              <w:spacing w:before="120" w:after="120"/>
            </w:pPr>
            <w:r w:rsidRPr="002E756E">
              <w:t>Under the Sex Discrimination Act</w:t>
            </w:r>
            <w:r w:rsidRPr="002E756E">
              <w:rPr>
                <w:i/>
              </w:rPr>
              <w:t xml:space="preserve"> ‘</w:t>
            </w:r>
            <w:r w:rsidRPr="002E756E">
              <w:t xml:space="preserve">sexual harassment’ has three key elements: </w:t>
            </w:r>
          </w:p>
          <w:p w14:paraId="75FC0A0E" w14:textId="77777777" w:rsidR="008C176B" w:rsidRPr="002E756E" w:rsidRDefault="008C176B" w:rsidP="00521856">
            <w:pPr>
              <w:pStyle w:val="ListParagraph"/>
              <w:numPr>
                <w:ilvl w:val="0"/>
                <w:numId w:val="16"/>
              </w:numPr>
              <w:spacing w:before="120" w:after="120"/>
              <w:ind w:left="341" w:hanging="284"/>
              <w:contextualSpacing w:val="0"/>
            </w:pPr>
            <w:r w:rsidRPr="002E756E">
              <w:t xml:space="preserve">conduct that is </w:t>
            </w:r>
            <w:r w:rsidRPr="002E756E">
              <w:rPr>
                <w:i/>
              </w:rPr>
              <w:t>unwelcome</w:t>
            </w:r>
            <w:r w:rsidRPr="002E756E">
              <w:t xml:space="preserve">; </w:t>
            </w:r>
          </w:p>
          <w:p w14:paraId="611AA854" w14:textId="77777777" w:rsidR="008C176B" w:rsidRPr="002E756E" w:rsidRDefault="008C176B" w:rsidP="00521856">
            <w:pPr>
              <w:pStyle w:val="ListParagraph"/>
              <w:numPr>
                <w:ilvl w:val="0"/>
                <w:numId w:val="16"/>
              </w:numPr>
              <w:spacing w:before="120" w:after="120"/>
              <w:ind w:left="341" w:hanging="284"/>
              <w:contextualSpacing w:val="0"/>
            </w:pPr>
            <w:r w:rsidRPr="002E756E">
              <w:t xml:space="preserve">conduct of a </w:t>
            </w:r>
            <w:r w:rsidRPr="002E756E">
              <w:rPr>
                <w:i/>
              </w:rPr>
              <w:t>sexual nature</w:t>
            </w:r>
            <w:r w:rsidRPr="002E756E">
              <w:t xml:space="preserve">; </w:t>
            </w:r>
          </w:p>
          <w:p w14:paraId="56B8986C" w14:textId="77777777" w:rsidR="008C176B" w:rsidRPr="002E756E" w:rsidRDefault="008C176B" w:rsidP="00521856">
            <w:pPr>
              <w:pStyle w:val="ListParagraph"/>
              <w:numPr>
                <w:ilvl w:val="0"/>
                <w:numId w:val="16"/>
              </w:numPr>
              <w:spacing w:before="120" w:after="120"/>
              <w:ind w:left="341" w:hanging="284"/>
              <w:contextualSpacing w:val="0"/>
            </w:pPr>
            <w:r w:rsidRPr="002E756E">
              <w:t xml:space="preserve">a </w:t>
            </w:r>
            <w:r w:rsidRPr="002E756E">
              <w:rPr>
                <w:i/>
              </w:rPr>
              <w:t>reasonable person</w:t>
            </w:r>
            <w:r w:rsidRPr="002E756E">
              <w:t xml:space="preserve"> (aware of all the circumstances) would anticipate the possibility that the person subjected to the conduct would feel </w:t>
            </w:r>
            <w:r w:rsidRPr="002E756E">
              <w:rPr>
                <w:i/>
              </w:rPr>
              <w:t>offended, humiliated or intimidated</w:t>
            </w:r>
            <w:r w:rsidRPr="002E756E">
              <w:t>.</w:t>
            </w:r>
          </w:p>
          <w:p w14:paraId="02BC5562" w14:textId="77777777" w:rsidR="008C176B" w:rsidRPr="002E756E" w:rsidRDefault="008C176B" w:rsidP="00521856">
            <w:r w:rsidRPr="002E756E">
              <w:t xml:space="preserve">It is unlawful to sexually harass a current or prospective employee, commission agent or a contract worker, colleague, partner, fellow commission agent or fellow contract worker, or any other workplace participant. </w:t>
            </w:r>
          </w:p>
          <w:p w14:paraId="0E244488" w14:textId="77777777" w:rsidR="008C176B" w:rsidRPr="002E756E" w:rsidRDefault="008C176B" w:rsidP="00521856">
            <w:pPr>
              <w:ind w:left="720"/>
            </w:pPr>
            <w:r w:rsidRPr="002E756E">
              <w:t>A ‘workplace participant’ includes employers (eg sole trader), employees, commission agents, contract workers and partners in a partnership.</w:t>
            </w:r>
          </w:p>
          <w:p w14:paraId="2065C42B" w14:textId="77777777" w:rsidR="008C176B" w:rsidRPr="002E756E" w:rsidRDefault="008C176B" w:rsidP="00521856">
            <w:r w:rsidRPr="002E756E">
              <w:t>The term ‘workplace’ refers to ‘a place at which a workplace participant works or otherwise carries out functions in connection with being a workplace participant’.</w:t>
            </w:r>
          </w:p>
        </w:tc>
      </w:tr>
    </w:tbl>
    <w:p w14:paraId="15CA8982" w14:textId="77777777" w:rsidR="008C176B" w:rsidRPr="002E756E" w:rsidRDefault="008C176B" w:rsidP="008C176B">
      <w:pPr>
        <w:spacing w:before="120" w:after="120"/>
        <w:jc w:val="center"/>
        <w:rPr>
          <w:b/>
        </w:rPr>
      </w:pPr>
    </w:p>
    <w:tbl>
      <w:tblPr>
        <w:tblStyle w:val="TableGrid"/>
        <w:tblW w:w="0" w:type="auto"/>
        <w:tblLook w:val="04A0" w:firstRow="1" w:lastRow="0" w:firstColumn="1" w:lastColumn="0" w:noHBand="0" w:noVBand="1"/>
      </w:tblPr>
      <w:tblGrid>
        <w:gridCol w:w="9060"/>
      </w:tblGrid>
      <w:tr w:rsidR="008C176B" w:rsidRPr="002E756E" w14:paraId="35EF1E94" w14:textId="77777777" w:rsidTr="00521856">
        <w:tc>
          <w:tcPr>
            <w:tcW w:w="9286" w:type="dxa"/>
          </w:tcPr>
          <w:p w14:paraId="1609F7C0" w14:textId="77777777" w:rsidR="008C176B" w:rsidRPr="002E756E" w:rsidRDefault="008C176B" w:rsidP="00521856">
            <w:pPr>
              <w:spacing w:before="120" w:after="120"/>
              <w:jc w:val="center"/>
              <w:rPr>
                <w:b/>
              </w:rPr>
            </w:pPr>
            <w:r w:rsidRPr="002E756E">
              <w:rPr>
                <w:b/>
              </w:rPr>
              <w:t>Types of liability of the small business employer</w:t>
            </w:r>
          </w:p>
          <w:p w14:paraId="17724B15" w14:textId="77777777" w:rsidR="008C176B" w:rsidRPr="002E756E" w:rsidRDefault="008C176B" w:rsidP="00521856">
            <w:pPr>
              <w:pStyle w:val="ListParagraph"/>
              <w:numPr>
                <w:ilvl w:val="0"/>
                <w:numId w:val="47"/>
              </w:numPr>
            </w:pPr>
            <w:r w:rsidRPr="002E756E">
              <w:t>Personal liability</w:t>
            </w:r>
          </w:p>
          <w:p w14:paraId="16B71F4D" w14:textId="77777777" w:rsidR="008C176B" w:rsidRPr="002E756E" w:rsidRDefault="008C176B" w:rsidP="00521856">
            <w:pPr>
              <w:pStyle w:val="ListParagraph"/>
              <w:numPr>
                <w:ilvl w:val="0"/>
                <w:numId w:val="47"/>
              </w:numPr>
            </w:pPr>
            <w:r w:rsidRPr="002E756E">
              <w:t>Vicarious liability</w:t>
            </w:r>
          </w:p>
          <w:p w14:paraId="0A388912" w14:textId="77777777" w:rsidR="008C176B" w:rsidRPr="002E756E" w:rsidRDefault="008C176B" w:rsidP="00521856">
            <w:pPr>
              <w:pStyle w:val="ListParagraph"/>
              <w:numPr>
                <w:ilvl w:val="0"/>
                <w:numId w:val="47"/>
              </w:numPr>
            </w:pPr>
            <w:r w:rsidRPr="002E756E">
              <w:lastRenderedPageBreak/>
              <w:t>Accessory or ancillary liability</w:t>
            </w:r>
          </w:p>
        </w:tc>
      </w:tr>
    </w:tbl>
    <w:p w14:paraId="3174DF98" w14:textId="77777777" w:rsidR="008C176B" w:rsidRPr="002E756E" w:rsidRDefault="008C176B" w:rsidP="008C176B">
      <w:pPr>
        <w:spacing w:before="120" w:after="120"/>
        <w:rPr>
          <w:b/>
        </w:rPr>
      </w:pPr>
    </w:p>
    <w:tbl>
      <w:tblPr>
        <w:tblStyle w:val="TableGrid"/>
        <w:tblW w:w="0" w:type="auto"/>
        <w:tblLook w:val="04A0" w:firstRow="1" w:lastRow="0" w:firstColumn="1" w:lastColumn="0" w:noHBand="0" w:noVBand="1"/>
      </w:tblPr>
      <w:tblGrid>
        <w:gridCol w:w="9060"/>
      </w:tblGrid>
      <w:tr w:rsidR="008C176B" w:rsidRPr="002E756E" w14:paraId="72CE84C4" w14:textId="77777777" w:rsidTr="00521856">
        <w:tc>
          <w:tcPr>
            <w:tcW w:w="9286" w:type="dxa"/>
          </w:tcPr>
          <w:p w14:paraId="6BB29D29" w14:textId="77777777" w:rsidR="008C176B" w:rsidRPr="002E756E" w:rsidRDefault="008C176B" w:rsidP="00521856">
            <w:pPr>
              <w:pStyle w:val="Heading3"/>
              <w:numPr>
                <w:ilvl w:val="0"/>
                <w:numId w:val="0"/>
              </w:numPr>
              <w:jc w:val="center"/>
              <w:outlineLvl w:val="2"/>
              <w:rPr>
                <w:b/>
                <w:i w:val="0"/>
                <w:szCs w:val="24"/>
              </w:rPr>
            </w:pPr>
            <w:r w:rsidRPr="002E756E">
              <w:rPr>
                <w:b/>
                <w:i w:val="0"/>
                <w:szCs w:val="24"/>
              </w:rPr>
              <w:t>Complaint</w:t>
            </w:r>
            <w:r w:rsidR="00521856" w:rsidRPr="002E756E">
              <w:rPr>
                <w:b/>
                <w:i w:val="0"/>
                <w:szCs w:val="24"/>
              </w:rPr>
              <w:t>s</w:t>
            </w:r>
            <w:r w:rsidRPr="002E756E">
              <w:rPr>
                <w:b/>
                <w:i w:val="0"/>
                <w:szCs w:val="24"/>
              </w:rPr>
              <w:t xml:space="preserve"> to the Australian Human Rights Commission</w:t>
            </w:r>
          </w:p>
          <w:p w14:paraId="3E443105" w14:textId="77777777" w:rsidR="008C176B" w:rsidRPr="002E756E" w:rsidRDefault="008C176B" w:rsidP="00521856">
            <w:pPr>
              <w:pStyle w:val="Heading3"/>
              <w:numPr>
                <w:ilvl w:val="0"/>
                <w:numId w:val="0"/>
              </w:numPr>
              <w:outlineLvl w:val="2"/>
              <w:rPr>
                <w:i w:val="0"/>
                <w:szCs w:val="24"/>
              </w:rPr>
            </w:pPr>
            <w:r w:rsidRPr="002E756E">
              <w:rPr>
                <w:i w:val="0"/>
                <w:szCs w:val="24"/>
              </w:rPr>
              <w:t xml:space="preserve">A person who alleges sexual harassment in the workplace can make a complaint to the Australian Human Rights Commission who can inquire into and attempt to conciliate the complaint.  </w:t>
            </w:r>
          </w:p>
          <w:p w14:paraId="591961DC" w14:textId="77777777" w:rsidR="008C176B" w:rsidRPr="002E756E" w:rsidRDefault="008C176B" w:rsidP="00521856">
            <w:pPr>
              <w:pStyle w:val="Heading3"/>
              <w:numPr>
                <w:ilvl w:val="0"/>
                <w:numId w:val="0"/>
              </w:numPr>
              <w:outlineLvl w:val="2"/>
              <w:rPr>
                <w:i w:val="0"/>
                <w:szCs w:val="24"/>
              </w:rPr>
            </w:pPr>
            <w:r w:rsidRPr="002E756E">
              <w:rPr>
                <w:i w:val="0"/>
                <w:szCs w:val="24"/>
              </w:rPr>
              <w:t xml:space="preserve">If a resolution cannot be reached the Commission will ‘terminate’ the complaint and the matter can then be taken to the Federal Circuit Court of Australia or the Federal Court of Australia within 60 days of the complaint being ‘terminated’ by the Commission.   </w:t>
            </w:r>
          </w:p>
          <w:p w14:paraId="3DCC14FB" w14:textId="77777777" w:rsidR="008C176B" w:rsidRPr="002E756E" w:rsidRDefault="008C176B" w:rsidP="00521856">
            <w:pPr>
              <w:rPr>
                <w:b/>
                <w:i/>
              </w:rPr>
            </w:pPr>
            <w:r w:rsidRPr="002E756E">
              <w:rPr>
                <w:b/>
                <w:i/>
              </w:rPr>
              <w:t>Other types of legal action:</w:t>
            </w:r>
          </w:p>
          <w:p w14:paraId="594DB5C7" w14:textId="77777777" w:rsidR="008C176B" w:rsidRPr="002E756E" w:rsidRDefault="008C176B" w:rsidP="00521856">
            <w:pPr>
              <w:pStyle w:val="ListParagraph"/>
              <w:numPr>
                <w:ilvl w:val="0"/>
                <w:numId w:val="46"/>
              </w:numPr>
            </w:pPr>
            <w:r w:rsidRPr="002E756E">
              <w:rPr>
                <w:i/>
              </w:rPr>
              <w:t>C</w:t>
            </w:r>
            <w:r w:rsidRPr="002E756E">
              <w:t xml:space="preserve">riminal offences </w:t>
            </w:r>
          </w:p>
          <w:p w14:paraId="15436FE8" w14:textId="77777777" w:rsidR="008C176B" w:rsidRPr="002E756E" w:rsidRDefault="008C176B" w:rsidP="00521856">
            <w:pPr>
              <w:pStyle w:val="ListParagraph"/>
              <w:numPr>
                <w:ilvl w:val="0"/>
                <w:numId w:val="46"/>
              </w:numPr>
            </w:pPr>
            <w:r w:rsidRPr="002E756E">
              <w:t xml:space="preserve">General protections claim based on exercise of a workplace right </w:t>
            </w:r>
          </w:p>
          <w:p w14:paraId="5728DE3D" w14:textId="77777777" w:rsidR="008C176B" w:rsidRPr="002E756E" w:rsidRDefault="008C176B" w:rsidP="00521856">
            <w:pPr>
              <w:pStyle w:val="ListParagraph"/>
              <w:numPr>
                <w:ilvl w:val="0"/>
                <w:numId w:val="46"/>
              </w:numPr>
            </w:pPr>
            <w:r w:rsidRPr="002E756E">
              <w:t>Unfair dismissal</w:t>
            </w:r>
          </w:p>
          <w:p w14:paraId="55E2A486" w14:textId="77777777" w:rsidR="008C176B" w:rsidRPr="002E756E" w:rsidRDefault="008C176B" w:rsidP="00521856">
            <w:pPr>
              <w:pStyle w:val="ListParagraph"/>
              <w:numPr>
                <w:ilvl w:val="0"/>
                <w:numId w:val="46"/>
              </w:numPr>
            </w:pPr>
            <w:r w:rsidRPr="002E756E">
              <w:t>Work health and safety requirements</w:t>
            </w:r>
          </w:p>
        </w:tc>
      </w:tr>
    </w:tbl>
    <w:p w14:paraId="77C8361B" w14:textId="77777777" w:rsidR="008C176B" w:rsidRPr="002E756E" w:rsidRDefault="008C176B" w:rsidP="008C176B"/>
    <w:tbl>
      <w:tblPr>
        <w:tblStyle w:val="TableGrid"/>
        <w:tblW w:w="0" w:type="auto"/>
        <w:tblLook w:val="04A0" w:firstRow="1" w:lastRow="0" w:firstColumn="1" w:lastColumn="0" w:noHBand="0" w:noVBand="1"/>
      </w:tblPr>
      <w:tblGrid>
        <w:gridCol w:w="9060"/>
      </w:tblGrid>
      <w:tr w:rsidR="008C176B" w:rsidRPr="002E756E" w14:paraId="7E9142E8" w14:textId="77777777" w:rsidTr="00521856">
        <w:tc>
          <w:tcPr>
            <w:tcW w:w="9286" w:type="dxa"/>
          </w:tcPr>
          <w:p w14:paraId="56D0A105" w14:textId="77777777" w:rsidR="008C176B" w:rsidRPr="002E756E" w:rsidRDefault="008C176B" w:rsidP="00521856">
            <w:pPr>
              <w:jc w:val="center"/>
              <w:rPr>
                <w:b/>
              </w:rPr>
            </w:pPr>
            <w:r w:rsidRPr="002E756E">
              <w:rPr>
                <w:b/>
              </w:rPr>
              <w:t>Steps for preventing and responding to sexual harassment</w:t>
            </w:r>
          </w:p>
          <w:p w14:paraId="1CBE165C" w14:textId="77777777" w:rsidR="008C176B" w:rsidRPr="002E756E" w:rsidRDefault="008C176B" w:rsidP="00521856">
            <w:pPr>
              <w:pStyle w:val="ListParagraph"/>
              <w:numPr>
                <w:ilvl w:val="0"/>
                <w:numId w:val="48"/>
              </w:numPr>
            </w:pPr>
            <w:r w:rsidRPr="002E756E">
              <w:t>Create a healthy and safe work environment based on respect</w:t>
            </w:r>
          </w:p>
          <w:p w14:paraId="436C7D38" w14:textId="77777777" w:rsidR="008C176B" w:rsidRPr="002E756E" w:rsidRDefault="008C176B" w:rsidP="00521856">
            <w:pPr>
              <w:pStyle w:val="Heading3"/>
              <w:numPr>
                <w:ilvl w:val="0"/>
                <w:numId w:val="48"/>
              </w:numPr>
              <w:outlineLvl w:val="2"/>
              <w:rPr>
                <w:i w:val="0"/>
                <w:szCs w:val="24"/>
              </w:rPr>
            </w:pPr>
            <w:r w:rsidRPr="002E756E">
              <w:rPr>
                <w:i w:val="0"/>
                <w:szCs w:val="24"/>
              </w:rPr>
              <w:t xml:space="preserve">Develop and implement a sexual harassment policy (see Appendix 1) </w:t>
            </w:r>
          </w:p>
          <w:p w14:paraId="340CB738" w14:textId="77777777" w:rsidR="008C176B" w:rsidRPr="002E756E" w:rsidRDefault="008C176B" w:rsidP="00521856">
            <w:pPr>
              <w:pStyle w:val="Heading3"/>
              <w:numPr>
                <w:ilvl w:val="0"/>
                <w:numId w:val="48"/>
              </w:numPr>
              <w:outlineLvl w:val="2"/>
              <w:rPr>
                <w:i w:val="0"/>
                <w:szCs w:val="24"/>
              </w:rPr>
            </w:pPr>
            <w:r w:rsidRPr="002E756E">
              <w:rPr>
                <w:i w:val="0"/>
                <w:szCs w:val="24"/>
              </w:rPr>
              <w:t>Establish a specific procedure for discrimination and harassment complaints (see Appendix 2)</w:t>
            </w:r>
          </w:p>
          <w:p w14:paraId="66DDAC11" w14:textId="77777777" w:rsidR="008C176B" w:rsidRPr="002E756E" w:rsidRDefault="008C176B" w:rsidP="00521856">
            <w:pPr>
              <w:pStyle w:val="Heading3"/>
              <w:numPr>
                <w:ilvl w:val="0"/>
                <w:numId w:val="48"/>
              </w:numPr>
              <w:outlineLvl w:val="2"/>
              <w:rPr>
                <w:i w:val="0"/>
                <w:szCs w:val="24"/>
              </w:rPr>
            </w:pPr>
            <w:r w:rsidRPr="002E756E">
              <w:rPr>
                <w:i w:val="0"/>
                <w:szCs w:val="24"/>
              </w:rPr>
              <w:t xml:space="preserve">Provide or facilitate education and training on sexual harassment  </w:t>
            </w:r>
          </w:p>
          <w:p w14:paraId="611F0860" w14:textId="77777777" w:rsidR="008C176B" w:rsidRPr="002E756E" w:rsidRDefault="008C176B" w:rsidP="00521856">
            <w:r w:rsidRPr="002E756E">
              <w:t xml:space="preserve">Small businesses have a duty to take all reasonable steps to prevent sexual harassment in the workplace, to actively minimise the risk of sexual harassment and respond appropriately when harassment does occur. It is therefore vital that small businesses develop and implement robust procedures for dealing with sexual harassment complaints.  </w:t>
            </w:r>
          </w:p>
        </w:tc>
      </w:tr>
    </w:tbl>
    <w:p w14:paraId="25C0BE09" w14:textId="77777777" w:rsidR="008C176B" w:rsidRPr="002E756E" w:rsidRDefault="008C176B" w:rsidP="00F953CC">
      <w:pPr>
        <w:pStyle w:val="SubmissionNormal"/>
        <w:numPr>
          <w:ilvl w:val="0"/>
          <w:numId w:val="0"/>
        </w:numPr>
      </w:pPr>
    </w:p>
    <w:p w14:paraId="6E472D91" w14:textId="77777777" w:rsidR="00622757" w:rsidRPr="0003575F" w:rsidRDefault="009337FF" w:rsidP="0003575F">
      <w:pPr>
        <w:pStyle w:val="Heading1"/>
        <w:rPr>
          <w:szCs w:val="22"/>
        </w:rPr>
      </w:pPr>
      <w:bookmarkStart w:id="4" w:name="_Toc362446673"/>
      <w:bookmarkStart w:id="5" w:name="_Toc397509094"/>
      <w:bookmarkEnd w:id="0"/>
      <w:r w:rsidRPr="00E71DD1">
        <w:lastRenderedPageBreak/>
        <w:t xml:space="preserve">Understanding </w:t>
      </w:r>
      <w:r w:rsidR="005C0134" w:rsidRPr="00E71DD1">
        <w:t>sexual harassment</w:t>
      </w:r>
      <w:bookmarkEnd w:id="4"/>
      <w:bookmarkEnd w:id="5"/>
    </w:p>
    <w:tbl>
      <w:tblPr>
        <w:tblW w:w="0" w:type="auto"/>
        <w:tblInd w:w="227" w:type="dxa"/>
        <w:tblLayout w:type="fixed"/>
        <w:tblCellMar>
          <w:left w:w="0" w:type="dxa"/>
          <w:right w:w="0" w:type="dxa"/>
        </w:tblCellMar>
        <w:tblLook w:val="0000" w:firstRow="0" w:lastRow="0" w:firstColumn="0" w:lastColumn="0" w:noHBand="0" w:noVBand="0"/>
      </w:tblPr>
      <w:tblGrid>
        <w:gridCol w:w="9071"/>
      </w:tblGrid>
      <w:tr w:rsidR="000D7539" w:rsidRPr="003624E0" w14:paraId="403EC432" w14:textId="77777777">
        <w:trPr>
          <w:trHeight w:val="1476"/>
        </w:trPr>
        <w:tc>
          <w:tcPr>
            <w:tcW w:w="9071" w:type="dxa"/>
            <w:shd w:val="clear" w:color="0078C1" w:fill="DAEEF3" w:themeFill="accent5" w:themeFillTint="33"/>
            <w:tcMar>
              <w:top w:w="227" w:type="dxa"/>
              <w:left w:w="227" w:type="dxa"/>
              <w:bottom w:w="255" w:type="dxa"/>
              <w:right w:w="227" w:type="dxa"/>
            </w:tcMar>
          </w:tcPr>
          <w:p w14:paraId="3BAC0CC3" w14:textId="77777777" w:rsidR="000D7539" w:rsidRPr="003624E0" w:rsidRDefault="000D7539" w:rsidP="00634386">
            <w:pPr>
              <w:keepNext/>
              <w:widowControl w:val="0"/>
              <w:suppressAutoHyphens/>
              <w:autoSpaceDE w:val="0"/>
              <w:autoSpaceDN w:val="0"/>
              <w:adjustRightInd w:val="0"/>
              <w:spacing w:before="120" w:after="120"/>
              <w:ind w:left="567" w:hanging="567"/>
              <w:jc w:val="center"/>
              <w:textAlignment w:val="center"/>
              <w:rPr>
                <w:rFonts w:cs="HelveticaNeue"/>
                <w:b/>
                <w:color w:val="000000"/>
                <w:szCs w:val="22"/>
              </w:rPr>
            </w:pPr>
            <w:r w:rsidRPr="003624E0">
              <w:rPr>
                <w:rFonts w:cs="HelveticaNeue-Bold"/>
                <w:b/>
                <w:bCs/>
                <w:color w:val="000000"/>
                <w:szCs w:val="22"/>
              </w:rPr>
              <w:t>Key elements of sexual harassment</w:t>
            </w:r>
          </w:p>
          <w:p w14:paraId="52725CB2" w14:textId="77777777" w:rsidR="000D7539" w:rsidRPr="003624E0" w:rsidRDefault="00C255C3" w:rsidP="00634386">
            <w:pPr>
              <w:spacing w:before="120" w:after="120"/>
              <w:rPr>
                <w:sz w:val="22"/>
                <w:szCs w:val="22"/>
              </w:rPr>
            </w:pPr>
            <w:r>
              <w:rPr>
                <w:sz w:val="22"/>
                <w:szCs w:val="22"/>
              </w:rPr>
              <w:t xml:space="preserve">Under </w:t>
            </w:r>
            <w:r w:rsidR="0043797B">
              <w:rPr>
                <w:sz w:val="22"/>
                <w:szCs w:val="22"/>
              </w:rPr>
              <w:t xml:space="preserve">the </w:t>
            </w:r>
            <w:r w:rsidRPr="0003575F">
              <w:rPr>
                <w:sz w:val="22"/>
                <w:szCs w:val="22"/>
              </w:rPr>
              <w:t>Sex Discrimination Act</w:t>
            </w:r>
            <w:r>
              <w:rPr>
                <w:i/>
                <w:sz w:val="22"/>
                <w:szCs w:val="22"/>
              </w:rPr>
              <w:t xml:space="preserve"> </w:t>
            </w:r>
            <w:r w:rsidR="00D57391">
              <w:rPr>
                <w:i/>
                <w:sz w:val="22"/>
                <w:szCs w:val="22"/>
              </w:rPr>
              <w:t>‘</w:t>
            </w:r>
            <w:r w:rsidR="00D57391">
              <w:rPr>
                <w:sz w:val="22"/>
                <w:szCs w:val="22"/>
              </w:rPr>
              <w:t>s</w:t>
            </w:r>
            <w:r w:rsidR="000D7539" w:rsidRPr="003624E0">
              <w:rPr>
                <w:sz w:val="22"/>
                <w:szCs w:val="22"/>
              </w:rPr>
              <w:t>exual harassment</w:t>
            </w:r>
            <w:r w:rsidR="00D57391">
              <w:rPr>
                <w:sz w:val="22"/>
                <w:szCs w:val="22"/>
              </w:rPr>
              <w:t>’</w:t>
            </w:r>
            <w:r w:rsidR="000D7539" w:rsidRPr="003624E0">
              <w:rPr>
                <w:sz w:val="22"/>
                <w:szCs w:val="22"/>
              </w:rPr>
              <w:t xml:space="preserve"> </w:t>
            </w:r>
            <w:r>
              <w:rPr>
                <w:sz w:val="22"/>
                <w:szCs w:val="22"/>
              </w:rPr>
              <w:t>has three</w:t>
            </w:r>
            <w:r w:rsidR="000D7539" w:rsidRPr="003624E0">
              <w:rPr>
                <w:sz w:val="22"/>
                <w:szCs w:val="22"/>
              </w:rPr>
              <w:t xml:space="preserve"> key elements, </w:t>
            </w:r>
            <w:r>
              <w:rPr>
                <w:sz w:val="22"/>
                <w:szCs w:val="22"/>
              </w:rPr>
              <w:t>these are</w:t>
            </w:r>
            <w:r w:rsidR="000D7539" w:rsidRPr="003624E0">
              <w:rPr>
                <w:sz w:val="22"/>
                <w:szCs w:val="22"/>
              </w:rPr>
              <w:t xml:space="preserve">: </w:t>
            </w:r>
          </w:p>
          <w:p w14:paraId="085AF9ED" w14:textId="77777777" w:rsidR="000D7539" w:rsidRPr="003624E0" w:rsidRDefault="00D57391" w:rsidP="00E5331C">
            <w:pPr>
              <w:pStyle w:val="ListParagraph"/>
              <w:numPr>
                <w:ilvl w:val="0"/>
                <w:numId w:val="16"/>
              </w:numPr>
              <w:spacing w:before="120" w:after="120"/>
              <w:ind w:left="341" w:hanging="284"/>
              <w:contextualSpacing w:val="0"/>
              <w:rPr>
                <w:sz w:val="22"/>
                <w:szCs w:val="22"/>
              </w:rPr>
            </w:pPr>
            <w:r w:rsidRPr="003624E0">
              <w:rPr>
                <w:sz w:val="22"/>
                <w:szCs w:val="22"/>
              </w:rPr>
              <w:t xml:space="preserve">conduct </w:t>
            </w:r>
            <w:r w:rsidR="000D7539" w:rsidRPr="003624E0">
              <w:rPr>
                <w:sz w:val="22"/>
                <w:szCs w:val="22"/>
              </w:rPr>
              <w:t xml:space="preserve">that is </w:t>
            </w:r>
            <w:r w:rsidR="000D7539" w:rsidRPr="003624E0">
              <w:rPr>
                <w:i/>
                <w:sz w:val="22"/>
                <w:szCs w:val="22"/>
              </w:rPr>
              <w:t>unwelcome</w:t>
            </w:r>
            <w:r w:rsidR="000D7539" w:rsidRPr="003624E0">
              <w:rPr>
                <w:sz w:val="22"/>
                <w:szCs w:val="22"/>
              </w:rPr>
              <w:t xml:space="preserve">; </w:t>
            </w:r>
          </w:p>
          <w:p w14:paraId="2532A3BC" w14:textId="77777777" w:rsidR="000D7539" w:rsidRPr="003624E0" w:rsidRDefault="00D57391" w:rsidP="00E5331C">
            <w:pPr>
              <w:pStyle w:val="ListParagraph"/>
              <w:numPr>
                <w:ilvl w:val="0"/>
                <w:numId w:val="16"/>
              </w:numPr>
              <w:spacing w:before="120" w:after="120"/>
              <w:ind w:left="341" w:hanging="284"/>
              <w:contextualSpacing w:val="0"/>
              <w:rPr>
                <w:sz w:val="22"/>
                <w:szCs w:val="22"/>
              </w:rPr>
            </w:pPr>
            <w:r>
              <w:rPr>
                <w:sz w:val="22"/>
                <w:szCs w:val="22"/>
              </w:rPr>
              <w:t xml:space="preserve">conduct </w:t>
            </w:r>
            <w:r w:rsidR="000D7539" w:rsidRPr="003624E0">
              <w:rPr>
                <w:sz w:val="22"/>
                <w:szCs w:val="22"/>
              </w:rPr>
              <w:t xml:space="preserve">of a </w:t>
            </w:r>
            <w:r w:rsidR="000D7539" w:rsidRPr="003624E0">
              <w:rPr>
                <w:i/>
                <w:sz w:val="22"/>
                <w:szCs w:val="22"/>
              </w:rPr>
              <w:t>sexual nature</w:t>
            </w:r>
            <w:r w:rsidR="000D7539" w:rsidRPr="003624E0">
              <w:rPr>
                <w:sz w:val="22"/>
                <w:szCs w:val="22"/>
              </w:rPr>
              <w:t xml:space="preserve">; </w:t>
            </w:r>
          </w:p>
          <w:p w14:paraId="22C02456" w14:textId="77777777" w:rsidR="000D7539" w:rsidRPr="003624E0" w:rsidRDefault="000D7539" w:rsidP="009F3969">
            <w:pPr>
              <w:pStyle w:val="ListParagraph"/>
              <w:numPr>
                <w:ilvl w:val="0"/>
                <w:numId w:val="16"/>
              </w:numPr>
              <w:spacing w:before="120" w:after="120"/>
              <w:ind w:left="341" w:hanging="284"/>
              <w:contextualSpacing w:val="0"/>
              <w:rPr>
                <w:sz w:val="22"/>
                <w:szCs w:val="22"/>
              </w:rPr>
            </w:pPr>
            <w:r w:rsidRPr="003624E0">
              <w:rPr>
                <w:sz w:val="22"/>
                <w:szCs w:val="22"/>
              </w:rPr>
              <w:t xml:space="preserve">a </w:t>
            </w:r>
            <w:r w:rsidRPr="003624E0">
              <w:rPr>
                <w:i/>
                <w:sz w:val="22"/>
                <w:szCs w:val="22"/>
              </w:rPr>
              <w:t>reasonable person</w:t>
            </w:r>
            <w:r w:rsidR="004965BC" w:rsidRPr="003624E0">
              <w:rPr>
                <w:sz w:val="22"/>
                <w:szCs w:val="22"/>
              </w:rPr>
              <w:t xml:space="preserve"> </w:t>
            </w:r>
            <w:r w:rsidR="001154ED" w:rsidRPr="003624E0">
              <w:rPr>
                <w:sz w:val="22"/>
                <w:szCs w:val="22"/>
              </w:rPr>
              <w:t>(</w:t>
            </w:r>
            <w:r w:rsidR="004965BC" w:rsidRPr="003624E0">
              <w:rPr>
                <w:sz w:val="22"/>
                <w:szCs w:val="22"/>
              </w:rPr>
              <w:t xml:space="preserve">aware of </w:t>
            </w:r>
            <w:r w:rsidR="006009DC">
              <w:rPr>
                <w:sz w:val="22"/>
                <w:szCs w:val="22"/>
              </w:rPr>
              <w:t xml:space="preserve">all </w:t>
            </w:r>
            <w:r w:rsidR="004965BC" w:rsidRPr="003624E0">
              <w:rPr>
                <w:sz w:val="22"/>
                <w:szCs w:val="22"/>
              </w:rPr>
              <w:t>the circumstances</w:t>
            </w:r>
            <w:r w:rsidR="001154ED" w:rsidRPr="003624E0">
              <w:rPr>
                <w:sz w:val="22"/>
                <w:szCs w:val="22"/>
              </w:rPr>
              <w:t>)</w:t>
            </w:r>
            <w:r w:rsidR="004965BC" w:rsidRPr="003624E0">
              <w:rPr>
                <w:sz w:val="22"/>
                <w:szCs w:val="22"/>
              </w:rPr>
              <w:t xml:space="preserve"> </w:t>
            </w:r>
            <w:r w:rsidRPr="003624E0">
              <w:rPr>
                <w:sz w:val="22"/>
                <w:szCs w:val="22"/>
              </w:rPr>
              <w:t xml:space="preserve">would anticipate </w:t>
            </w:r>
            <w:r w:rsidR="006009DC">
              <w:rPr>
                <w:sz w:val="22"/>
                <w:szCs w:val="22"/>
              </w:rPr>
              <w:t xml:space="preserve">the </w:t>
            </w:r>
            <w:r w:rsidR="001154ED" w:rsidRPr="003624E0">
              <w:rPr>
                <w:sz w:val="22"/>
                <w:szCs w:val="22"/>
              </w:rPr>
              <w:t>possib</w:t>
            </w:r>
            <w:r w:rsidR="003731A9">
              <w:rPr>
                <w:sz w:val="22"/>
                <w:szCs w:val="22"/>
              </w:rPr>
              <w:t>ility</w:t>
            </w:r>
            <w:r w:rsidRPr="003624E0">
              <w:rPr>
                <w:sz w:val="22"/>
                <w:szCs w:val="22"/>
              </w:rPr>
              <w:t xml:space="preserve"> </w:t>
            </w:r>
            <w:r w:rsidR="006009DC">
              <w:rPr>
                <w:sz w:val="22"/>
                <w:szCs w:val="22"/>
              </w:rPr>
              <w:t>that</w:t>
            </w:r>
            <w:r w:rsidR="006009DC" w:rsidRPr="003624E0">
              <w:rPr>
                <w:sz w:val="22"/>
                <w:szCs w:val="22"/>
              </w:rPr>
              <w:t xml:space="preserve"> </w:t>
            </w:r>
            <w:r w:rsidRPr="003624E0">
              <w:rPr>
                <w:sz w:val="22"/>
                <w:szCs w:val="22"/>
              </w:rPr>
              <w:t xml:space="preserve">the person subjected to the conduct </w:t>
            </w:r>
            <w:r w:rsidR="006009DC">
              <w:rPr>
                <w:sz w:val="22"/>
                <w:szCs w:val="22"/>
              </w:rPr>
              <w:t xml:space="preserve">would </w:t>
            </w:r>
            <w:r w:rsidRPr="003624E0">
              <w:rPr>
                <w:sz w:val="22"/>
                <w:szCs w:val="22"/>
              </w:rPr>
              <w:t xml:space="preserve">feel </w:t>
            </w:r>
            <w:r w:rsidRPr="003624E0">
              <w:rPr>
                <w:i/>
                <w:sz w:val="22"/>
                <w:szCs w:val="22"/>
              </w:rPr>
              <w:t>offended, humiliated or intimidated</w:t>
            </w:r>
            <w:r w:rsidRPr="003624E0">
              <w:rPr>
                <w:sz w:val="22"/>
                <w:szCs w:val="22"/>
              </w:rPr>
              <w:t>.</w:t>
            </w:r>
            <w:r w:rsidR="009F3969" w:rsidRPr="003624E0">
              <w:rPr>
                <w:rStyle w:val="EndnoteReference"/>
              </w:rPr>
              <w:t xml:space="preserve"> </w:t>
            </w:r>
            <w:r w:rsidR="009F3969" w:rsidRPr="003624E0">
              <w:rPr>
                <w:rStyle w:val="EndnoteReference"/>
              </w:rPr>
              <w:endnoteReference w:id="3"/>
            </w:r>
          </w:p>
        </w:tc>
      </w:tr>
    </w:tbl>
    <w:p w14:paraId="42F97A8C" w14:textId="77777777" w:rsidR="00CE1F06" w:rsidRDefault="00CE1F06" w:rsidP="00CE1F06">
      <w:bookmarkStart w:id="6" w:name="_Toc362446674"/>
      <w:bookmarkStart w:id="7" w:name="_Toc388023521"/>
      <w:bookmarkStart w:id="8" w:name="_Toc396737988"/>
      <w:bookmarkStart w:id="9" w:name="_Toc396738140"/>
      <w:bookmarkStart w:id="10" w:name="_Toc397499246"/>
      <w:bookmarkStart w:id="11" w:name="_Toc397509095"/>
      <w:r w:rsidRPr="003624E0">
        <w:t xml:space="preserve">The limited understanding of sexual harassment has significant ramifications for employers.  On the one hand, it could mean that </w:t>
      </w:r>
      <w:r>
        <w:t>workplace participants</w:t>
      </w:r>
      <w:r w:rsidRPr="003624E0">
        <w:t xml:space="preserve"> are unaware that they are being subjected to unlawful behaviour and </w:t>
      </w:r>
      <w:r>
        <w:t xml:space="preserve">that they </w:t>
      </w:r>
      <w:r w:rsidRPr="003624E0">
        <w:t xml:space="preserve">have legal rights and avenues of redress (eg through internal </w:t>
      </w:r>
      <w:r>
        <w:t xml:space="preserve">or external </w:t>
      </w:r>
      <w:r w:rsidRPr="003624E0">
        <w:t xml:space="preserve">complaint mechanisms).  On the other hand, it could mean that </w:t>
      </w:r>
      <w:r>
        <w:t>workplace participants</w:t>
      </w:r>
      <w:r w:rsidRPr="003624E0">
        <w:t xml:space="preserve"> do not understand that they are engaging in conduct that violates the legal prohibition against sexual harassment.  This</w:t>
      </w:r>
      <w:r>
        <w:t>,</w:t>
      </w:r>
      <w:r w:rsidRPr="003624E0">
        <w:t xml:space="preserve"> in turn, </w:t>
      </w:r>
      <w:r>
        <w:t xml:space="preserve">can </w:t>
      </w:r>
      <w:r w:rsidRPr="003624E0">
        <w:t>leave employers legally exposed.</w:t>
      </w:r>
    </w:p>
    <w:p w14:paraId="77DF122A" w14:textId="77777777" w:rsidR="00141C4C" w:rsidRPr="003624E0" w:rsidRDefault="00E71DD1" w:rsidP="00141C4C">
      <w:pPr>
        <w:pStyle w:val="Heading2"/>
        <w:numPr>
          <w:ilvl w:val="0"/>
          <w:numId w:val="0"/>
        </w:numPr>
        <w:ind w:left="567" w:hanging="567"/>
      </w:pPr>
      <w:r>
        <w:t>2</w:t>
      </w:r>
      <w:r w:rsidR="00244AE3" w:rsidRPr="003624E0">
        <w:t xml:space="preserve">.1  </w:t>
      </w:r>
      <w:r w:rsidR="00141C4C" w:rsidRPr="003624E0">
        <w:t xml:space="preserve">Unwelcome </w:t>
      </w:r>
      <w:r w:rsidR="006F7B8F" w:rsidRPr="003624E0">
        <w:t>conduct</w:t>
      </w:r>
      <w:bookmarkEnd w:id="6"/>
      <w:bookmarkEnd w:id="7"/>
      <w:bookmarkEnd w:id="8"/>
      <w:bookmarkEnd w:id="9"/>
      <w:bookmarkEnd w:id="10"/>
      <w:bookmarkEnd w:id="11"/>
    </w:p>
    <w:p w14:paraId="43C8D622" w14:textId="77777777" w:rsidR="00A601F6" w:rsidRPr="003624E0" w:rsidRDefault="00A601F6" w:rsidP="00A601F6">
      <w:pPr>
        <w:pStyle w:val="SubmissionNormal"/>
        <w:numPr>
          <w:ilvl w:val="0"/>
          <w:numId w:val="0"/>
        </w:numPr>
      </w:pPr>
      <w:r w:rsidRPr="003624E0">
        <w:t xml:space="preserve">Conduct is unwelcome if it is not solicited or invited and is regarded </w:t>
      </w:r>
      <w:r w:rsidR="00FF60E2" w:rsidRPr="003624E0">
        <w:t xml:space="preserve">as undesirable or offensive </w:t>
      </w:r>
      <w:r w:rsidRPr="003624E0">
        <w:t xml:space="preserve">by the </w:t>
      </w:r>
      <w:r w:rsidR="00FF60E2">
        <w:t>person who is the target of the sexual harassment</w:t>
      </w:r>
      <w:r w:rsidRPr="003624E0">
        <w:t>.</w:t>
      </w:r>
      <w:r w:rsidRPr="003624E0">
        <w:rPr>
          <w:rStyle w:val="EndnoteReference"/>
        </w:rPr>
        <w:endnoteReference w:id="4"/>
      </w:r>
      <w:r w:rsidRPr="003624E0">
        <w:t xml:space="preserve">  It is irrelevant that the conduct may not have been unwelcome to others or </w:t>
      </w:r>
      <w:r w:rsidR="002D6288">
        <w:t xml:space="preserve">if it </w:t>
      </w:r>
      <w:r w:rsidRPr="003624E0">
        <w:t xml:space="preserve">has been an accepted </w:t>
      </w:r>
      <w:r w:rsidR="002D6288">
        <w:t>practice in</w:t>
      </w:r>
      <w:r w:rsidRPr="003624E0">
        <w:t xml:space="preserve"> the workplace.</w:t>
      </w:r>
      <w:r w:rsidRPr="003624E0">
        <w:rPr>
          <w:rStyle w:val="EndnoteReference"/>
        </w:rPr>
        <w:endnoteReference w:id="5"/>
      </w:r>
      <w:r w:rsidRPr="003624E0">
        <w:t xml:space="preserve">  </w:t>
      </w:r>
    </w:p>
    <w:p w14:paraId="0ACBC061" w14:textId="77777777" w:rsidR="00634386" w:rsidRPr="003624E0" w:rsidRDefault="00E71DD1" w:rsidP="00634386">
      <w:pPr>
        <w:pStyle w:val="Heading2"/>
        <w:numPr>
          <w:ilvl w:val="0"/>
          <w:numId w:val="0"/>
        </w:numPr>
        <w:ind w:left="567" w:hanging="567"/>
      </w:pPr>
      <w:bookmarkStart w:id="12" w:name="_Toc362446675"/>
      <w:bookmarkStart w:id="13" w:name="_Toc388023522"/>
      <w:bookmarkStart w:id="14" w:name="_Toc396737989"/>
      <w:bookmarkStart w:id="15" w:name="_Toc396738141"/>
      <w:bookmarkStart w:id="16" w:name="_Toc397499247"/>
      <w:bookmarkStart w:id="17" w:name="_Toc397509096"/>
      <w:r>
        <w:t>2</w:t>
      </w:r>
      <w:r w:rsidR="00634386" w:rsidRPr="003624E0">
        <w:t>.2  Conduct of a sexual nature</w:t>
      </w:r>
      <w:bookmarkEnd w:id="12"/>
      <w:bookmarkEnd w:id="13"/>
      <w:bookmarkEnd w:id="14"/>
      <w:bookmarkEnd w:id="15"/>
      <w:bookmarkEnd w:id="16"/>
      <w:bookmarkEnd w:id="17"/>
    </w:p>
    <w:p w14:paraId="459FFD8A" w14:textId="77777777" w:rsidR="00A61B1A" w:rsidRPr="003624E0" w:rsidRDefault="003731A9" w:rsidP="007579E4">
      <w:pPr>
        <w:pStyle w:val="SubmissionNormal"/>
        <w:numPr>
          <w:ilvl w:val="0"/>
          <w:numId w:val="0"/>
        </w:numPr>
        <w:rPr>
          <w:szCs w:val="22"/>
        </w:rPr>
      </w:pPr>
      <w:r>
        <w:t>“C</w:t>
      </w:r>
      <w:r w:rsidR="00441E90" w:rsidRPr="003624E0">
        <w:t>onduct of a sexual nature</w:t>
      </w:r>
      <w:r w:rsidR="00757D8C">
        <w:t>’</w:t>
      </w:r>
      <w:r w:rsidR="00441E90" w:rsidRPr="003624E0">
        <w:t xml:space="preserve"> </w:t>
      </w:r>
      <w:r>
        <w:t xml:space="preserve">is </w:t>
      </w:r>
      <w:r w:rsidR="00441E90" w:rsidRPr="003624E0">
        <w:t>broadly</w:t>
      </w:r>
      <w:r>
        <w:t xml:space="preserve"> defined</w:t>
      </w:r>
      <w:r w:rsidR="00757D8C">
        <w:t xml:space="preserve">: </w:t>
      </w:r>
      <w:r w:rsidR="009F3969">
        <w:t xml:space="preserve">it can include </w:t>
      </w:r>
      <w:r w:rsidR="009F3969" w:rsidRPr="007579E4">
        <w:rPr>
          <w:szCs w:val="22"/>
        </w:rPr>
        <w:t>verbal, written and online conduct</w:t>
      </w:r>
      <w:r w:rsidR="009F3969" w:rsidRPr="003624E0">
        <w:rPr>
          <w:szCs w:val="22"/>
        </w:rPr>
        <w:t xml:space="preserve"> </w:t>
      </w:r>
      <w:r w:rsidR="009F3969">
        <w:rPr>
          <w:szCs w:val="22"/>
        </w:rPr>
        <w:t xml:space="preserve">that is </w:t>
      </w:r>
      <w:r w:rsidR="00A61B1A" w:rsidRPr="003624E0">
        <w:rPr>
          <w:szCs w:val="22"/>
        </w:rPr>
        <w:t xml:space="preserve">an unwelcome </w:t>
      </w:r>
      <w:r w:rsidR="00A61B1A" w:rsidRPr="003624E0">
        <w:rPr>
          <w:i/>
          <w:szCs w:val="22"/>
        </w:rPr>
        <w:t>sexual advance</w:t>
      </w:r>
      <w:r w:rsidR="00AB5578">
        <w:rPr>
          <w:i/>
          <w:szCs w:val="22"/>
        </w:rPr>
        <w:t xml:space="preserve"> </w:t>
      </w:r>
      <w:r w:rsidR="009F3969" w:rsidRPr="009F3969">
        <w:rPr>
          <w:szCs w:val="22"/>
        </w:rPr>
        <w:t>or</w:t>
      </w:r>
      <w:r w:rsidR="00A61B1A" w:rsidRPr="009F3969">
        <w:rPr>
          <w:szCs w:val="22"/>
        </w:rPr>
        <w:t xml:space="preserve"> </w:t>
      </w:r>
      <w:r w:rsidR="00A61B1A" w:rsidRPr="003624E0">
        <w:rPr>
          <w:szCs w:val="22"/>
        </w:rPr>
        <w:t xml:space="preserve">an unwelcome </w:t>
      </w:r>
      <w:r w:rsidR="00A61B1A" w:rsidRPr="003624E0">
        <w:rPr>
          <w:i/>
          <w:szCs w:val="22"/>
        </w:rPr>
        <w:t>request for sexual favours</w:t>
      </w:r>
      <w:r w:rsidR="00A61B1A" w:rsidRPr="003624E0">
        <w:rPr>
          <w:szCs w:val="22"/>
        </w:rPr>
        <w:t xml:space="preserve"> </w:t>
      </w:r>
      <w:r w:rsidR="007579E4">
        <w:rPr>
          <w:szCs w:val="22"/>
        </w:rPr>
        <w:t>or</w:t>
      </w:r>
      <w:r w:rsidR="007579E4">
        <w:t xml:space="preserve"> </w:t>
      </w:r>
      <w:r w:rsidR="00A61B1A" w:rsidRPr="003624E0">
        <w:rPr>
          <w:szCs w:val="22"/>
        </w:rPr>
        <w:t xml:space="preserve">other unwelcome </w:t>
      </w:r>
      <w:r w:rsidR="007579E4">
        <w:rPr>
          <w:i/>
          <w:szCs w:val="22"/>
        </w:rPr>
        <w:t>conduct of a sexual nature</w:t>
      </w:r>
      <w:r w:rsidR="00A61B1A" w:rsidRPr="007579E4">
        <w:rPr>
          <w:szCs w:val="22"/>
        </w:rPr>
        <w:t>.</w:t>
      </w:r>
      <w:r w:rsidR="00A61B1A" w:rsidRPr="007579E4">
        <w:rPr>
          <w:rStyle w:val="EndnoteReference"/>
          <w:sz w:val="24"/>
          <w:szCs w:val="22"/>
        </w:rPr>
        <w:endnoteReference w:id="6"/>
      </w:r>
    </w:p>
    <w:p w14:paraId="25CE68BB" w14:textId="77777777" w:rsidR="00245900" w:rsidRPr="007579E4" w:rsidRDefault="00245900" w:rsidP="007579E4">
      <w:pPr>
        <w:pStyle w:val="SubmissionNormal"/>
        <w:numPr>
          <w:ilvl w:val="0"/>
          <w:numId w:val="0"/>
        </w:numPr>
      </w:pPr>
      <w:r w:rsidRPr="007579E4">
        <w:rPr>
          <w:szCs w:val="22"/>
        </w:rPr>
        <w:t>Conduct likely to be considered sexual in nature includes:</w:t>
      </w:r>
    </w:p>
    <w:p w14:paraId="7A94A05A" w14:textId="77777777" w:rsidR="00760E00" w:rsidRDefault="00760E00" w:rsidP="00E5331C">
      <w:pPr>
        <w:pStyle w:val="SubmissionNormal"/>
        <w:numPr>
          <w:ilvl w:val="0"/>
          <w:numId w:val="18"/>
        </w:numPr>
        <w:ind w:left="567" w:hanging="567"/>
        <w:rPr>
          <w:szCs w:val="22"/>
        </w:rPr>
        <w:sectPr w:rsidR="00760E00" w:rsidSect="00A4265D">
          <w:headerReference w:type="default" r:id="rId10"/>
          <w:footerReference w:type="default" r:id="rId11"/>
          <w:endnotePr>
            <w:numFmt w:val="decimal"/>
          </w:endnotePr>
          <w:pgSz w:w="11906" w:h="16838" w:code="9"/>
          <w:pgMar w:top="1134" w:right="1418" w:bottom="1134" w:left="1418" w:header="709" w:footer="709" w:gutter="0"/>
          <w:pgNumType w:start="1"/>
          <w:cols w:space="708"/>
          <w:titlePg/>
          <w:docGrid w:linePitch="360"/>
        </w:sectPr>
      </w:pPr>
    </w:p>
    <w:p w14:paraId="32D89568" w14:textId="77777777" w:rsidR="00245900" w:rsidRPr="007579E4" w:rsidRDefault="00245900" w:rsidP="00E5331C">
      <w:pPr>
        <w:pStyle w:val="SubmissionNormal"/>
        <w:numPr>
          <w:ilvl w:val="0"/>
          <w:numId w:val="18"/>
        </w:numPr>
        <w:ind w:left="567" w:hanging="567"/>
        <w:rPr>
          <w:szCs w:val="22"/>
        </w:rPr>
      </w:pPr>
      <w:r w:rsidRPr="007579E4">
        <w:rPr>
          <w:szCs w:val="22"/>
        </w:rPr>
        <w:lastRenderedPageBreak/>
        <w:t>touching, hugging, cornering or kissing</w:t>
      </w:r>
    </w:p>
    <w:p w14:paraId="39E8823C" w14:textId="77777777" w:rsidR="00245900" w:rsidRPr="00245900" w:rsidRDefault="00245900" w:rsidP="00E5331C">
      <w:pPr>
        <w:pStyle w:val="SubmissionNormal"/>
        <w:numPr>
          <w:ilvl w:val="0"/>
          <w:numId w:val="18"/>
        </w:numPr>
        <w:ind w:left="567" w:hanging="567"/>
        <w:rPr>
          <w:szCs w:val="22"/>
        </w:rPr>
      </w:pPr>
      <w:r w:rsidRPr="00245900">
        <w:rPr>
          <w:szCs w:val="22"/>
        </w:rPr>
        <w:t>inappropriate staring or leering</w:t>
      </w:r>
      <w:r w:rsidR="007579E4">
        <w:rPr>
          <w:szCs w:val="22"/>
        </w:rPr>
        <w:t xml:space="preserve"> and inappropriate physical contact</w:t>
      </w:r>
    </w:p>
    <w:p w14:paraId="27D90E44" w14:textId="77777777" w:rsidR="00245900" w:rsidRPr="00245900" w:rsidRDefault="00245900" w:rsidP="00E5331C">
      <w:pPr>
        <w:pStyle w:val="SubmissionNormal"/>
        <w:numPr>
          <w:ilvl w:val="0"/>
          <w:numId w:val="18"/>
        </w:numPr>
        <w:ind w:left="567" w:hanging="567"/>
        <w:rPr>
          <w:szCs w:val="22"/>
        </w:rPr>
      </w:pPr>
      <w:r w:rsidRPr="00245900">
        <w:rPr>
          <w:szCs w:val="22"/>
        </w:rPr>
        <w:t>insults or taunts of a sexual nature</w:t>
      </w:r>
    </w:p>
    <w:p w14:paraId="4D0511B5" w14:textId="77777777" w:rsidR="00245900" w:rsidRPr="00245900" w:rsidRDefault="00245900" w:rsidP="00E5331C">
      <w:pPr>
        <w:pStyle w:val="SubmissionNormal"/>
        <w:numPr>
          <w:ilvl w:val="0"/>
          <w:numId w:val="18"/>
        </w:numPr>
        <w:ind w:left="567" w:hanging="567"/>
        <w:rPr>
          <w:szCs w:val="22"/>
        </w:rPr>
      </w:pPr>
      <w:r w:rsidRPr="00245900">
        <w:rPr>
          <w:szCs w:val="22"/>
        </w:rPr>
        <w:t>repeated or inappropriate invitations to go out on dates</w:t>
      </w:r>
    </w:p>
    <w:p w14:paraId="56851FC6" w14:textId="77777777" w:rsidR="00245900" w:rsidRPr="00245900" w:rsidRDefault="00245900" w:rsidP="00E5331C">
      <w:pPr>
        <w:pStyle w:val="SubmissionNormal"/>
        <w:numPr>
          <w:ilvl w:val="0"/>
          <w:numId w:val="18"/>
        </w:numPr>
        <w:ind w:left="567" w:hanging="567"/>
        <w:rPr>
          <w:szCs w:val="22"/>
        </w:rPr>
      </w:pPr>
      <w:r w:rsidRPr="00245900">
        <w:rPr>
          <w:szCs w:val="22"/>
        </w:rPr>
        <w:lastRenderedPageBreak/>
        <w:t>requests for sexual favours</w:t>
      </w:r>
    </w:p>
    <w:p w14:paraId="4C20D2A9" w14:textId="77777777" w:rsidR="00245900" w:rsidRPr="00245900" w:rsidRDefault="00245900" w:rsidP="00E5331C">
      <w:pPr>
        <w:pStyle w:val="SubmissionNormal"/>
        <w:numPr>
          <w:ilvl w:val="0"/>
          <w:numId w:val="18"/>
        </w:numPr>
        <w:ind w:left="567" w:hanging="567"/>
        <w:rPr>
          <w:szCs w:val="22"/>
        </w:rPr>
      </w:pPr>
      <w:r w:rsidRPr="00245900">
        <w:rPr>
          <w:szCs w:val="22"/>
        </w:rPr>
        <w:t xml:space="preserve">repeated or inappropriate advances on email or social networking websites </w:t>
      </w:r>
    </w:p>
    <w:p w14:paraId="223E6E2B" w14:textId="77777777" w:rsidR="00245900" w:rsidRPr="00245900" w:rsidRDefault="00245900" w:rsidP="00E5331C">
      <w:pPr>
        <w:pStyle w:val="SubmissionNormal"/>
        <w:numPr>
          <w:ilvl w:val="0"/>
          <w:numId w:val="18"/>
        </w:numPr>
        <w:ind w:left="567" w:hanging="567"/>
        <w:rPr>
          <w:szCs w:val="22"/>
        </w:rPr>
      </w:pPr>
      <w:r w:rsidRPr="00245900">
        <w:rPr>
          <w:szCs w:val="22"/>
        </w:rPr>
        <w:t>intrusive questions about a person’s private life or physical appearance</w:t>
      </w:r>
    </w:p>
    <w:p w14:paraId="50153A1E" w14:textId="77777777" w:rsidR="00245900" w:rsidRPr="00245900" w:rsidRDefault="00245900" w:rsidP="00E5331C">
      <w:pPr>
        <w:pStyle w:val="SubmissionNormal"/>
        <w:numPr>
          <w:ilvl w:val="0"/>
          <w:numId w:val="18"/>
        </w:numPr>
        <w:ind w:left="567" w:hanging="567"/>
        <w:rPr>
          <w:szCs w:val="22"/>
        </w:rPr>
      </w:pPr>
      <w:r w:rsidRPr="00245900">
        <w:rPr>
          <w:szCs w:val="22"/>
        </w:rPr>
        <w:lastRenderedPageBreak/>
        <w:t xml:space="preserve">sexual gestures, indecent exposure or inappropriate display of the body </w:t>
      </w:r>
    </w:p>
    <w:p w14:paraId="59636A36" w14:textId="77777777" w:rsidR="00245900" w:rsidRPr="00245900" w:rsidRDefault="00245900" w:rsidP="00E5331C">
      <w:pPr>
        <w:pStyle w:val="SubmissionNormal"/>
        <w:numPr>
          <w:ilvl w:val="0"/>
          <w:numId w:val="18"/>
        </w:numPr>
        <w:ind w:left="567" w:hanging="567"/>
        <w:rPr>
          <w:szCs w:val="22"/>
        </w:rPr>
      </w:pPr>
      <w:r w:rsidRPr="00245900">
        <w:rPr>
          <w:szCs w:val="22"/>
        </w:rPr>
        <w:t xml:space="preserve">sexually suggestive comments or jokes </w:t>
      </w:r>
    </w:p>
    <w:p w14:paraId="55EE873C" w14:textId="77777777" w:rsidR="00245900" w:rsidRPr="00245900" w:rsidRDefault="00245900" w:rsidP="00E5331C">
      <w:pPr>
        <w:pStyle w:val="SubmissionNormal"/>
        <w:numPr>
          <w:ilvl w:val="0"/>
          <w:numId w:val="18"/>
        </w:numPr>
        <w:ind w:left="567" w:hanging="567"/>
        <w:rPr>
          <w:szCs w:val="22"/>
        </w:rPr>
      </w:pPr>
      <w:r w:rsidRPr="00245900">
        <w:rPr>
          <w:szCs w:val="22"/>
        </w:rPr>
        <w:lastRenderedPageBreak/>
        <w:t xml:space="preserve">sexually explicit pictures, posters, gifts, emails or text messages </w:t>
      </w:r>
    </w:p>
    <w:p w14:paraId="3AC6FF09" w14:textId="77777777" w:rsidR="00245900" w:rsidRPr="00245900" w:rsidRDefault="00245900" w:rsidP="00E5331C">
      <w:pPr>
        <w:pStyle w:val="SubmissionNormal"/>
        <w:numPr>
          <w:ilvl w:val="0"/>
          <w:numId w:val="18"/>
        </w:numPr>
        <w:ind w:left="567" w:hanging="567"/>
        <w:rPr>
          <w:szCs w:val="22"/>
        </w:rPr>
      </w:pPr>
      <w:r w:rsidRPr="00245900">
        <w:rPr>
          <w:szCs w:val="22"/>
        </w:rPr>
        <w:t>requests or pressure for sex or other sexual acts</w:t>
      </w:r>
    </w:p>
    <w:p w14:paraId="7F32C7DE" w14:textId="77777777" w:rsidR="00760E00" w:rsidRDefault="00760E00" w:rsidP="003257DB">
      <w:pPr>
        <w:pStyle w:val="SubmissionNormal"/>
        <w:numPr>
          <w:ilvl w:val="0"/>
          <w:numId w:val="0"/>
        </w:numPr>
        <w:sectPr w:rsidR="00760E00" w:rsidSect="0003575F">
          <w:endnotePr>
            <w:numFmt w:val="decimal"/>
          </w:endnotePr>
          <w:type w:val="continuous"/>
          <w:pgSz w:w="11906" w:h="16838" w:code="9"/>
          <w:pgMar w:top="1134" w:right="1418" w:bottom="1134" w:left="1418" w:header="709" w:footer="709" w:gutter="0"/>
          <w:cols w:num="2" w:space="708"/>
          <w:docGrid w:linePitch="360"/>
        </w:sectPr>
      </w:pPr>
    </w:p>
    <w:p w14:paraId="5A2A9A6A" w14:textId="77777777" w:rsidR="0055249E" w:rsidRPr="003624E0" w:rsidRDefault="00904BE9" w:rsidP="00FB2D79">
      <w:r w:rsidRPr="003624E0">
        <w:lastRenderedPageBreak/>
        <w:t>Sexual harassment</w:t>
      </w:r>
      <w:r w:rsidR="00266D34" w:rsidRPr="003624E0">
        <w:t xml:space="preserve"> </w:t>
      </w:r>
      <w:r w:rsidRPr="003624E0">
        <w:t>may occur where a</w:t>
      </w:r>
      <w:r w:rsidR="002C341F" w:rsidRPr="003624E0">
        <w:t xml:space="preserve"> </w:t>
      </w:r>
      <w:r w:rsidR="00823FCA" w:rsidRPr="003624E0">
        <w:t>work</w:t>
      </w:r>
      <w:r w:rsidR="00693B7C" w:rsidRPr="003624E0">
        <w:t xml:space="preserve"> environment or culture is sexually charged or hostile</w:t>
      </w:r>
      <w:r w:rsidR="00637941">
        <w:t>.</w:t>
      </w:r>
      <w:r w:rsidR="002C341F" w:rsidRPr="003624E0">
        <w:rPr>
          <w:rStyle w:val="EndnoteReference"/>
        </w:rPr>
        <w:endnoteReference w:id="7"/>
      </w:r>
      <w:r w:rsidR="00A6181B" w:rsidRPr="003624E0">
        <w:t xml:space="preserve">  </w:t>
      </w:r>
      <w:r w:rsidR="00737F3A" w:rsidRPr="003624E0">
        <w:t>Factors that point to a sexually hostile workplace include the display of obscene or pornographic materials, general sexual banter, crude conversation or innuendo and offensive jokes.</w:t>
      </w:r>
      <w:r w:rsidR="00737F3A" w:rsidRPr="003624E0">
        <w:rPr>
          <w:rStyle w:val="EndnoteReference"/>
        </w:rPr>
        <w:endnoteReference w:id="8"/>
      </w:r>
    </w:p>
    <w:p w14:paraId="2F72BDA2" w14:textId="77777777" w:rsidR="004A0CA9" w:rsidRDefault="00C567E7" w:rsidP="004A0CA9">
      <w:r w:rsidRPr="003624E0">
        <w:t xml:space="preserve">Sexual harassment is </w:t>
      </w:r>
      <w:r w:rsidR="00A0273B">
        <w:t>against the law</w:t>
      </w:r>
      <w:r w:rsidR="00A0273B" w:rsidRPr="003624E0">
        <w:t xml:space="preserve"> </w:t>
      </w:r>
      <w:r w:rsidRPr="003624E0">
        <w:t xml:space="preserve">regardless of the sex, sexual orientation or gender identity of the </w:t>
      </w:r>
      <w:r w:rsidR="00A0273B">
        <w:t>people involved</w:t>
      </w:r>
      <w:r w:rsidR="00DF424B">
        <w:t>.</w:t>
      </w:r>
      <w:r w:rsidR="00F35C72" w:rsidRPr="003624E0">
        <w:t xml:space="preserve"> </w:t>
      </w:r>
    </w:p>
    <w:p w14:paraId="5FE1C39F" w14:textId="77777777" w:rsidR="006A0BBB" w:rsidRPr="004A0CA9" w:rsidRDefault="004A0CA9" w:rsidP="004A0CA9">
      <w:pPr>
        <w:rPr>
          <w:rFonts w:eastAsia="Times New Roman"/>
        </w:rPr>
      </w:pPr>
      <w:r>
        <w:rPr>
          <w:rFonts w:eastAsia="Times New Roman"/>
        </w:rPr>
        <w:t xml:space="preserve">Workplace participants may not always understand when they are engaging in conduct that </w:t>
      </w:r>
      <w:r w:rsidR="008C176B">
        <w:rPr>
          <w:rFonts w:eastAsia="Times New Roman"/>
        </w:rPr>
        <w:t>could be found to be</w:t>
      </w:r>
      <w:r>
        <w:rPr>
          <w:rFonts w:eastAsia="Times New Roman"/>
        </w:rPr>
        <w:t xml:space="preserve"> sexual harassment.</w:t>
      </w:r>
    </w:p>
    <w:p w14:paraId="731A8772" w14:textId="77777777" w:rsidR="00634386" w:rsidRPr="003624E0" w:rsidRDefault="00AA691E" w:rsidP="008C5F9F">
      <w:pPr>
        <w:pStyle w:val="Heading2"/>
        <w:numPr>
          <w:ilvl w:val="1"/>
          <w:numId w:val="32"/>
        </w:numPr>
      </w:pPr>
      <w:bookmarkStart w:id="18" w:name="_Toc362446676"/>
      <w:bookmarkStart w:id="19" w:name="_Toc388023523"/>
      <w:r w:rsidRPr="003624E0">
        <w:t xml:space="preserve"> </w:t>
      </w:r>
      <w:bookmarkStart w:id="20" w:name="_Toc397499248"/>
      <w:bookmarkStart w:id="21" w:name="_Toc397509097"/>
      <w:bookmarkStart w:id="22" w:name="_Toc396737990"/>
      <w:bookmarkStart w:id="23" w:name="_Toc396738142"/>
      <w:r w:rsidRPr="003624E0">
        <w:t>R</w:t>
      </w:r>
      <w:r w:rsidR="00634386" w:rsidRPr="003624E0">
        <w:t xml:space="preserve">easonable person </w:t>
      </w:r>
      <w:r w:rsidR="00406141">
        <w:t>test</w:t>
      </w:r>
      <w:bookmarkEnd w:id="20"/>
      <w:bookmarkEnd w:id="21"/>
      <w:r w:rsidR="00406141">
        <w:t xml:space="preserve"> </w:t>
      </w:r>
      <w:bookmarkEnd w:id="18"/>
      <w:bookmarkEnd w:id="19"/>
      <w:bookmarkEnd w:id="22"/>
      <w:bookmarkEnd w:id="23"/>
    </w:p>
    <w:p w14:paraId="5BCB14B4" w14:textId="77777777" w:rsidR="006B4412" w:rsidRPr="00406141" w:rsidRDefault="003731A9" w:rsidP="00F46AAA">
      <w:r>
        <w:t>Sexual harassment can occur where</w:t>
      </w:r>
      <w:r w:rsidR="00B8137B" w:rsidRPr="003624E0">
        <w:rPr>
          <w:szCs w:val="22"/>
        </w:rPr>
        <w:t xml:space="preserve"> </w:t>
      </w:r>
      <w:r w:rsidR="002C53B9" w:rsidRPr="003624E0">
        <w:rPr>
          <w:szCs w:val="22"/>
        </w:rPr>
        <w:t>in the circumstances</w:t>
      </w:r>
      <w:r w:rsidR="00B8137B" w:rsidRPr="003624E0">
        <w:rPr>
          <w:szCs w:val="22"/>
        </w:rPr>
        <w:t xml:space="preserve">, </w:t>
      </w:r>
      <w:r w:rsidR="002C53B9" w:rsidRPr="003624E0">
        <w:rPr>
          <w:szCs w:val="22"/>
        </w:rPr>
        <w:t xml:space="preserve">a reasonable person </w:t>
      </w:r>
      <w:r w:rsidR="00A005BC" w:rsidRPr="003624E0">
        <w:rPr>
          <w:szCs w:val="22"/>
        </w:rPr>
        <w:t>(aware of the circumstances)</w:t>
      </w:r>
      <w:r w:rsidR="0013258B">
        <w:rPr>
          <w:szCs w:val="22"/>
        </w:rPr>
        <w:t xml:space="preserve"> </w:t>
      </w:r>
      <w:r w:rsidR="002C53B9" w:rsidRPr="0013258B">
        <w:rPr>
          <w:szCs w:val="22"/>
        </w:rPr>
        <w:t xml:space="preserve">would </w:t>
      </w:r>
      <w:r w:rsidR="002C53B9" w:rsidRPr="0013258B">
        <w:rPr>
          <w:i/>
          <w:szCs w:val="22"/>
        </w:rPr>
        <w:t>anticipate the</w:t>
      </w:r>
      <w:r w:rsidR="002C53B9" w:rsidRPr="0013258B">
        <w:rPr>
          <w:szCs w:val="22"/>
        </w:rPr>
        <w:t xml:space="preserve"> </w:t>
      </w:r>
      <w:r w:rsidR="002C53B9" w:rsidRPr="0013258B">
        <w:rPr>
          <w:i/>
          <w:szCs w:val="22"/>
        </w:rPr>
        <w:t>possibility</w:t>
      </w:r>
      <w:r w:rsidR="002C53B9" w:rsidRPr="0013258B">
        <w:rPr>
          <w:szCs w:val="22"/>
        </w:rPr>
        <w:t xml:space="preserve"> that the </w:t>
      </w:r>
      <w:r w:rsidR="00A005BC" w:rsidRPr="0013258B">
        <w:rPr>
          <w:szCs w:val="22"/>
        </w:rPr>
        <w:t xml:space="preserve">recipient </w:t>
      </w:r>
      <w:r w:rsidR="002C53B9" w:rsidRPr="0013258B">
        <w:rPr>
          <w:szCs w:val="22"/>
        </w:rPr>
        <w:t>would feel offended, humiliated or intimidated</w:t>
      </w:r>
      <w:r w:rsidR="006A4F67" w:rsidRPr="0013258B">
        <w:rPr>
          <w:szCs w:val="22"/>
        </w:rPr>
        <w:t xml:space="preserve"> by the conduct</w:t>
      </w:r>
      <w:r w:rsidR="003F58B1" w:rsidRPr="003624E0">
        <w:t xml:space="preserve">.  </w:t>
      </w:r>
      <w:r w:rsidR="006B4412">
        <w:rPr>
          <w:rFonts w:eastAsia="Times New Roman" w:cs="Arial"/>
        </w:rPr>
        <w:t>Determining whether a reasonable person would have anticipated that the person harassed would be offended, humiliated or intimidated is an objective test.</w:t>
      </w:r>
      <w:r w:rsidR="006B4412">
        <w:rPr>
          <w:rStyle w:val="EndnoteReference"/>
          <w:rFonts w:eastAsia="Times New Roman" w:cs="Arial"/>
        </w:rPr>
        <w:endnoteReference w:id="9"/>
      </w:r>
      <w:r w:rsidR="006B4412">
        <w:rPr>
          <w:rFonts w:eastAsia="Times New Roman" w:cs="Arial"/>
          <w:sz w:val="12"/>
          <w:szCs w:val="12"/>
        </w:rPr>
        <w:t xml:space="preserve"> </w:t>
      </w:r>
    </w:p>
    <w:p w14:paraId="18E613A3" w14:textId="77777777" w:rsidR="005C0134" w:rsidRDefault="00A60EE2" w:rsidP="008C5F9F">
      <w:pPr>
        <w:pStyle w:val="Heading2"/>
        <w:numPr>
          <w:ilvl w:val="1"/>
          <w:numId w:val="32"/>
        </w:numPr>
      </w:pPr>
      <w:bookmarkStart w:id="24" w:name="_Toc362446677"/>
      <w:bookmarkStart w:id="25" w:name="_Toc388023524"/>
      <w:r w:rsidRPr="003624E0">
        <w:t xml:space="preserve"> </w:t>
      </w:r>
      <w:bookmarkStart w:id="26" w:name="_Toc396737991"/>
      <w:bookmarkStart w:id="27" w:name="_Toc396738143"/>
      <w:bookmarkStart w:id="28" w:name="_Toc397499249"/>
      <w:bookmarkStart w:id="29" w:name="_Toc397509098"/>
      <w:r w:rsidR="003E1BA6" w:rsidRPr="003624E0">
        <w:t>Workplace</w:t>
      </w:r>
      <w:bookmarkEnd w:id="24"/>
      <w:bookmarkEnd w:id="25"/>
      <w:r w:rsidR="00DA68BE">
        <w:t xml:space="preserve"> participants and workplaces</w:t>
      </w:r>
      <w:bookmarkEnd w:id="26"/>
      <w:bookmarkEnd w:id="27"/>
      <w:bookmarkEnd w:id="28"/>
      <w:bookmarkEnd w:id="29"/>
    </w:p>
    <w:p w14:paraId="4D8C0A50" w14:textId="77777777" w:rsidR="003731A9" w:rsidRDefault="005665B0" w:rsidP="004855DC">
      <w:r w:rsidRPr="003624E0">
        <w:t xml:space="preserve">Under the Act, it is </w:t>
      </w:r>
      <w:r>
        <w:t>unlawful to sexually harass a current or prospective employee,</w:t>
      </w:r>
      <w:r w:rsidRPr="003624E0">
        <w:t xml:space="preserve"> commission agent or a contract worker</w:t>
      </w:r>
      <w:r>
        <w:t xml:space="preserve">, </w:t>
      </w:r>
      <w:r w:rsidRPr="003624E0">
        <w:t xml:space="preserve">colleague, partner, fellow commission </w:t>
      </w:r>
      <w:r>
        <w:t xml:space="preserve">agent or fellow contract </w:t>
      </w:r>
      <w:r w:rsidRPr="00DA68BE">
        <w:t>worker, or any other workplace participant</w:t>
      </w:r>
      <w:r w:rsidR="00DA68BE" w:rsidRPr="00DA68BE">
        <w:t xml:space="preserve">. </w:t>
      </w:r>
    </w:p>
    <w:p w14:paraId="10747E73" w14:textId="77777777" w:rsidR="005665B0" w:rsidRDefault="00DA68BE" w:rsidP="004855DC">
      <w:r w:rsidRPr="00DA68BE">
        <w:t>A ‘workplace participant’ includes employers (eg sole trader), employees, commission agents, contract worker</w:t>
      </w:r>
      <w:r w:rsidR="002F6B5F">
        <w:t>s and partners in a partnership.</w:t>
      </w:r>
      <w:r w:rsidRPr="00DA68BE">
        <w:rPr>
          <w:rStyle w:val="EndnoteReference"/>
          <w:sz w:val="24"/>
        </w:rPr>
        <w:endnoteReference w:id="10"/>
      </w:r>
      <w:r w:rsidR="005665B0">
        <w:t xml:space="preserve"> </w:t>
      </w:r>
      <w:r w:rsidR="00A36F23">
        <w:t xml:space="preserve"> For example,</w:t>
      </w:r>
      <w:r w:rsidR="005665B0">
        <w:t xml:space="preserve"> </w:t>
      </w:r>
      <w:r w:rsidR="002F6B5F">
        <w:t xml:space="preserve">it is unlawful for a staff member to sexually harass an </w:t>
      </w:r>
      <w:r w:rsidR="005665B0">
        <w:t>owner/employer in a small business.</w:t>
      </w:r>
    </w:p>
    <w:p w14:paraId="6023BE05" w14:textId="77777777" w:rsidR="00DA68BE" w:rsidRPr="00793ABC" w:rsidRDefault="00DA68BE" w:rsidP="00DA68BE">
      <w:r w:rsidRPr="00793ABC">
        <w:t xml:space="preserve">It is </w:t>
      </w:r>
      <w:r>
        <w:t>also</w:t>
      </w:r>
      <w:r w:rsidRPr="00793ABC">
        <w:t xml:space="preserve"> unlawful for a workplace participant to </w:t>
      </w:r>
      <w:r>
        <w:t xml:space="preserve">sexually harass another person in the course of providing or receiving goods, </w:t>
      </w:r>
      <w:hyperlink r:id="rId12" w:anchor="services" w:history="1">
        <w:r>
          <w:rPr>
            <w:rStyle w:val="Hyperlink"/>
          </w:rPr>
          <w:t>services</w:t>
        </w:r>
      </w:hyperlink>
      <w:r>
        <w:t xml:space="preserve"> or facilities to/from that other person.</w:t>
      </w:r>
      <w:r>
        <w:rPr>
          <w:rStyle w:val="EndnoteReference"/>
        </w:rPr>
        <w:endnoteReference w:id="11"/>
      </w:r>
    </w:p>
    <w:p w14:paraId="563DA127" w14:textId="77777777" w:rsidR="00E3700D" w:rsidRDefault="004855DC" w:rsidP="004855DC">
      <w:r w:rsidRPr="003624E0">
        <w:t xml:space="preserve">The term ‘workplace’ refers to ‘a place at which a workplace participant works </w:t>
      </w:r>
      <w:r w:rsidR="007A5114">
        <w:t>(eg</w:t>
      </w:r>
      <w:r>
        <w:t xml:space="preserve"> </w:t>
      </w:r>
      <w:r w:rsidR="00311547">
        <w:t xml:space="preserve">Building site, supermarket, aircraft) </w:t>
      </w:r>
      <w:r w:rsidR="00311547" w:rsidRPr="003624E0">
        <w:t>or otherwise carries out functions in connection with being a workplace participant’</w:t>
      </w:r>
      <w:r w:rsidR="00311547">
        <w:t xml:space="preserve"> (eg conferences, office parties, online environment)</w:t>
      </w:r>
      <w:r w:rsidR="00311547" w:rsidRPr="003624E0">
        <w:t>.</w:t>
      </w:r>
      <w:r w:rsidR="00311547" w:rsidRPr="003624E0">
        <w:rPr>
          <w:rStyle w:val="EndnoteReference"/>
        </w:rPr>
        <w:endnoteReference w:id="12"/>
      </w:r>
      <w:r w:rsidR="00311547">
        <w:t xml:space="preserve">  </w:t>
      </w:r>
    </w:p>
    <w:p w14:paraId="155C3F1F" w14:textId="77777777" w:rsidR="004855DC" w:rsidRDefault="008317C4" w:rsidP="004855DC">
      <w:r>
        <w:t>A small business</w:t>
      </w:r>
      <w:r w:rsidR="008A067D">
        <w:t>’</w:t>
      </w:r>
      <w:r>
        <w:t xml:space="preserve">s </w:t>
      </w:r>
      <w:r w:rsidR="004855DC" w:rsidRPr="006721D3">
        <w:t>responsibility for sexual harassment extends to conduct that occurs beyond the normal workplace and normal working hours.</w:t>
      </w:r>
      <w:r w:rsidR="004855DC" w:rsidRPr="003624E0">
        <w:t xml:space="preserve">  This is particularly important at high-risk events, such as work functions involving alcohol.  </w:t>
      </w:r>
    </w:p>
    <w:p w14:paraId="0EEE3599" w14:textId="77777777" w:rsidR="005C0134" w:rsidRPr="0003575F" w:rsidRDefault="00844855" w:rsidP="0003575F">
      <w:pPr>
        <w:pStyle w:val="Heading1"/>
      </w:pPr>
      <w:bookmarkStart w:id="30" w:name="_Toc397509099"/>
      <w:r w:rsidRPr="0003575F">
        <w:lastRenderedPageBreak/>
        <w:t>Types of legal action</w:t>
      </w:r>
      <w:bookmarkEnd w:id="30"/>
    </w:p>
    <w:p w14:paraId="638ADDEF" w14:textId="77777777" w:rsidR="007E220D" w:rsidRPr="003624E0" w:rsidRDefault="00B06E28" w:rsidP="00AE2C1C">
      <w:pPr>
        <w:pStyle w:val="Heading2"/>
        <w:numPr>
          <w:ilvl w:val="0"/>
          <w:numId w:val="0"/>
        </w:numPr>
        <w:ind w:left="851" w:hanging="851"/>
      </w:pPr>
      <w:bookmarkStart w:id="31" w:name="_Toc388023526"/>
      <w:bookmarkStart w:id="32" w:name="_Toc362446679"/>
      <w:bookmarkStart w:id="33" w:name="_Toc396738146"/>
      <w:bookmarkStart w:id="34" w:name="_Toc397499251"/>
      <w:bookmarkStart w:id="35" w:name="_Toc397509100"/>
      <w:r w:rsidRPr="003624E0">
        <w:t xml:space="preserve">3.1  </w:t>
      </w:r>
      <w:bookmarkEnd w:id="31"/>
      <w:bookmarkEnd w:id="32"/>
      <w:r w:rsidR="00844855">
        <w:t>U</w:t>
      </w:r>
      <w:r w:rsidR="00C7421E">
        <w:t>nder the Sex Discrimination Act</w:t>
      </w:r>
      <w:bookmarkEnd w:id="33"/>
      <w:bookmarkEnd w:id="34"/>
      <w:bookmarkEnd w:id="35"/>
    </w:p>
    <w:p w14:paraId="6171123B" w14:textId="77777777" w:rsidR="00C7421E" w:rsidRPr="003624E0" w:rsidRDefault="00C7421E" w:rsidP="00C7421E">
      <w:pPr>
        <w:pStyle w:val="SubmissionNormal"/>
        <w:numPr>
          <w:ilvl w:val="0"/>
          <w:numId w:val="0"/>
        </w:numPr>
      </w:pPr>
      <w:bookmarkStart w:id="36" w:name="_Toc362446680"/>
      <w:r w:rsidRPr="00A95DB8">
        <w:t xml:space="preserve">Sexual harassment in the workplace may give rise to various </w:t>
      </w:r>
      <w:r w:rsidR="00E3700D">
        <w:t>types of legal</w:t>
      </w:r>
      <w:r w:rsidRPr="00A95DB8">
        <w:t xml:space="preserve"> action under the </w:t>
      </w:r>
      <w:r w:rsidRPr="0003575F">
        <w:t>Sex Discrimination Act.</w:t>
      </w:r>
      <w:r w:rsidRPr="003624E0">
        <w:t xml:space="preserve"> </w:t>
      </w:r>
    </w:p>
    <w:p w14:paraId="49D55DAA" w14:textId="77777777" w:rsidR="00E3700D" w:rsidRDefault="00844855" w:rsidP="00776B88">
      <w:pPr>
        <w:pStyle w:val="Heading3"/>
        <w:numPr>
          <w:ilvl w:val="0"/>
          <w:numId w:val="0"/>
        </w:numPr>
        <w:rPr>
          <w:i w:val="0"/>
        </w:rPr>
      </w:pPr>
      <w:r w:rsidRPr="00776B88">
        <w:rPr>
          <w:i w:val="0"/>
        </w:rPr>
        <w:t xml:space="preserve">A person who alleges sexual harassment in the workplace can make a complaint to the </w:t>
      </w:r>
      <w:r w:rsidR="00E3700D">
        <w:rPr>
          <w:i w:val="0"/>
        </w:rPr>
        <w:t xml:space="preserve">Australian Human Rights </w:t>
      </w:r>
      <w:r w:rsidRPr="00776B88">
        <w:rPr>
          <w:i w:val="0"/>
        </w:rPr>
        <w:t xml:space="preserve">Commission who can inquire into and attempt to conciliate the complaint.  </w:t>
      </w:r>
    </w:p>
    <w:p w14:paraId="197722BE" w14:textId="77777777" w:rsidR="00844855" w:rsidRDefault="00844855" w:rsidP="00776B88">
      <w:pPr>
        <w:pStyle w:val="Heading3"/>
        <w:numPr>
          <w:ilvl w:val="0"/>
          <w:numId w:val="0"/>
        </w:numPr>
        <w:rPr>
          <w:i w:val="0"/>
        </w:rPr>
      </w:pPr>
      <w:r w:rsidRPr="00776B88">
        <w:rPr>
          <w:i w:val="0"/>
        </w:rPr>
        <w:t xml:space="preserve">If a resolution cannot be reached the Commission will ‘terminate’ the complaint and the matter can then be taken to the Federal Circuit Court of Australia or the Federal Court of Australia within 60 days of the complaint being ‘terminated’ by the Commission.  </w:t>
      </w:r>
      <w:r w:rsidR="00C7421E" w:rsidRPr="00776B88">
        <w:rPr>
          <w:i w:val="0"/>
        </w:rPr>
        <w:t xml:space="preserve"> </w:t>
      </w:r>
    </w:p>
    <w:p w14:paraId="0A7CA0A7" w14:textId="77777777" w:rsidR="004A0CA9" w:rsidRPr="004A0CA9" w:rsidRDefault="00975450" w:rsidP="004A0CA9">
      <w:r>
        <w:rPr>
          <w:rFonts w:eastAsia="Times New Roman"/>
        </w:rPr>
        <w:t>W</w:t>
      </w:r>
      <w:r w:rsidR="004A0CA9">
        <w:rPr>
          <w:rFonts w:eastAsia="Times New Roman"/>
        </w:rPr>
        <w:t xml:space="preserve">orkplace participants </w:t>
      </w:r>
      <w:r>
        <w:rPr>
          <w:rFonts w:eastAsia="Times New Roman"/>
        </w:rPr>
        <w:t>who are subjected to sexual harassment may not be</w:t>
      </w:r>
      <w:r w:rsidR="004A0CA9">
        <w:rPr>
          <w:rFonts w:eastAsia="Times New Roman"/>
        </w:rPr>
        <w:t xml:space="preserve"> aware </w:t>
      </w:r>
      <w:r>
        <w:rPr>
          <w:rFonts w:eastAsia="Times New Roman"/>
        </w:rPr>
        <w:t>of their legal rights or what avenues of redress (eg through internal or external complaint mechanisms) they can access.</w:t>
      </w:r>
    </w:p>
    <w:p w14:paraId="6A2BE109" w14:textId="77777777" w:rsidR="008A3FB9" w:rsidRPr="003624E0" w:rsidRDefault="008A3FB9" w:rsidP="0003575F">
      <w:pPr>
        <w:pStyle w:val="Heading3"/>
      </w:pPr>
      <w:bookmarkStart w:id="37" w:name="_Toc362446682"/>
      <w:bookmarkEnd w:id="36"/>
      <w:r w:rsidRPr="0003575F">
        <w:t>Victimi</w:t>
      </w:r>
      <w:r w:rsidR="00FE19E0" w:rsidRPr="0003575F">
        <w:t>s</w:t>
      </w:r>
      <w:r w:rsidRPr="0003575F">
        <w:t>ation</w:t>
      </w:r>
      <w:bookmarkEnd w:id="37"/>
    </w:p>
    <w:p w14:paraId="30650337" w14:textId="77777777" w:rsidR="00383401" w:rsidRPr="003624E0" w:rsidRDefault="00FD1485" w:rsidP="00C14FE4">
      <w:r w:rsidRPr="003624E0">
        <w:t>Victimi</w:t>
      </w:r>
      <w:r>
        <w:t>s</w:t>
      </w:r>
      <w:r w:rsidRPr="003624E0">
        <w:t>ation means subjecting, or threatening to subject, another person to a detriment if she</w:t>
      </w:r>
      <w:r>
        <w:t xml:space="preserve"> or </w:t>
      </w:r>
      <w:r w:rsidRPr="003624E0">
        <w:t>he has</w:t>
      </w:r>
      <w:r w:rsidR="006E0745">
        <w:t xml:space="preserve"> made</w:t>
      </w:r>
      <w:r>
        <w:t xml:space="preserve"> or proposes to make a complaint, attend </w:t>
      </w:r>
      <w:r w:rsidR="006E0745">
        <w:t xml:space="preserve">, has participated in a conciliation conference at the Commission or provided information to the Commission about a complaint or </w:t>
      </w:r>
      <w:r>
        <w:t xml:space="preserve">assert </w:t>
      </w:r>
      <w:r w:rsidRPr="003624E0">
        <w:t xml:space="preserve">rights under the Sex Discrimination Act </w:t>
      </w:r>
      <w:r>
        <w:t xml:space="preserve">or the </w:t>
      </w:r>
      <w:r w:rsidRPr="005C5D7C">
        <w:rPr>
          <w:i/>
        </w:rPr>
        <w:t>Australian Human Rights Commission Act</w:t>
      </w:r>
      <w:r>
        <w:rPr>
          <w:i/>
        </w:rPr>
        <w:t xml:space="preserve"> 1986 </w:t>
      </w:r>
      <w:r w:rsidRPr="005C5D7C">
        <w:t>(Cth)</w:t>
      </w:r>
      <w:r>
        <w:rPr>
          <w:i/>
        </w:rPr>
        <w:t xml:space="preserve">. </w:t>
      </w:r>
    </w:p>
    <w:tbl>
      <w:tblPr>
        <w:tblStyle w:val="TableGrid"/>
        <w:tblW w:w="0" w:type="auto"/>
        <w:tblLook w:val="04A0" w:firstRow="1" w:lastRow="0" w:firstColumn="1" w:lastColumn="0" w:noHBand="0" w:noVBand="1"/>
      </w:tblPr>
      <w:tblGrid>
        <w:gridCol w:w="9060"/>
      </w:tblGrid>
      <w:tr w:rsidR="00403DC6" w14:paraId="38077412" w14:textId="77777777" w:rsidTr="00403DC6">
        <w:tc>
          <w:tcPr>
            <w:tcW w:w="9286" w:type="dxa"/>
          </w:tcPr>
          <w:p w14:paraId="2E3932DE" w14:textId="77777777" w:rsidR="00403DC6" w:rsidRPr="003624E0" w:rsidRDefault="00403DC6" w:rsidP="00403DC6">
            <w:r w:rsidRPr="003624E0">
              <w:t>Examples of victimi</w:t>
            </w:r>
            <w:r>
              <w:t>s</w:t>
            </w:r>
            <w:r w:rsidRPr="003624E0">
              <w:t>ation may include:</w:t>
            </w:r>
          </w:p>
          <w:p w14:paraId="636138FA" w14:textId="77777777" w:rsidR="00403DC6" w:rsidRPr="003624E0" w:rsidRDefault="00403DC6" w:rsidP="008C5F9F">
            <w:pPr>
              <w:pStyle w:val="ListParagraph"/>
              <w:numPr>
                <w:ilvl w:val="0"/>
                <w:numId w:val="19"/>
              </w:numPr>
              <w:ind w:left="567" w:hanging="567"/>
              <w:contextualSpacing w:val="0"/>
            </w:pPr>
            <w:r w:rsidRPr="003624E0">
              <w:t xml:space="preserve">an employee being moved to a position with lesser responsibilities </w:t>
            </w:r>
            <w:r w:rsidR="006E0745">
              <w:t>because they have made a complaint of sexual harassment to</w:t>
            </w:r>
            <w:r w:rsidR="006A57CE">
              <w:t xml:space="preserve"> the Commission</w:t>
            </w:r>
            <w:r w:rsidR="006E0745">
              <w:t>.</w:t>
            </w:r>
          </w:p>
          <w:p w14:paraId="23D3AFDB" w14:textId="77777777" w:rsidR="00403DC6" w:rsidRDefault="00403DC6" w:rsidP="008C5F9F">
            <w:pPr>
              <w:pStyle w:val="ListParagraph"/>
              <w:numPr>
                <w:ilvl w:val="0"/>
                <w:numId w:val="19"/>
              </w:numPr>
              <w:ind w:left="567" w:hanging="567"/>
              <w:contextualSpacing w:val="0"/>
            </w:pPr>
            <w:r w:rsidRPr="003624E0">
              <w:t xml:space="preserve">an employee being denied the opportunity of a promotion after </w:t>
            </w:r>
            <w:r w:rsidR="00A122EA">
              <w:t>making</w:t>
            </w:r>
            <w:r w:rsidR="00A122EA" w:rsidRPr="003624E0">
              <w:t xml:space="preserve"> </w:t>
            </w:r>
            <w:r w:rsidRPr="003624E0">
              <w:t xml:space="preserve">a sexual harassment complaint against </w:t>
            </w:r>
            <w:r>
              <w:t xml:space="preserve">his or </w:t>
            </w:r>
            <w:r w:rsidRPr="003624E0">
              <w:t>her supervisors.</w:t>
            </w:r>
          </w:p>
          <w:p w14:paraId="0B0E20A8" w14:textId="77777777" w:rsidR="00403DC6" w:rsidRDefault="00403DC6" w:rsidP="008C5F9F">
            <w:pPr>
              <w:pStyle w:val="ListParagraph"/>
              <w:numPr>
                <w:ilvl w:val="0"/>
                <w:numId w:val="19"/>
              </w:numPr>
              <w:ind w:left="567" w:hanging="567"/>
              <w:contextualSpacing w:val="0"/>
            </w:pPr>
            <w:r>
              <w:t>an employee receiving a critical reference from his or her former employer because she or he made a complaint of sexual harassment</w:t>
            </w:r>
            <w:r w:rsidR="00A122EA">
              <w:t xml:space="preserve"> to the Commission</w:t>
            </w:r>
            <w:r>
              <w:t>.</w:t>
            </w:r>
          </w:p>
        </w:tc>
      </w:tr>
    </w:tbl>
    <w:p w14:paraId="10FCA25F" w14:textId="77777777" w:rsidR="00776B88" w:rsidRDefault="00776B88" w:rsidP="00776B88">
      <w:bookmarkStart w:id="38" w:name="_Toc362446683"/>
      <w:bookmarkStart w:id="39" w:name="_Toc388023527"/>
      <w:r w:rsidRPr="003624E0">
        <w:t>It is an offence under the Sex Discrimination Act to victimi</w:t>
      </w:r>
      <w:r>
        <w:t>s</w:t>
      </w:r>
      <w:r w:rsidRPr="003624E0">
        <w:t>e another person.</w:t>
      </w:r>
      <w:r w:rsidRPr="003624E0">
        <w:rPr>
          <w:rStyle w:val="EndnoteReference"/>
        </w:rPr>
        <w:endnoteReference w:id="13"/>
      </w:r>
      <w:r w:rsidRPr="003624E0">
        <w:t xml:space="preserve">  Victimi</w:t>
      </w:r>
      <w:r>
        <w:t>s</w:t>
      </w:r>
      <w:r w:rsidRPr="003624E0">
        <w:t>ation is punishable</w:t>
      </w:r>
      <w:r>
        <w:t xml:space="preserve"> by a fine and/or imprisonment.</w:t>
      </w:r>
    </w:p>
    <w:p w14:paraId="46EDC318" w14:textId="77777777" w:rsidR="00A5649B" w:rsidRPr="00844855" w:rsidRDefault="00A5649B" w:rsidP="0003575F">
      <w:pPr>
        <w:pStyle w:val="Heading3"/>
      </w:pPr>
      <w:bookmarkStart w:id="40" w:name="_Toc396737992"/>
      <w:bookmarkStart w:id="41" w:name="_Toc396738144"/>
      <w:r w:rsidRPr="00844855">
        <w:lastRenderedPageBreak/>
        <w:t>Sex discrimination</w:t>
      </w:r>
      <w:bookmarkEnd w:id="40"/>
      <w:bookmarkEnd w:id="41"/>
      <w:r w:rsidRPr="00844855">
        <w:t xml:space="preserve"> </w:t>
      </w:r>
    </w:p>
    <w:p w14:paraId="2A624C7B" w14:textId="77777777" w:rsidR="00A5649B" w:rsidRDefault="00A5649B" w:rsidP="0003575F">
      <w:pPr>
        <w:pStyle w:val="SubmissionNormal"/>
        <w:numPr>
          <w:ilvl w:val="0"/>
          <w:numId w:val="0"/>
        </w:numPr>
      </w:pPr>
      <w:r w:rsidRPr="003624E0">
        <w:t xml:space="preserve">Conduct that </w:t>
      </w:r>
      <w:r>
        <w:t xml:space="preserve">may not be of a sexual nature, and </w:t>
      </w:r>
      <w:r w:rsidRPr="003624E0">
        <w:t>fa</w:t>
      </w:r>
      <w:r>
        <w:t>lls short of sexual harassment, can still</w:t>
      </w:r>
      <w:r w:rsidRPr="003624E0">
        <w:t xml:space="preserve"> constitute sex discrimination</w:t>
      </w:r>
      <w:r w:rsidR="00E3700D">
        <w:t xml:space="preserve"> under the Act </w:t>
      </w:r>
      <w:r w:rsidRPr="003624E0">
        <w:t xml:space="preserve">if </w:t>
      </w:r>
      <w:r>
        <w:t xml:space="preserve">the conduct treats the person less favourably due to their </w:t>
      </w:r>
      <w:r w:rsidRPr="003624E0">
        <w:t>sex.</w:t>
      </w:r>
      <w:r>
        <w:rPr>
          <w:rStyle w:val="EndnoteReference"/>
        </w:rPr>
        <w:endnoteReference w:id="14"/>
      </w:r>
      <w:r>
        <w:t xml:space="preserve"> </w:t>
      </w:r>
    </w:p>
    <w:p w14:paraId="181CDF95" w14:textId="77777777" w:rsidR="00A3178E" w:rsidRPr="003624E0" w:rsidRDefault="00A3178E">
      <w:pPr>
        <w:pStyle w:val="Heading2"/>
        <w:numPr>
          <w:ilvl w:val="0"/>
          <w:numId w:val="0"/>
        </w:numPr>
      </w:pPr>
      <w:bookmarkStart w:id="42" w:name="_Toc396738147"/>
      <w:bookmarkStart w:id="43" w:name="_Toc397499252"/>
      <w:bookmarkStart w:id="44" w:name="_Toc397509101"/>
      <w:r w:rsidRPr="003624E0">
        <w:t xml:space="preserve">3.2  </w:t>
      </w:r>
      <w:r w:rsidR="005023B3">
        <w:t>Small businesses’</w:t>
      </w:r>
      <w:r w:rsidRPr="003624E0">
        <w:t xml:space="preserve"> legal liability</w:t>
      </w:r>
      <w:bookmarkEnd w:id="38"/>
      <w:bookmarkEnd w:id="39"/>
      <w:r w:rsidR="00C7421E">
        <w:t xml:space="preserve"> under the Sex Discrimination Act</w:t>
      </w:r>
      <w:bookmarkEnd w:id="42"/>
      <w:bookmarkEnd w:id="43"/>
      <w:bookmarkEnd w:id="44"/>
    </w:p>
    <w:p w14:paraId="26BA02E4" w14:textId="77777777" w:rsidR="00FE4068" w:rsidRDefault="00B310A6" w:rsidP="00FE4068">
      <w:r w:rsidRPr="003624E0">
        <w:t xml:space="preserve">There are a number of different ways that </w:t>
      </w:r>
      <w:r w:rsidR="005023B3">
        <w:t>small businesses</w:t>
      </w:r>
      <w:r w:rsidR="00A3178E" w:rsidRPr="003624E0">
        <w:t xml:space="preserve"> </w:t>
      </w:r>
      <w:r w:rsidR="00707351" w:rsidRPr="003624E0">
        <w:t xml:space="preserve">may </w:t>
      </w:r>
      <w:r w:rsidR="00A3178E" w:rsidRPr="003624E0">
        <w:t xml:space="preserve">be held liable </w:t>
      </w:r>
      <w:r w:rsidRPr="003624E0">
        <w:t xml:space="preserve">under </w:t>
      </w:r>
      <w:r w:rsidR="0090497F">
        <w:t xml:space="preserve">the </w:t>
      </w:r>
      <w:r w:rsidRPr="003624E0">
        <w:t xml:space="preserve">Sex Discrimination Act </w:t>
      </w:r>
      <w:r w:rsidR="00A3178E" w:rsidRPr="003624E0">
        <w:t xml:space="preserve">for </w:t>
      </w:r>
      <w:r w:rsidRPr="003624E0">
        <w:t xml:space="preserve">workplace </w:t>
      </w:r>
      <w:r w:rsidR="00A3178E" w:rsidRPr="003624E0">
        <w:t>sexual harassment</w:t>
      </w:r>
      <w:bookmarkStart w:id="45" w:name="_Toc362446684"/>
      <w:r w:rsidR="00FE4068">
        <w:t>.</w:t>
      </w:r>
    </w:p>
    <w:p w14:paraId="490D9B4D" w14:textId="77777777" w:rsidR="00A3178E" w:rsidRPr="00FE4068" w:rsidRDefault="00A3178E" w:rsidP="00FE4068">
      <w:pPr>
        <w:rPr>
          <w:i/>
        </w:rPr>
      </w:pPr>
      <w:r w:rsidRPr="00FE4068">
        <w:rPr>
          <w:i/>
        </w:rPr>
        <w:t>(a) Personal liability</w:t>
      </w:r>
      <w:bookmarkEnd w:id="45"/>
    </w:p>
    <w:p w14:paraId="2A0BB4D6" w14:textId="77777777" w:rsidR="00A3178E" w:rsidRPr="003624E0" w:rsidRDefault="00FE4068" w:rsidP="00A3178E">
      <w:r>
        <w:t>Employers</w:t>
      </w:r>
      <w:r w:rsidR="008317C4">
        <w:t xml:space="preserve"> (including small </w:t>
      </w:r>
      <w:r w:rsidR="00792B32">
        <w:t>business people</w:t>
      </w:r>
      <w:r w:rsidR="008317C4">
        <w:t>)</w:t>
      </w:r>
      <w:r w:rsidR="00692EF8">
        <w:t>,</w:t>
      </w:r>
      <w:r w:rsidR="0080362A" w:rsidRPr="003624E0">
        <w:t xml:space="preserve"> </w:t>
      </w:r>
      <w:r w:rsidR="002B16B4">
        <w:t>individual managers and employees</w:t>
      </w:r>
      <w:r w:rsidR="002B16B4" w:rsidRPr="003624E0">
        <w:t xml:space="preserve"> </w:t>
      </w:r>
      <w:r w:rsidR="00A3178E" w:rsidRPr="003624E0">
        <w:t xml:space="preserve">are liable for their </w:t>
      </w:r>
      <w:r>
        <w:t>own acts of sexual harassment.</w:t>
      </w:r>
      <w:r w:rsidR="00A3178E" w:rsidRPr="003624E0">
        <w:rPr>
          <w:rStyle w:val="EndnoteReference"/>
        </w:rPr>
        <w:endnoteReference w:id="15"/>
      </w:r>
      <w:r w:rsidR="00A3178E" w:rsidRPr="003624E0">
        <w:t xml:space="preserve">   </w:t>
      </w:r>
    </w:p>
    <w:p w14:paraId="1E2543BF" w14:textId="77777777" w:rsidR="00A3178E" w:rsidRPr="003624E0" w:rsidRDefault="00A3178E" w:rsidP="00A3178E">
      <w:pPr>
        <w:pStyle w:val="Heading3"/>
        <w:numPr>
          <w:ilvl w:val="0"/>
          <w:numId w:val="0"/>
        </w:numPr>
        <w:ind w:left="851" w:hanging="851"/>
      </w:pPr>
      <w:bookmarkStart w:id="46" w:name="_Toc362446685"/>
      <w:r w:rsidRPr="003624E0">
        <w:t>(b) Accessory</w:t>
      </w:r>
      <w:r w:rsidR="00FE4068">
        <w:t xml:space="preserve"> or ancillary</w:t>
      </w:r>
      <w:r w:rsidRPr="003624E0">
        <w:t xml:space="preserve"> liability</w:t>
      </w:r>
      <w:bookmarkEnd w:id="46"/>
    </w:p>
    <w:p w14:paraId="16A4AD3D" w14:textId="77777777" w:rsidR="00A3178E" w:rsidRPr="003624E0" w:rsidRDefault="003C1824" w:rsidP="00A3178E">
      <w:r>
        <w:t xml:space="preserve">This means that small </w:t>
      </w:r>
      <w:r w:rsidR="005023B3">
        <w:t>businesses</w:t>
      </w:r>
      <w:r w:rsidR="00A3178E" w:rsidRPr="003624E0">
        <w:t xml:space="preserve"> are liable under the Sex Discrimination Act if they cause, instruct, induce, aid or permit another person to engage in sexual harassment.  </w:t>
      </w:r>
    </w:p>
    <w:p w14:paraId="4696AF23" w14:textId="77777777" w:rsidR="00A3178E" w:rsidRPr="003624E0" w:rsidRDefault="005023B3" w:rsidP="00A3178E">
      <w:r>
        <w:t xml:space="preserve">A small business </w:t>
      </w:r>
      <w:r w:rsidR="003C1824">
        <w:t>could</w:t>
      </w:r>
      <w:r w:rsidR="001F143D">
        <w:t xml:space="preserve"> </w:t>
      </w:r>
      <w:r w:rsidR="00247F93">
        <w:t>have</w:t>
      </w:r>
      <w:r w:rsidR="008C24A0">
        <w:t xml:space="preserve"> </w:t>
      </w:r>
      <w:r w:rsidR="00A3178E" w:rsidRPr="003624E0">
        <w:t xml:space="preserve">accessory </w:t>
      </w:r>
      <w:r w:rsidR="00247F93">
        <w:t>or ancillary liability for</w:t>
      </w:r>
      <w:r w:rsidR="00A3178E" w:rsidRPr="003624E0">
        <w:t xml:space="preserve"> sexual harassment if it was aware or should have been aware that sexual harassment was occurring or there was a real possibility that sexual harassment was occurring and it failed to act.</w:t>
      </w:r>
      <w:r w:rsidR="00A3178E" w:rsidRPr="003624E0">
        <w:rPr>
          <w:rStyle w:val="EndnoteReference"/>
        </w:rPr>
        <w:endnoteReference w:id="16"/>
      </w:r>
      <w:r w:rsidR="00FE4068">
        <w:t xml:space="preserve"> </w:t>
      </w:r>
    </w:p>
    <w:p w14:paraId="1DC9B17A" w14:textId="77777777" w:rsidR="00A3178E" w:rsidRPr="003624E0" w:rsidRDefault="005023B3" w:rsidP="00A3178E">
      <w:pPr>
        <w:pStyle w:val="Heading3"/>
        <w:numPr>
          <w:ilvl w:val="0"/>
          <w:numId w:val="0"/>
        </w:numPr>
        <w:ind w:left="851" w:hanging="851"/>
      </w:pPr>
      <w:bookmarkStart w:id="47" w:name="_Toc362446686"/>
      <w:r w:rsidRPr="003624E0">
        <w:t xml:space="preserve"> </w:t>
      </w:r>
      <w:r w:rsidR="00A3178E" w:rsidRPr="003624E0">
        <w:t>(c) Vicarious liability</w:t>
      </w:r>
      <w:bookmarkEnd w:id="47"/>
    </w:p>
    <w:p w14:paraId="5DAA4E0A" w14:textId="77777777" w:rsidR="00A3178E" w:rsidRPr="00A73F77" w:rsidRDefault="005023B3" w:rsidP="00A3178E">
      <w:r>
        <w:t>Small businesses</w:t>
      </w:r>
      <w:r w:rsidR="00A3178E" w:rsidRPr="003624E0">
        <w:t xml:space="preserve"> can be held liable under the Sex Discrimination Act for sexual harassment by their employees in connection with their employment and by their agents in </w:t>
      </w:r>
      <w:r w:rsidR="00A3178E" w:rsidRPr="00A73F77">
        <w:t xml:space="preserve">connection with their duties as agents. </w:t>
      </w:r>
      <w:r w:rsidR="0025474D" w:rsidRPr="00A73F77">
        <w:t xml:space="preserve">In practice the </w:t>
      </w:r>
      <w:r w:rsidR="0025474D" w:rsidRPr="00637941">
        <w:rPr>
          <w:rFonts w:eastAsia="Times New Roman" w:cs="Arial"/>
        </w:rPr>
        <w:t xml:space="preserve">expression ‘in connection </w:t>
      </w:r>
      <w:r w:rsidR="00246DCB">
        <w:rPr>
          <w:rFonts w:eastAsia="Times New Roman" w:cs="Arial"/>
        </w:rPr>
        <w:t>with’</w:t>
      </w:r>
      <w:r w:rsidR="0025474D" w:rsidRPr="00637941">
        <w:rPr>
          <w:rFonts w:eastAsia="Times New Roman" w:cs="Arial"/>
        </w:rPr>
        <w:t xml:space="preserve"> in this context under the Act has had a broad practical application in the courts, being wider than wider than the famili</w:t>
      </w:r>
      <w:r w:rsidR="00246DCB">
        <w:rPr>
          <w:rFonts w:eastAsia="Times New Roman" w:cs="Arial"/>
        </w:rPr>
        <w:t>ar expression ‘in the course of’</w:t>
      </w:r>
      <w:r w:rsidR="0025474D" w:rsidRPr="00A73F77">
        <w:t>.</w:t>
      </w:r>
      <w:r w:rsidR="0025474D" w:rsidRPr="00A73F77">
        <w:rPr>
          <w:rStyle w:val="EndnoteReference"/>
          <w:sz w:val="24"/>
        </w:rPr>
        <w:endnoteReference w:id="17"/>
      </w:r>
      <w:r w:rsidR="0025474D" w:rsidRPr="00A73F77">
        <w:t xml:space="preserve"> </w:t>
      </w:r>
      <w:r w:rsidR="00A3178E" w:rsidRPr="00A73F77">
        <w:t xml:space="preserve"> </w:t>
      </w:r>
    </w:p>
    <w:p w14:paraId="6980C2BA" w14:textId="77777777" w:rsidR="00246DCB" w:rsidRDefault="00776B88" w:rsidP="0003575F">
      <w:r>
        <w:t>S</w:t>
      </w:r>
      <w:r w:rsidR="008317C4">
        <w:t>mall businesses</w:t>
      </w:r>
      <w:r w:rsidR="008317C4" w:rsidRPr="003624E0">
        <w:t xml:space="preserve"> </w:t>
      </w:r>
      <w:r w:rsidR="00A3178E" w:rsidRPr="003624E0">
        <w:t>will be found vicariously liable for sexual harassment by one of their employees or agents if they failed to take ‘all reasonable steps’ to prevent the sexual harassment from occurring.</w:t>
      </w:r>
      <w:r w:rsidR="00A3178E" w:rsidRPr="003624E0">
        <w:rPr>
          <w:rStyle w:val="EndnoteReference"/>
        </w:rPr>
        <w:endnoteReference w:id="18"/>
      </w:r>
      <w:r w:rsidR="00A3178E" w:rsidRPr="003624E0">
        <w:t xml:space="preserve"> </w:t>
      </w:r>
    </w:p>
    <w:p w14:paraId="0BBB4565" w14:textId="77777777" w:rsidR="00A3178E" w:rsidRPr="003624E0" w:rsidRDefault="00A73F77" w:rsidP="0003575F">
      <w:r>
        <w:t xml:space="preserve">What constitutes ‘all reasonable steps’ </w:t>
      </w:r>
      <w:r w:rsidR="008A1665">
        <w:t>can</w:t>
      </w:r>
      <w:r>
        <w:t xml:space="preserve"> change with the size of the business</w:t>
      </w:r>
      <w:r w:rsidR="008A1665">
        <w:t xml:space="preserve"> – </w:t>
      </w:r>
      <w:r w:rsidR="00246DCB">
        <w:t xml:space="preserve">the courts have recognised that </w:t>
      </w:r>
      <w:r w:rsidR="008A1665" w:rsidRPr="008A1665">
        <w:rPr>
          <w:rStyle w:val="Emphasis"/>
          <w:i w:val="0"/>
        </w:rPr>
        <w:t xml:space="preserve">large </w:t>
      </w:r>
      <w:r w:rsidR="008A1665">
        <w:rPr>
          <w:rStyle w:val="Emphasis"/>
          <w:i w:val="0"/>
        </w:rPr>
        <w:t>organisations</w:t>
      </w:r>
      <w:r w:rsidR="008A1665" w:rsidRPr="008A1665">
        <w:rPr>
          <w:rStyle w:val="Emphasis"/>
          <w:i w:val="0"/>
        </w:rPr>
        <w:t xml:space="preserve"> will be expected to do more than small businesses in order to be held to have acted reasonably</w:t>
      </w:r>
      <w:r w:rsidRPr="0003575F">
        <w:t>.</w:t>
      </w:r>
      <w:r w:rsidR="008A1665" w:rsidRPr="0003575F">
        <w:rPr>
          <w:rStyle w:val="EndnoteReference"/>
        </w:rPr>
        <w:endnoteReference w:id="19"/>
      </w:r>
      <w:r w:rsidRPr="0003575F">
        <w:t xml:space="preserve"> T</w:t>
      </w:r>
      <w:r>
        <w:t xml:space="preserve">he courts have found that a very small business </w:t>
      </w:r>
      <w:r w:rsidR="008A1665">
        <w:t xml:space="preserve">needs </w:t>
      </w:r>
      <w:r>
        <w:t>to have a</w:t>
      </w:r>
      <w:r w:rsidR="008A1665">
        <w:t>t least a simple</w:t>
      </w:r>
      <w:r>
        <w:t xml:space="preserve"> written policy</w:t>
      </w:r>
      <w:r w:rsidR="008A1665">
        <w:t xml:space="preserve"> </w:t>
      </w:r>
      <w:r w:rsidR="008A1665">
        <w:rPr>
          <w:lang w:val="en"/>
        </w:rPr>
        <w:t>on sexual harassment to demonstrate that all reasonable steps were taken to prevent harassment occurring</w:t>
      </w:r>
      <w:r>
        <w:t>.</w:t>
      </w:r>
      <w:r>
        <w:rPr>
          <w:rStyle w:val="EndnoteReference"/>
        </w:rPr>
        <w:endnoteReference w:id="20"/>
      </w:r>
      <w:r w:rsidR="00A3178E" w:rsidRPr="003624E0">
        <w:t xml:space="preserve"> </w:t>
      </w:r>
    </w:p>
    <w:p w14:paraId="2A61F5C8" w14:textId="77777777" w:rsidR="00B415A3" w:rsidRPr="00B611D7" w:rsidRDefault="00B415A3" w:rsidP="008C5F9F">
      <w:pPr>
        <w:pStyle w:val="Heading2"/>
        <w:numPr>
          <w:ilvl w:val="1"/>
          <w:numId w:val="33"/>
        </w:numPr>
      </w:pPr>
      <w:bookmarkStart w:id="48" w:name="_Toc397499253"/>
      <w:bookmarkStart w:id="49" w:name="_Toc397509102"/>
      <w:bookmarkStart w:id="50" w:name="_Toc362446688"/>
      <w:bookmarkStart w:id="51" w:name="_Toc388023528"/>
      <w:bookmarkStart w:id="52" w:name="_Toc396738148"/>
      <w:r w:rsidRPr="00B611D7">
        <w:lastRenderedPageBreak/>
        <w:t xml:space="preserve">Other </w:t>
      </w:r>
      <w:r w:rsidR="00A36DB0">
        <w:t>types</w:t>
      </w:r>
      <w:r w:rsidR="00A36DB0" w:rsidRPr="00B611D7">
        <w:t xml:space="preserve"> </w:t>
      </w:r>
      <w:r w:rsidR="009D7199" w:rsidRPr="00B611D7">
        <w:t xml:space="preserve">of </w:t>
      </w:r>
      <w:r w:rsidR="00246DCB">
        <w:t xml:space="preserve">legal </w:t>
      </w:r>
      <w:r w:rsidR="009D7199" w:rsidRPr="00B611D7">
        <w:t>action</w:t>
      </w:r>
      <w:r w:rsidR="00AB5578">
        <w:t>s</w:t>
      </w:r>
      <w:bookmarkEnd w:id="48"/>
      <w:bookmarkEnd w:id="49"/>
      <w:r w:rsidR="00C41B7D" w:rsidRPr="00B611D7">
        <w:t xml:space="preserve"> </w:t>
      </w:r>
      <w:bookmarkEnd w:id="50"/>
      <w:bookmarkEnd w:id="51"/>
      <w:bookmarkEnd w:id="52"/>
    </w:p>
    <w:p w14:paraId="0B1EB514" w14:textId="77777777" w:rsidR="00A36DB0" w:rsidRDefault="00A36DB0" w:rsidP="0003575F">
      <w:pPr>
        <w:pStyle w:val="SubmissionNormal"/>
        <w:numPr>
          <w:ilvl w:val="0"/>
          <w:numId w:val="0"/>
        </w:numPr>
      </w:pPr>
      <w:r>
        <w:t>Small businesses</w:t>
      </w:r>
      <w:r w:rsidRPr="003624E0">
        <w:t xml:space="preserve"> should be aware that they may be held liable for workplace sexual harassment under other federal laws as well as state and territory laws related to sexual harassment</w:t>
      </w:r>
      <w:r>
        <w:t>.</w:t>
      </w:r>
      <w:r w:rsidRPr="003624E0">
        <w:t xml:space="preserve"> </w:t>
      </w:r>
    </w:p>
    <w:p w14:paraId="34157551" w14:textId="77777777" w:rsidR="00C7421E" w:rsidRPr="003624E0" w:rsidRDefault="00C7421E" w:rsidP="009E3615">
      <w:pPr>
        <w:pStyle w:val="Heading3"/>
      </w:pPr>
      <w:r>
        <w:t>C</w:t>
      </w:r>
      <w:r w:rsidRPr="003624E0">
        <w:t>riminal offences related to sexual harassment</w:t>
      </w:r>
    </w:p>
    <w:p w14:paraId="36426EFB" w14:textId="77777777" w:rsidR="00C10CB7" w:rsidRPr="00C10CB7" w:rsidRDefault="00C10CB7" w:rsidP="008F5349">
      <w:pPr>
        <w:pStyle w:val="SubmissionNormal"/>
        <w:numPr>
          <w:ilvl w:val="0"/>
          <w:numId w:val="0"/>
        </w:numPr>
      </w:pPr>
      <w:r>
        <w:t>S</w:t>
      </w:r>
      <w:r w:rsidRPr="003624E0">
        <w:t>ome types of sexual harassment may also be offences under criminal law.  Relevant criminal offences include: physical assault; indecent exposure</w:t>
      </w:r>
      <w:r>
        <w:t xml:space="preserve"> and</w:t>
      </w:r>
      <w:r w:rsidRPr="003624E0">
        <w:t xml:space="preserve"> sexual assault</w:t>
      </w:r>
      <w:r>
        <w:t>.</w:t>
      </w:r>
      <w:r w:rsidRPr="003624E0">
        <w:t xml:space="preserve"> </w:t>
      </w:r>
      <w:r w:rsidR="008317C4">
        <w:t>Small businesses</w:t>
      </w:r>
      <w:r w:rsidR="008317C4" w:rsidRPr="003624E0">
        <w:t xml:space="preserve"> </w:t>
      </w:r>
      <w:r w:rsidRPr="003624E0">
        <w:t xml:space="preserve">should be aware that </w:t>
      </w:r>
      <w:r w:rsidRPr="003624E0">
        <w:rPr>
          <w:szCs w:val="22"/>
        </w:rPr>
        <w:t xml:space="preserve">a single incident of sexual harassment in the workplace may give rise to both civil and criminal proceedings.  </w:t>
      </w:r>
    </w:p>
    <w:p w14:paraId="2DA862C2" w14:textId="77777777" w:rsidR="00BB6974" w:rsidRPr="003624E0" w:rsidRDefault="00BB6974" w:rsidP="00BB6974">
      <w:pPr>
        <w:pStyle w:val="SubmissionNormal"/>
        <w:numPr>
          <w:ilvl w:val="0"/>
          <w:numId w:val="0"/>
        </w:numPr>
      </w:pPr>
      <w:r w:rsidRPr="003624E0">
        <w:t xml:space="preserve">If </w:t>
      </w:r>
      <w:r w:rsidR="008317C4">
        <w:t>small businesses</w:t>
      </w:r>
      <w:r w:rsidR="008317C4" w:rsidRPr="003624E0">
        <w:t xml:space="preserve"> </w:t>
      </w:r>
      <w:r w:rsidRPr="003624E0">
        <w:t>suspect that a criminal offence has occurred, they should:</w:t>
      </w:r>
    </w:p>
    <w:p w14:paraId="2FE18292" w14:textId="77777777" w:rsidR="00BB6974" w:rsidRPr="003624E0" w:rsidRDefault="00BB6974" w:rsidP="008C5F9F">
      <w:pPr>
        <w:pStyle w:val="SubmissionNormal"/>
        <w:numPr>
          <w:ilvl w:val="0"/>
          <w:numId w:val="34"/>
        </w:numPr>
      </w:pPr>
      <w:r w:rsidRPr="003624E0">
        <w:t>advise the target to report the incident to the police as soon as possible</w:t>
      </w:r>
    </w:p>
    <w:p w14:paraId="795AE990" w14:textId="77777777" w:rsidR="00BB6974" w:rsidRPr="003624E0" w:rsidRDefault="00BB6974" w:rsidP="008C5F9F">
      <w:pPr>
        <w:pStyle w:val="SubmissionNormal"/>
        <w:numPr>
          <w:ilvl w:val="0"/>
          <w:numId w:val="34"/>
        </w:numPr>
      </w:pPr>
      <w:r w:rsidRPr="003624E0">
        <w:t>provide the target with the necessary support and assistance</w:t>
      </w:r>
    </w:p>
    <w:p w14:paraId="2FBF20F1" w14:textId="77777777" w:rsidR="00C1563D" w:rsidRPr="003624E0" w:rsidRDefault="00AF4C75" w:rsidP="006456AE">
      <w:pPr>
        <w:pStyle w:val="Heading3"/>
      </w:pPr>
      <w:bookmarkStart w:id="53" w:name="_Toc362446690"/>
      <w:bookmarkStart w:id="54" w:name="_Toc388023530"/>
      <w:r>
        <w:t>General protections claim based on exercise of a workplace right</w:t>
      </w:r>
      <w:bookmarkEnd w:id="53"/>
      <w:bookmarkEnd w:id="54"/>
    </w:p>
    <w:p w14:paraId="525F791E" w14:textId="77777777" w:rsidR="00ED425A" w:rsidRDefault="001018BC" w:rsidP="00292127">
      <w:pPr>
        <w:rPr>
          <w:rFonts w:cs="Arial"/>
        </w:rPr>
      </w:pPr>
      <w:r>
        <w:rPr>
          <w:rFonts w:cs="Arial"/>
        </w:rPr>
        <w:t xml:space="preserve">Under the </w:t>
      </w:r>
      <w:r w:rsidR="008F5349" w:rsidRPr="00E86E71">
        <w:rPr>
          <w:rFonts w:cs="Arial"/>
          <w:i/>
        </w:rPr>
        <w:t>Fair Work Act 2009</w:t>
      </w:r>
      <w:r w:rsidR="008F5349">
        <w:rPr>
          <w:rFonts w:cs="Arial"/>
        </w:rPr>
        <w:t xml:space="preserve"> (Cth) </w:t>
      </w:r>
      <w:r>
        <w:rPr>
          <w:rFonts w:cs="Arial"/>
        </w:rPr>
        <w:t xml:space="preserve">a person must not take ‘adverse action’ </w:t>
      </w:r>
      <w:r w:rsidR="008F5349">
        <w:rPr>
          <w:rFonts w:cs="Arial"/>
        </w:rPr>
        <w:t xml:space="preserve">(similar to victimisation) </w:t>
      </w:r>
      <w:r>
        <w:rPr>
          <w:rFonts w:cs="Arial"/>
        </w:rPr>
        <w:t>against another person</w:t>
      </w:r>
      <w:r w:rsidR="000678D7">
        <w:rPr>
          <w:rFonts w:cs="Arial"/>
        </w:rPr>
        <w:t xml:space="preserve"> </w:t>
      </w:r>
      <w:r w:rsidR="00AB0910">
        <w:rPr>
          <w:rFonts w:cs="Arial"/>
        </w:rPr>
        <w:t xml:space="preserve">to prevent that other person from exercising a ‘workplace right’, or </w:t>
      </w:r>
      <w:r w:rsidR="000678D7">
        <w:rPr>
          <w:rFonts w:cs="Arial"/>
        </w:rPr>
        <w:t xml:space="preserve">because </w:t>
      </w:r>
      <w:r w:rsidR="00AB0910">
        <w:rPr>
          <w:rFonts w:cs="Arial"/>
        </w:rPr>
        <w:t xml:space="preserve">that </w:t>
      </w:r>
      <w:r w:rsidR="000678D7">
        <w:rPr>
          <w:rFonts w:cs="Arial"/>
        </w:rPr>
        <w:t>other person</w:t>
      </w:r>
      <w:r w:rsidR="00ED425A">
        <w:rPr>
          <w:rFonts w:cs="Arial"/>
        </w:rPr>
        <w:t>:</w:t>
      </w:r>
      <w:r w:rsidR="000678D7">
        <w:rPr>
          <w:rFonts w:cs="Arial"/>
        </w:rPr>
        <w:t xml:space="preserve"> </w:t>
      </w:r>
    </w:p>
    <w:p w14:paraId="33B65D40" w14:textId="77777777" w:rsidR="00ED425A" w:rsidRPr="00BB5633" w:rsidRDefault="000678D7" w:rsidP="008C5F9F">
      <w:pPr>
        <w:pStyle w:val="ListParagraph"/>
        <w:numPr>
          <w:ilvl w:val="0"/>
          <w:numId w:val="31"/>
        </w:numPr>
        <w:rPr>
          <w:rFonts w:cs="Arial"/>
        </w:rPr>
      </w:pPr>
      <w:r w:rsidRPr="00C75E0F">
        <w:rPr>
          <w:rFonts w:cs="Arial"/>
        </w:rPr>
        <w:t>has a ‘workplace right’</w:t>
      </w:r>
      <w:r w:rsidR="00ED425A" w:rsidRPr="00C75E0F">
        <w:rPr>
          <w:rFonts w:cs="Arial"/>
        </w:rPr>
        <w:t>;</w:t>
      </w:r>
      <w:r w:rsidRPr="00BB5633">
        <w:rPr>
          <w:rFonts w:cs="Arial"/>
        </w:rPr>
        <w:t xml:space="preserve"> </w:t>
      </w:r>
    </w:p>
    <w:p w14:paraId="7624228F" w14:textId="77777777" w:rsidR="00ED425A" w:rsidRPr="00BB5633" w:rsidRDefault="000678D7" w:rsidP="008C5F9F">
      <w:pPr>
        <w:pStyle w:val="ListParagraph"/>
        <w:numPr>
          <w:ilvl w:val="0"/>
          <w:numId w:val="31"/>
        </w:numPr>
        <w:rPr>
          <w:rFonts w:cs="Arial"/>
        </w:rPr>
      </w:pPr>
      <w:r w:rsidRPr="00BB5633">
        <w:rPr>
          <w:rFonts w:cs="Arial"/>
        </w:rPr>
        <w:t>has or has not exercised a workplace right</w:t>
      </w:r>
      <w:r w:rsidR="00ED425A" w:rsidRPr="00BB5633">
        <w:rPr>
          <w:rFonts w:cs="Arial"/>
        </w:rPr>
        <w:t>;</w:t>
      </w:r>
      <w:r w:rsidRPr="00BB5633">
        <w:rPr>
          <w:rFonts w:cs="Arial"/>
        </w:rPr>
        <w:t xml:space="preserve"> or </w:t>
      </w:r>
    </w:p>
    <w:p w14:paraId="634EBEA2" w14:textId="77777777" w:rsidR="00331575" w:rsidRPr="00C75E0F" w:rsidRDefault="000678D7" w:rsidP="008C5F9F">
      <w:pPr>
        <w:pStyle w:val="ListParagraph"/>
        <w:numPr>
          <w:ilvl w:val="0"/>
          <w:numId w:val="31"/>
        </w:numPr>
        <w:rPr>
          <w:rFonts w:cs="Arial"/>
        </w:rPr>
      </w:pPr>
      <w:r w:rsidRPr="00BB5633">
        <w:rPr>
          <w:rFonts w:cs="Arial"/>
        </w:rPr>
        <w:t>proposes or proposes not to exercise a workplace right</w:t>
      </w:r>
      <w:r w:rsidR="00AB0910" w:rsidRPr="00BB5633">
        <w:rPr>
          <w:rFonts w:cs="Arial"/>
        </w:rPr>
        <w:t>.</w:t>
      </w:r>
      <w:r w:rsidR="00E861DB">
        <w:rPr>
          <w:rStyle w:val="EndnoteReference"/>
          <w:rFonts w:cs="Arial"/>
        </w:rPr>
        <w:endnoteReference w:id="21"/>
      </w:r>
    </w:p>
    <w:p w14:paraId="5EF44243" w14:textId="77777777" w:rsidR="00CF07F4" w:rsidRDefault="00E861DB" w:rsidP="00292127">
      <w:pPr>
        <w:rPr>
          <w:rFonts w:cs="Arial"/>
        </w:rPr>
      </w:pPr>
      <w:r>
        <w:rPr>
          <w:rFonts w:cs="Arial"/>
        </w:rPr>
        <w:t xml:space="preserve">‘Workplace right’ is broadly defined and would appear to encompass making a complaint of sexual harassment under </w:t>
      </w:r>
      <w:r w:rsidRPr="003B2B48">
        <w:rPr>
          <w:rFonts w:cs="Arial"/>
        </w:rPr>
        <w:t xml:space="preserve">the </w:t>
      </w:r>
      <w:r w:rsidR="00B77866" w:rsidRPr="00A95DB8">
        <w:rPr>
          <w:rFonts w:cs="Arial"/>
        </w:rPr>
        <w:t>Sex Discrimination</w:t>
      </w:r>
      <w:r w:rsidR="005A5C0F" w:rsidRPr="003B2B48">
        <w:rPr>
          <w:rFonts w:cs="Arial"/>
        </w:rPr>
        <w:t xml:space="preserve"> </w:t>
      </w:r>
      <w:r w:rsidRPr="0099374A">
        <w:rPr>
          <w:rFonts w:cs="Arial"/>
        </w:rPr>
        <w:t>Act.</w:t>
      </w:r>
      <w:r w:rsidR="00B62108">
        <w:rPr>
          <w:rFonts w:cs="Arial"/>
        </w:rPr>
        <w:t xml:space="preserve"> </w:t>
      </w:r>
    </w:p>
    <w:p w14:paraId="5B9EF661" w14:textId="77777777" w:rsidR="00780F2E" w:rsidRPr="0025474D" w:rsidRDefault="00AD12D8" w:rsidP="00637941">
      <w:pPr>
        <w:pStyle w:val="Heading3"/>
      </w:pPr>
      <w:bookmarkStart w:id="55" w:name="_Toc362446691"/>
      <w:bookmarkStart w:id="56" w:name="_Toc388023531"/>
      <w:r w:rsidRPr="0025474D">
        <w:t>Unfair dismissal</w:t>
      </w:r>
      <w:bookmarkEnd w:id="55"/>
      <w:bookmarkEnd w:id="56"/>
    </w:p>
    <w:p w14:paraId="7C5ED29B" w14:textId="77777777" w:rsidR="00EF62DA" w:rsidRPr="003624E0" w:rsidRDefault="00B575E5" w:rsidP="00EF62DA">
      <w:r>
        <w:t xml:space="preserve">Where a </w:t>
      </w:r>
      <w:r w:rsidR="008317C4">
        <w:t>small business</w:t>
      </w:r>
      <w:r w:rsidR="008317C4" w:rsidRPr="003624E0">
        <w:t xml:space="preserve"> </w:t>
      </w:r>
      <w:r>
        <w:t>is a national system employer</w:t>
      </w:r>
      <w:r w:rsidR="00673853">
        <w:rPr>
          <w:rStyle w:val="EndnoteReference"/>
        </w:rPr>
        <w:endnoteReference w:id="22"/>
      </w:r>
      <w:r w:rsidR="0055363A">
        <w:t xml:space="preserve"> </w:t>
      </w:r>
      <w:r w:rsidR="00EF62DA">
        <w:t>and</w:t>
      </w:r>
      <w:r w:rsidR="00EF62DA" w:rsidRPr="003624E0">
        <w:t xml:space="preserve"> decides to dismiss an employee </w:t>
      </w:r>
      <w:r w:rsidR="00EF62DA">
        <w:t>because it is satisfied that he or she engaged in sexual harassment,</w:t>
      </w:r>
      <w:r w:rsidR="00EF62DA" w:rsidRPr="003624E0">
        <w:t xml:space="preserve"> </w:t>
      </w:r>
      <w:r w:rsidR="00EF62DA">
        <w:t xml:space="preserve">the </w:t>
      </w:r>
      <w:r w:rsidR="008317C4">
        <w:t>small business</w:t>
      </w:r>
      <w:r w:rsidR="008317C4" w:rsidRPr="003624E0">
        <w:t xml:space="preserve"> </w:t>
      </w:r>
      <w:r w:rsidR="00EF62DA" w:rsidRPr="003624E0">
        <w:t xml:space="preserve">must ensure that any subsequent action complies with: </w:t>
      </w:r>
    </w:p>
    <w:p w14:paraId="5CC28FAC" w14:textId="77777777" w:rsidR="00EF62DA" w:rsidRPr="003624E0" w:rsidRDefault="00EF62DA" w:rsidP="008C5F9F">
      <w:pPr>
        <w:pStyle w:val="ListParagraph"/>
        <w:numPr>
          <w:ilvl w:val="0"/>
          <w:numId w:val="20"/>
        </w:numPr>
        <w:ind w:left="567" w:hanging="567"/>
        <w:contextualSpacing w:val="0"/>
      </w:pPr>
      <w:r w:rsidRPr="003624E0">
        <w:t>the Fair Work Act (or the state or territory equivalent) and any relevant award or enterprise agreement</w:t>
      </w:r>
      <w:r>
        <w:t>; and</w:t>
      </w:r>
    </w:p>
    <w:p w14:paraId="2F0EB3FE" w14:textId="77777777" w:rsidR="00EF62DA" w:rsidRPr="003624E0" w:rsidRDefault="00EF62DA" w:rsidP="008C5F9F">
      <w:pPr>
        <w:pStyle w:val="ListParagraph"/>
        <w:numPr>
          <w:ilvl w:val="0"/>
          <w:numId w:val="20"/>
        </w:numPr>
        <w:ind w:left="567" w:hanging="567"/>
        <w:contextualSpacing w:val="0"/>
      </w:pPr>
      <w:r w:rsidRPr="003624E0">
        <w:t xml:space="preserve">the Small Business Fair Dismissal Code, in the case of a small business (ie a business with fewer than 15 employees).  </w:t>
      </w:r>
    </w:p>
    <w:p w14:paraId="621BF070" w14:textId="77777777" w:rsidR="00EF62DA" w:rsidRPr="003624E0" w:rsidRDefault="00EF62DA" w:rsidP="00EF62DA">
      <w:r w:rsidRPr="003624E0">
        <w:t>Failure to comply with the instruments above may give rise to</w:t>
      </w:r>
      <w:r w:rsidR="008F5349">
        <w:t xml:space="preserve"> a claim for unfair dismissal</w:t>
      </w:r>
      <w:r>
        <w:t>.</w:t>
      </w:r>
      <w:r>
        <w:rPr>
          <w:rStyle w:val="EndnoteReference"/>
        </w:rPr>
        <w:endnoteReference w:id="23"/>
      </w:r>
    </w:p>
    <w:p w14:paraId="64E3D85E" w14:textId="77777777" w:rsidR="0041672C" w:rsidRPr="00626C2C" w:rsidRDefault="00B05A2B" w:rsidP="006456AE">
      <w:pPr>
        <w:pStyle w:val="Heading3"/>
      </w:pPr>
      <w:bookmarkStart w:id="57" w:name="_Toc362446694"/>
      <w:bookmarkStart w:id="58" w:name="_Toc388023533"/>
      <w:r w:rsidRPr="00626C2C">
        <w:lastRenderedPageBreak/>
        <w:t>Work, health and safety requirements</w:t>
      </w:r>
      <w:bookmarkEnd w:id="57"/>
      <w:bookmarkEnd w:id="58"/>
    </w:p>
    <w:p w14:paraId="13F08CA1" w14:textId="77777777" w:rsidR="00787331" w:rsidRPr="003624E0" w:rsidRDefault="007C4460" w:rsidP="00C4731C">
      <w:r>
        <w:t>Small</w:t>
      </w:r>
      <w:r w:rsidR="003B191D">
        <w:t xml:space="preserve"> businesses</w:t>
      </w:r>
      <w:r w:rsidR="00C4731C">
        <w:t xml:space="preserve"> must ensure, so far as is reasonably practicable, the health and safety of </w:t>
      </w:r>
      <w:r w:rsidR="003B191D">
        <w:t>their</w:t>
      </w:r>
      <w:r w:rsidR="00C4731C">
        <w:t xml:space="preserve"> workers. </w:t>
      </w:r>
      <w:r w:rsidR="003B191D">
        <w:t>A small business who fails</w:t>
      </w:r>
      <w:r w:rsidR="00B96B3B">
        <w:t xml:space="preserve"> to maintain a safe workplace </w:t>
      </w:r>
      <w:r w:rsidR="007A44AA" w:rsidRPr="003624E0">
        <w:t xml:space="preserve">may </w:t>
      </w:r>
      <w:r w:rsidR="00787331" w:rsidRPr="003624E0">
        <w:t>be held liable</w:t>
      </w:r>
      <w:r w:rsidR="00652CAD" w:rsidRPr="003624E0">
        <w:t xml:space="preserve"> </w:t>
      </w:r>
      <w:r w:rsidR="00787331" w:rsidRPr="003624E0">
        <w:t xml:space="preserve">under the common law or </w:t>
      </w:r>
      <w:r w:rsidR="00652CAD" w:rsidRPr="003624E0">
        <w:t xml:space="preserve">under </w:t>
      </w:r>
      <w:r w:rsidR="009A6DB3">
        <w:t>work health and safety legislation</w:t>
      </w:r>
      <w:r w:rsidR="00787331" w:rsidRPr="003624E0">
        <w:t>.</w:t>
      </w:r>
      <w:r w:rsidR="00787331" w:rsidRPr="003624E0">
        <w:rPr>
          <w:rStyle w:val="EndnoteReference"/>
        </w:rPr>
        <w:endnoteReference w:id="24"/>
      </w:r>
      <w:r w:rsidR="00787331" w:rsidRPr="003624E0">
        <w:t xml:space="preserve">  </w:t>
      </w:r>
    </w:p>
    <w:p w14:paraId="0E4FC758" w14:textId="77777777" w:rsidR="00E71DD1" w:rsidRPr="00C14FE4" w:rsidRDefault="007C4460" w:rsidP="00C14FE4">
      <w:r>
        <w:t xml:space="preserve">Small businesses </w:t>
      </w:r>
      <w:r w:rsidR="00635F54">
        <w:t>who</w:t>
      </w:r>
      <w:r w:rsidR="00F4283B" w:rsidRPr="003624E0">
        <w:t xml:space="preserve"> fail to take reasonable steps </w:t>
      </w:r>
      <w:r w:rsidR="00A64AA8" w:rsidRPr="003624E0">
        <w:t xml:space="preserve">to prevent </w:t>
      </w:r>
      <w:r w:rsidR="00F4283B" w:rsidRPr="003624E0">
        <w:t xml:space="preserve">the </w:t>
      </w:r>
      <w:r w:rsidR="00A64AA8" w:rsidRPr="003624E0">
        <w:t xml:space="preserve">foreseeable risk </w:t>
      </w:r>
      <w:r w:rsidR="00F4283B" w:rsidRPr="003624E0">
        <w:t xml:space="preserve">of harm </w:t>
      </w:r>
      <w:r>
        <w:t xml:space="preserve">arising from sexual harassment </w:t>
      </w:r>
      <w:r w:rsidR="00F4283B" w:rsidRPr="003624E0">
        <w:t xml:space="preserve">may </w:t>
      </w:r>
      <w:r w:rsidR="00EE4D16" w:rsidRPr="003624E0">
        <w:t>be in breach of the</w:t>
      </w:r>
      <w:r w:rsidR="00F4283B" w:rsidRPr="003624E0">
        <w:t xml:space="preserve"> </w:t>
      </w:r>
      <w:r w:rsidR="00EE4D16" w:rsidRPr="003624E0">
        <w:t>obligation</w:t>
      </w:r>
      <w:r w:rsidR="00F4283B" w:rsidRPr="003624E0">
        <w:t xml:space="preserve"> to ensure a healthy and safe </w:t>
      </w:r>
      <w:r w:rsidR="00EE4D16" w:rsidRPr="003624E0">
        <w:t>work</w:t>
      </w:r>
      <w:r w:rsidR="00F4283B" w:rsidRPr="003624E0">
        <w:t xml:space="preserve"> environ</w:t>
      </w:r>
      <w:r w:rsidR="00A66CF4">
        <w:t xml:space="preserve">ment and safe systems of work. </w:t>
      </w:r>
      <w:bookmarkStart w:id="59" w:name="_Toc362446697"/>
    </w:p>
    <w:p w14:paraId="259F400E" w14:textId="77777777" w:rsidR="00F17913" w:rsidRPr="0003575F" w:rsidRDefault="0078753E" w:rsidP="0003575F">
      <w:pPr>
        <w:pStyle w:val="Heading1"/>
      </w:pPr>
      <w:bookmarkStart w:id="60" w:name="_Toc397509103"/>
      <w:r w:rsidRPr="0003575F">
        <w:t>P</w:t>
      </w:r>
      <w:r w:rsidR="00C222D7" w:rsidRPr="0003575F">
        <w:t>revent</w:t>
      </w:r>
      <w:r w:rsidRPr="0003575F">
        <w:t>ing</w:t>
      </w:r>
      <w:r w:rsidR="00C222D7" w:rsidRPr="0003575F">
        <w:t xml:space="preserve"> and redress</w:t>
      </w:r>
      <w:r w:rsidRPr="0003575F">
        <w:t>ing</w:t>
      </w:r>
      <w:r w:rsidR="00C222D7" w:rsidRPr="0003575F">
        <w:t xml:space="preserve"> sexual harassment</w:t>
      </w:r>
      <w:bookmarkEnd w:id="59"/>
      <w:bookmarkEnd w:id="60"/>
    </w:p>
    <w:p w14:paraId="69691EB1" w14:textId="77777777" w:rsidR="001E14EA" w:rsidRDefault="00E71DD1" w:rsidP="001E14EA">
      <w:pPr>
        <w:pStyle w:val="Heading2"/>
        <w:numPr>
          <w:ilvl w:val="0"/>
          <w:numId w:val="0"/>
        </w:numPr>
        <w:ind w:left="851" w:hanging="851"/>
      </w:pPr>
      <w:bookmarkStart w:id="61" w:name="_Toc396738150"/>
      <w:bookmarkStart w:id="62" w:name="_Toc397499255"/>
      <w:bookmarkStart w:id="63" w:name="_Toc397509104"/>
      <w:r>
        <w:t>4</w:t>
      </w:r>
      <w:r w:rsidR="001E14EA">
        <w:t>.1 Preventing sexual harassment</w:t>
      </w:r>
      <w:bookmarkEnd w:id="61"/>
      <w:bookmarkEnd w:id="62"/>
      <w:bookmarkEnd w:id="63"/>
      <w:r w:rsidR="001E14EA">
        <w:t xml:space="preserve"> </w:t>
      </w:r>
    </w:p>
    <w:p w14:paraId="00CB62B1" w14:textId="77777777" w:rsidR="00935FD9" w:rsidRPr="003624E0" w:rsidRDefault="00535AE9" w:rsidP="006F5029">
      <w:r>
        <w:t>Small businesses have</w:t>
      </w:r>
      <w:r w:rsidR="00BB0727" w:rsidRPr="003624E0">
        <w:t xml:space="preserve"> </w:t>
      </w:r>
      <w:r w:rsidR="000249CB">
        <w:t xml:space="preserve">a </w:t>
      </w:r>
      <w:r w:rsidR="00BB0727" w:rsidRPr="003624E0">
        <w:t>duty to take all reasonable steps to prevent sexual harassment in the workplace</w:t>
      </w:r>
      <w:r w:rsidR="00653E3F">
        <w:t>,</w:t>
      </w:r>
      <w:r w:rsidR="0022259F">
        <w:t xml:space="preserve"> to </w:t>
      </w:r>
      <w:r w:rsidR="00400812" w:rsidRPr="003624E0">
        <w:t xml:space="preserve">actively minimise the risk of sexual harassment and respond appropriately when harassment does occur.  </w:t>
      </w:r>
    </w:p>
    <w:p w14:paraId="1595D37B" w14:textId="77777777" w:rsidR="00465E6F" w:rsidRPr="003624E0" w:rsidRDefault="00090272" w:rsidP="00090272">
      <w:r>
        <w:t>Small businesses</w:t>
      </w:r>
      <w:r w:rsidR="007F2316" w:rsidRPr="003624E0">
        <w:t xml:space="preserve"> should </w:t>
      </w:r>
      <w:r w:rsidR="00935FD9" w:rsidRPr="003624E0">
        <w:t>adopt a number of essential measures</w:t>
      </w:r>
      <w:r>
        <w:t xml:space="preserve"> to prevent sexual harassment from occurring in the workplace.</w:t>
      </w:r>
    </w:p>
    <w:p w14:paraId="2FDECB7C" w14:textId="77777777" w:rsidR="009D61F6" w:rsidRPr="003624E0" w:rsidRDefault="009D61F6" w:rsidP="009D61F6">
      <w:pPr>
        <w:pStyle w:val="Heading3"/>
        <w:numPr>
          <w:ilvl w:val="0"/>
          <w:numId w:val="0"/>
        </w:numPr>
        <w:ind w:left="851" w:hanging="851"/>
      </w:pPr>
      <w:bookmarkStart w:id="64" w:name="_Toc362446699"/>
      <w:r w:rsidRPr="003624E0">
        <w:t xml:space="preserve">(a) </w:t>
      </w:r>
      <w:r w:rsidR="00937CDF" w:rsidRPr="003624E0">
        <w:t>Create a healthy and safe work environment based on respect</w:t>
      </w:r>
      <w:bookmarkEnd w:id="64"/>
      <w:r w:rsidR="00937CDF" w:rsidRPr="003624E0">
        <w:t xml:space="preserve"> </w:t>
      </w:r>
    </w:p>
    <w:p w14:paraId="11312310" w14:textId="77777777" w:rsidR="0065662A" w:rsidRPr="003624E0" w:rsidRDefault="00193796" w:rsidP="0065662A">
      <w:r w:rsidRPr="003624E0">
        <w:t xml:space="preserve">The key to preventing sexual harassment is for </w:t>
      </w:r>
      <w:r w:rsidR="008317C4">
        <w:t>small businesses</w:t>
      </w:r>
      <w:r w:rsidR="008317C4" w:rsidRPr="003624E0">
        <w:t xml:space="preserve"> </w:t>
      </w:r>
      <w:r w:rsidRPr="003624E0">
        <w:t xml:space="preserve">to </w:t>
      </w:r>
      <w:r w:rsidR="008048D7" w:rsidRPr="003624E0">
        <w:t>send an unequivocal message to</w:t>
      </w:r>
      <w:r w:rsidRPr="003624E0">
        <w:t xml:space="preserve"> every workplace participant that sexual harassment is unacceptable in </w:t>
      </w:r>
      <w:r w:rsidR="00535AE9">
        <w:t xml:space="preserve">the workplace. </w:t>
      </w:r>
      <w:r w:rsidR="00A5643B" w:rsidRPr="003624E0">
        <w:t>Permitting or ignoring sexist, intimidating or offensive beha</w:t>
      </w:r>
      <w:r w:rsidR="00043478" w:rsidRPr="003624E0">
        <w:t xml:space="preserve">viour creates a </w:t>
      </w:r>
      <w:r w:rsidR="00635F54">
        <w:t xml:space="preserve">chilly or </w:t>
      </w:r>
      <w:r w:rsidR="00043478" w:rsidRPr="003624E0">
        <w:t xml:space="preserve">hostile </w:t>
      </w:r>
      <w:r w:rsidR="00A5643B" w:rsidRPr="003624E0">
        <w:t>environment</w:t>
      </w:r>
      <w:r w:rsidR="00B64266" w:rsidRPr="003624E0">
        <w:t xml:space="preserve">.  This can increase the </w:t>
      </w:r>
      <w:r w:rsidR="001E09F8">
        <w:t xml:space="preserve">risk of </w:t>
      </w:r>
      <w:r w:rsidR="00B64266" w:rsidRPr="003624E0">
        <w:t>sexual harassment and have a significant and ongoing negat</w:t>
      </w:r>
      <w:r w:rsidR="00190C7D" w:rsidRPr="003624E0">
        <w:t xml:space="preserve">ive impact on employees and </w:t>
      </w:r>
      <w:r w:rsidR="00B64266" w:rsidRPr="003624E0">
        <w:t xml:space="preserve">business as a whole.  </w:t>
      </w:r>
    </w:p>
    <w:p w14:paraId="251AD1D4" w14:textId="77777777" w:rsidR="000C43E1" w:rsidRPr="003624E0" w:rsidRDefault="000C43E1" w:rsidP="0065662A">
      <w:r w:rsidRPr="003624E0">
        <w:t>Some key steps toward creating a healthy and safe work environment include:</w:t>
      </w:r>
    </w:p>
    <w:p w14:paraId="10F065E8" w14:textId="77777777" w:rsidR="00127E7E" w:rsidRDefault="00F57886" w:rsidP="008C5F9F">
      <w:pPr>
        <w:pStyle w:val="ListParagraph"/>
        <w:numPr>
          <w:ilvl w:val="0"/>
          <w:numId w:val="24"/>
        </w:numPr>
        <w:ind w:left="567" w:hanging="567"/>
        <w:contextualSpacing w:val="0"/>
      </w:pPr>
      <w:r>
        <w:t xml:space="preserve">distributing </w:t>
      </w:r>
      <w:r w:rsidR="00127E7E">
        <w:t xml:space="preserve">communications from </w:t>
      </w:r>
      <w:r w:rsidR="00637941">
        <w:t>owners/operators</w:t>
      </w:r>
      <w:r w:rsidR="00127E7E">
        <w:t xml:space="preserve"> that sexual harassment is unlawful and will not be tolerated in the workplace</w:t>
      </w:r>
    </w:p>
    <w:p w14:paraId="718233BB" w14:textId="77777777" w:rsidR="00C73761" w:rsidRPr="003624E0" w:rsidRDefault="000C43E1" w:rsidP="008C5F9F">
      <w:pPr>
        <w:pStyle w:val="ListParagraph"/>
        <w:numPr>
          <w:ilvl w:val="0"/>
          <w:numId w:val="24"/>
        </w:numPr>
        <w:ind w:left="567" w:hanging="567"/>
        <w:contextualSpacing w:val="0"/>
      </w:pPr>
      <w:r w:rsidRPr="003624E0">
        <w:t xml:space="preserve">setting expectations for </w:t>
      </w:r>
      <w:r w:rsidR="00637941">
        <w:t>owners/operators</w:t>
      </w:r>
      <w:r w:rsidRPr="003624E0">
        <w:t xml:space="preserve"> to model appropriate behaviour </w:t>
      </w:r>
      <w:r w:rsidR="00C73761" w:rsidRPr="003624E0">
        <w:t>and respond swiftly and effectively to sexual harassment complaints</w:t>
      </w:r>
    </w:p>
    <w:p w14:paraId="2B078934" w14:textId="77777777" w:rsidR="000C43E1" w:rsidRPr="003624E0" w:rsidRDefault="00C73761" w:rsidP="008C5F9F">
      <w:pPr>
        <w:pStyle w:val="ListParagraph"/>
        <w:numPr>
          <w:ilvl w:val="0"/>
          <w:numId w:val="24"/>
        </w:numPr>
        <w:ind w:left="567" w:hanging="567"/>
        <w:contextualSpacing w:val="0"/>
      </w:pPr>
      <w:r w:rsidRPr="003624E0">
        <w:t>supporting and encouraging bystand</w:t>
      </w:r>
      <w:r w:rsidR="00A5643B" w:rsidRPr="003624E0">
        <w:t>ers to report any inappropriate or sexist behaviour</w:t>
      </w:r>
      <w:r w:rsidR="00535AE9">
        <w:t xml:space="preserve"> and responding promptly to any concerns raised</w:t>
      </w:r>
    </w:p>
    <w:p w14:paraId="5B27604A" w14:textId="77777777" w:rsidR="0080736A" w:rsidRPr="003624E0" w:rsidRDefault="00005E54" w:rsidP="008C5F9F">
      <w:pPr>
        <w:pStyle w:val="ListParagraph"/>
        <w:numPr>
          <w:ilvl w:val="0"/>
          <w:numId w:val="24"/>
        </w:numPr>
        <w:ind w:left="567" w:hanging="567"/>
        <w:contextualSpacing w:val="0"/>
      </w:pPr>
      <w:r w:rsidRPr="003624E0">
        <w:t xml:space="preserve">ensuring </w:t>
      </w:r>
      <w:r w:rsidR="00535AE9">
        <w:t>all relevant workplace</w:t>
      </w:r>
      <w:r w:rsidRPr="003624E0">
        <w:t xml:space="preserve"> polic</w:t>
      </w:r>
      <w:r w:rsidR="004C2E89">
        <w:t>ies</w:t>
      </w:r>
      <w:r w:rsidRPr="003624E0">
        <w:t xml:space="preserve"> </w:t>
      </w:r>
      <w:r w:rsidR="007A5114">
        <w:t>(eg a</w:t>
      </w:r>
      <w:r w:rsidR="00535AE9">
        <w:t>cceptable us</w:t>
      </w:r>
      <w:r w:rsidR="00842F8D">
        <w:t>e</w:t>
      </w:r>
      <w:r w:rsidR="00535AE9">
        <w:t xml:space="preserve"> of technology, OHS, Codes of Conduct etc) </w:t>
      </w:r>
      <w:r w:rsidRPr="003624E0">
        <w:t>address sexual harassment</w:t>
      </w:r>
    </w:p>
    <w:p w14:paraId="10A5CCE7" w14:textId="77777777" w:rsidR="000926F1" w:rsidRPr="003624E0" w:rsidRDefault="000926F1" w:rsidP="008C5F9F">
      <w:pPr>
        <w:pStyle w:val="ListParagraph"/>
        <w:numPr>
          <w:ilvl w:val="0"/>
          <w:numId w:val="24"/>
        </w:numPr>
        <w:ind w:left="567" w:hanging="567"/>
        <w:contextualSpacing w:val="0"/>
      </w:pPr>
      <w:r w:rsidRPr="003624E0">
        <w:t>distributing and displaying posters</w:t>
      </w:r>
      <w:r w:rsidR="00535AE9">
        <w:t xml:space="preserve"> and other information</w:t>
      </w:r>
      <w:r w:rsidRPr="003624E0">
        <w:t xml:space="preserve"> </w:t>
      </w:r>
      <w:r w:rsidR="00C73761" w:rsidRPr="003624E0">
        <w:t>that explain rights and obligations around sexual harassment</w:t>
      </w:r>
    </w:p>
    <w:p w14:paraId="43B28179" w14:textId="77777777" w:rsidR="00634629" w:rsidRPr="003624E0" w:rsidRDefault="00634629" w:rsidP="008C5F9F">
      <w:pPr>
        <w:pStyle w:val="ListParagraph"/>
        <w:numPr>
          <w:ilvl w:val="0"/>
          <w:numId w:val="24"/>
        </w:numPr>
        <w:ind w:left="567" w:hanging="567"/>
        <w:contextualSpacing w:val="0"/>
      </w:pPr>
      <w:r w:rsidRPr="003624E0">
        <w:t>conducting regular audits to monitor the incidence of sexual harassment and effectiveness of the complaint process</w:t>
      </w:r>
      <w:r w:rsidR="00BF4FA4" w:rsidRPr="003624E0">
        <w:t>.</w:t>
      </w:r>
    </w:p>
    <w:p w14:paraId="321DEAB5" w14:textId="77777777" w:rsidR="003A71F7" w:rsidRPr="003624E0" w:rsidRDefault="003A71F7" w:rsidP="003A71F7">
      <w:pPr>
        <w:pStyle w:val="Heading3"/>
        <w:numPr>
          <w:ilvl w:val="0"/>
          <w:numId w:val="0"/>
        </w:numPr>
        <w:ind w:left="851" w:hanging="851"/>
      </w:pPr>
      <w:bookmarkStart w:id="65" w:name="_Toc362446700"/>
      <w:r w:rsidRPr="003624E0">
        <w:lastRenderedPageBreak/>
        <w:t>(</w:t>
      </w:r>
      <w:r w:rsidR="009D61F6" w:rsidRPr="003624E0">
        <w:t>b</w:t>
      </w:r>
      <w:r w:rsidRPr="003624E0">
        <w:t>) Develop and implement a sexual harassment policy</w:t>
      </w:r>
      <w:bookmarkEnd w:id="65"/>
    </w:p>
    <w:p w14:paraId="40C1DCDF" w14:textId="77777777" w:rsidR="00177217" w:rsidRDefault="0062278C" w:rsidP="0022259F">
      <w:r w:rsidRPr="003624E0">
        <w:t xml:space="preserve">A </w:t>
      </w:r>
      <w:r w:rsidR="00193796" w:rsidRPr="003624E0">
        <w:t>crucial</w:t>
      </w:r>
      <w:r w:rsidRPr="003624E0">
        <w:t xml:space="preserve"> aspect of prevention is the development and implementation of a written </w:t>
      </w:r>
      <w:r w:rsidR="008B7C03" w:rsidRPr="003624E0">
        <w:t xml:space="preserve">workplace </w:t>
      </w:r>
      <w:r w:rsidRPr="003624E0">
        <w:t xml:space="preserve">policy that makes it clear that sexual harassment </w:t>
      </w:r>
      <w:r w:rsidR="008B7C03" w:rsidRPr="003624E0">
        <w:t xml:space="preserve">is unlawful and </w:t>
      </w:r>
      <w:r w:rsidRPr="003624E0">
        <w:t>will not be tolerated under any circumstances.</w:t>
      </w:r>
      <w:r w:rsidR="00FE74DA" w:rsidRPr="003624E0">
        <w:t xml:space="preserve">  </w:t>
      </w:r>
      <w:r w:rsidR="0022259F">
        <w:t xml:space="preserve">Whilst policies vary between </w:t>
      </w:r>
      <w:r w:rsidR="00243CC0">
        <w:t xml:space="preserve">workplaces, </w:t>
      </w:r>
      <w:r w:rsidR="00177217" w:rsidRPr="003624E0">
        <w:t xml:space="preserve">there are a number of key elements that should be included </w:t>
      </w:r>
      <w:r w:rsidR="002F08DA">
        <w:t>in any sexual harassment policy:</w:t>
      </w:r>
    </w:p>
    <w:p w14:paraId="68433CE9" w14:textId="77777777" w:rsidR="002F08DA" w:rsidRPr="002F08DA" w:rsidRDefault="002F08DA" w:rsidP="008C5F9F">
      <w:pPr>
        <w:pStyle w:val="ListParagraph"/>
        <w:numPr>
          <w:ilvl w:val="0"/>
          <w:numId w:val="24"/>
        </w:numPr>
        <w:ind w:left="567" w:hanging="567"/>
        <w:contextualSpacing w:val="0"/>
      </w:pPr>
      <w:r w:rsidRPr="002F08DA">
        <w:t>Recognise that sexual harassment will not be tolerated</w:t>
      </w:r>
    </w:p>
    <w:p w14:paraId="7684B80B" w14:textId="77777777" w:rsidR="002F08DA" w:rsidRPr="002F08DA" w:rsidRDefault="002F08DA" w:rsidP="008C5F9F">
      <w:pPr>
        <w:pStyle w:val="ListParagraph"/>
        <w:numPr>
          <w:ilvl w:val="0"/>
          <w:numId w:val="24"/>
        </w:numPr>
        <w:ind w:left="567" w:hanging="567"/>
        <w:contextualSpacing w:val="0"/>
      </w:pPr>
      <w:r w:rsidRPr="002F08DA">
        <w:t>Recognise that sexual harassment is unlawful</w:t>
      </w:r>
    </w:p>
    <w:p w14:paraId="5C95726F" w14:textId="77777777" w:rsidR="002F08DA" w:rsidRPr="002F08DA" w:rsidRDefault="002F08DA" w:rsidP="008C5F9F">
      <w:pPr>
        <w:pStyle w:val="ListParagraph"/>
        <w:numPr>
          <w:ilvl w:val="0"/>
          <w:numId w:val="24"/>
        </w:numPr>
        <w:ind w:left="567" w:hanging="567"/>
        <w:contextualSpacing w:val="0"/>
      </w:pPr>
      <w:r w:rsidRPr="002F08DA">
        <w:t>Clearly define sexual harassment</w:t>
      </w:r>
    </w:p>
    <w:p w14:paraId="6C53F0A7" w14:textId="77777777" w:rsidR="00177217" w:rsidRPr="002F08DA" w:rsidRDefault="002F08DA" w:rsidP="008C5F9F">
      <w:pPr>
        <w:pStyle w:val="ListParagraph"/>
        <w:numPr>
          <w:ilvl w:val="0"/>
          <w:numId w:val="24"/>
        </w:numPr>
        <w:ind w:left="567" w:hanging="567"/>
        <w:contextualSpacing w:val="0"/>
      </w:pPr>
      <w:r w:rsidRPr="002F08DA">
        <w:t>Identify the strategy for addressing sexual harassment</w:t>
      </w:r>
    </w:p>
    <w:p w14:paraId="6B4418D2" w14:textId="77777777" w:rsidR="00762380" w:rsidRPr="002F08DA" w:rsidRDefault="002F08DA" w:rsidP="008C5F9F">
      <w:pPr>
        <w:pStyle w:val="ListParagraph"/>
        <w:numPr>
          <w:ilvl w:val="0"/>
          <w:numId w:val="24"/>
        </w:numPr>
        <w:ind w:left="567" w:hanging="567"/>
        <w:contextualSpacing w:val="0"/>
      </w:pPr>
      <w:r w:rsidRPr="002F08DA">
        <w:t xml:space="preserve">Explain the consequences of breaching the policy  </w:t>
      </w:r>
    </w:p>
    <w:p w14:paraId="2E792EB2" w14:textId="77777777" w:rsidR="005240C6" w:rsidRPr="002F08DA" w:rsidRDefault="002F08DA" w:rsidP="008C5F9F">
      <w:pPr>
        <w:pStyle w:val="ListParagraph"/>
        <w:numPr>
          <w:ilvl w:val="0"/>
          <w:numId w:val="24"/>
        </w:numPr>
        <w:ind w:left="567" w:hanging="567"/>
        <w:contextualSpacing w:val="0"/>
      </w:pPr>
      <w:r w:rsidRPr="002F08DA">
        <w:t xml:space="preserve">Identify the responsibilities of management and staff  </w:t>
      </w:r>
    </w:p>
    <w:p w14:paraId="7A01269F" w14:textId="77777777" w:rsidR="0061229E" w:rsidRDefault="002F08DA" w:rsidP="008C5F9F">
      <w:pPr>
        <w:pStyle w:val="ListParagraph"/>
        <w:numPr>
          <w:ilvl w:val="0"/>
          <w:numId w:val="24"/>
        </w:numPr>
        <w:ind w:left="567" w:hanging="567"/>
        <w:contextualSpacing w:val="0"/>
      </w:pPr>
      <w:r w:rsidRPr="002F08DA">
        <w:t>Outline the internal and external options for dealing with sexual harassment</w:t>
      </w:r>
    </w:p>
    <w:p w14:paraId="1933984D" w14:textId="77777777" w:rsidR="00F60280" w:rsidRPr="003624E0" w:rsidRDefault="00F60280" w:rsidP="00F60280">
      <w:r w:rsidRPr="00DE5CB6">
        <w:t>See t</w:t>
      </w:r>
      <w:r w:rsidR="008C176B">
        <w:t>he template policy in Appendix 1</w:t>
      </w:r>
      <w:r w:rsidR="0009533D" w:rsidRPr="00DE5CB6">
        <w:t>.</w:t>
      </w:r>
    </w:p>
    <w:p w14:paraId="6B66833C" w14:textId="77777777" w:rsidR="003A71F7" w:rsidRPr="003624E0" w:rsidRDefault="003A71F7" w:rsidP="004355A0">
      <w:pPr>
        <w:pStyle w:val="Heading3"/>
        <w:numPr>
          <w:ilvl w:val="0"/>
          <w:numId w:val="0"/>
        </w:numPr>
        <w:ind w:left="851" w:hanging="851"/>
      </w:pPr>
      <w:bookmarkStart w:id="66" w:name="_Toc362446701"/>
      <w:r w:rsidRPr="003624E0">
        <w:t>(</w:t>
      </w:r>
      <w:r w:rsidR="009D61F6" w:rsidRPr="003624E0">
        <w:t>c</w:t>
      </w:r>
      <w:r w:rsidRPr="003624E0">
        <w:t>) Provide or facilitate</w:t>
      </w:r>
      <w:r w:rsidR="00C446D8" w:rsidRPr="003624E0">
        <w:t xml:space="preserve"> education and</w:t>
      </w:r>
      <w:r w:rsidRPr="003624E0">
        <w:t xml:space="preserve"> training on sexual harassment</w:t>
      </w:r>
      <w:bookmarkEnd w:id="66"/>
      <w:r w:rsidR="004355A0" w:rsidRPr="003624E0">
        <w:t xml:space="preserve">  </w:t>
      </w:r>
    </w:p>
    <w:p w14:paraId="56C576A7" w14:textId="77777777" w:rsidR="004355A0" w:rsidRPr="003624E0" w:rsidRDefault="004355A0" w:rsidP="004355A0">
      <w:r w:rsidRPr="003624E0">
        <w:t xml:space="preserve">A written policy can only be effective in </w:t>
      </w:r>
      <w:r w:rsidR="00884595" w:rsidRPr="003624E0">
        <w:t xml:space="preserve">addressing </w:t>
      </w:r>
      <w:r w:rsidR="00F44F12" w:rsidRPr="003624E0">
        <w:t>sexual harassment if it is implemented</w:t>
      </w:r>
      <w:r w:rsidR="00884595" w:rsidRPr="003624E0">
        <w:t xml:space="preserve"> effectively</w:t>
      </w:r>
      <w:r w:rsidR="00F44F12" w:rsidRPr="003624E0">
        <w:t xml:space="preserve">.  </w:t>
      </w:r>
      <w:r w:rsidR="0041155E">
        <w:t>Small businesses</w:t>
      </w:r>
      <w:r w:rsidR="00EC1DE1" w:rsidRPr="003624E0">
        <w:t xml:space="preserve"> should </w:t>
      </w:r>
      <w:r w:rsidR="00DF6A8F" w:rsidRPr="003624E0">
        <w:t xml:space="preserve">distribute the sexual harassment policy </w:t>
      </w:r>
      <w:r w:rsidR="00821850" w:rsidRPr="003624E0">
        <w:t xml:space="preserve">widely </w:t>
      </w:r>
      <w:r w:rsidR="00EC1DE1" w:rsidRPr="003624E0">
        <w:t xml:space="preserve">and </w:t>
      </w:r>
      <w:r w:rsidR="00FB06C7" w:rsidRPr="003624E0">
        <w:t xml:space="preserve">conduct </w:t>
      </w:r>
      <w:r w:rsidR="00821850" w:rsidRPr="003624E0">
        <w:t xml:space="preserve">regular </w:t>
      </w:r>
      <w:r w:rsidR="0041155E">
        <w:t>information sessions which support employees to understand what behaviours and situations constitute sexual harassment, encourage bystander action if employees see or hear about sexual harassment and outline the internal and external options for dealing with sexual harassment.</w:t>
      </w:r>
      <w:r w:rsidR="00EC1DE1" w:rsidRPr="003624E0">
        <w:t xml:space="preserve"> </w:t>
      </w:r>
      <w:r w:rsidR="008317C4">
        <w:t>Small businesses</w:t>
      </w:r>
      <w:r w:rsidR="008317C4" w:rsidRPr="003624E0">
        <w:t xml:space="preserve"> </w:t>
      </w:r>
      <w:r w:rsidR="0041155E" w:rsidRPr="003624E0">
        <w:t xml:space="preserve">should </w:t>
      </w:r>
      <w:r w:rsidR="0041155E">
        <w:t xml:space="preserve">also </w:t>
      </w:r>
      <w:r w:rsidR="0041155E" w:rsidRPr="003624E0">
        <w:t xml:space="preserve">ensure that sexual harassment training forms part of the organisation’s core training, including workplace induction.   </w:t>
      </w:r>
    </w:p>
    <w:p w14:paraId="7065C732" w14:textId="77777777" w:rsidR="00A761E8" w:rsidRPr="003624E0" w:rsidRDefault="00E71DD1" w:rsidP="0092616C">
      <w:pPr>
        <w:pStyle w:val="Heading2"/>
        <w:numPr>
          <w:ilvl w:val="0"/>
          <w:numId w:val="0"/>
        </w:numPr>
        <w:ind w:left="851" w:hanging="851"/>
      </w:pPr>
      <w:bookmarkStart w:id="67" w:name="_Toc362446702"/>
      <w:bookmarkStart w:id="68" w:name="_Toc388023536"/>
      <w:bookmarkStart w:id="69" w:name="_Toc396738151"/>
      <w:bookmarkStart w:id="70" w:name="_Toc397499256"/>
      <w:bookmarkStart w:id="71" w:name="_Toc397509105"/>
      <w:r>
        <w:t>4</w:t>
      </w:r>
      <w:r w:rsidR="0092616C" w:rsidRPr="003624E0">
        <w:t xml:space="preserve">.2  </w:t>
      </w:r>
      <w:r w:rsidR="00A761E8" w:rsidRPr="003624E0">
        <w:t>Responding to sexual harassment</w:t>
      </w:r>
      <w:bookmarkEnd w:id="67"/>
      <w:bookmarkEnd w:id="68"/>
      <w:bookmarkEnd w:id="69"/>
      <w:bookmarkEnd w:id="70"/>
      <w:bookmarkEnd w:id="71"/>
    </w:p>
    <w:p w14:paraId="0B97C3E6" w14:textId="77777777" w:rsidR="004653B4" w:rsidRDefault="008317C4" w:rsidP="004653B4">
      <w:r>
        <w:t>Small businesses</w:t>
      </w:r>
      <w:r w:rsidR="00DF1928" w:rsidRPr="003624E0">
        <w:t xml:space="preserve"> are required to provide a safe workplace for their employees and, accordingly, must respond effectively to sexual harassment in the workplace.  It is therefore vital that </w:t>
      </w:r>
      <w:r>
        <w:t>small businesses</w:t>
      </w:r>
      <w:r w:rsidRPr="003624E0">
        <w:t xml:space="preserve"> </w:t>
      </w:r>
      <w:r w:rsidR="00DF1928" w:rsidRPr="003624E0">
        <w:t xml:space="preserve">develop and implement robust procedures for dealing with sexual harassment complaints.  </w:t>
      </w:r>
      <w:r w:rsidR="00E5331C">
        <w:t>For guidance on how to develop an effective sexual harassment process</w:t>
      </w:r>
      <w:r w:rsidR="001E14EA">
        <w:t xml:space="preserve"> for responding to complaints of sexual harassment in a small business (</w:t>
      </w:r>
      <w:r w:rsidR="00E5331C">
        <w:t xml:space="preserve">see </w:t>
      </w:r>
      <w:r w:rsidR="00F60280" w:rsidRPr="00DE5CB6">
        <w:t>A</w:t>
      </w:r>
      <w:r w:rsidR="00E5331C" w:rsidRPr="00DE5CB6">
        <w:t xml:space="preserve">ppendix </w:t>
      </w:r>
      <w:r w:rsidR="008C176B">
        <w:t>2</w:t>
      </w:r>
      <w:r w:rsidR="001E14EA" w:rsidRPr="00DE5CB6">
        <w:t>).</w:t>
      </w:r>
    </w:p>
    <w:p w14:paraId="58431669" w14:textId="77777777" w:rsidR="00B05341" w:rsidRPr="008C176B" w:rsidRDefault="000F2436" w:rsidP="008C176B">
      <w:pPr>
        <w:spacing w:before="0" w:after="0"/>
        <w:rPr>
          <w:b/>
          <w:sz w:val="36"/>
          <w:szCs w:val="36"/>
        </w:rPr>
        <w:sectPr w:rsidR="00B05341" w:rsidRPr="008C176B" w:rsidSect="0003575F">
          <w:endnotePr>
            <w:numFmt w:val="decimal"/>
          </w:endnotePr>
          <w:type w:val="continuous"/>
          <w:pgSz w:w="11906" w:h="16838" w:code="9"/>
          <w:pgMar w:top="1134" w:right="1418" w:bottom="1134" w:left="1418" w:header="709" w:footer="709" w:gutter="0"/>
          <w:cols w:space="708"/>
          <w:docGrid w:linePitch="360"/>
        </w:sectPr>
      </w:pPr>
      <w:r w:rsidRPr="003624E0">
        <w:rPr>
          <w:b/>
          <w:sz w:val="36"/>
          <w:szCs w:val="36"/>
        </w:rPr>
        <w:br w:type="page"/>
      </w:r>
      <w:bookmarkStart w:id="72" w:name="_Toc362446706"/>
    </w:p>
    <w:p w14:paraId="20BF9B67" w14:textId="77777777" w:rsidR="0054397D" w:rsidRPr="0054397D" w:rsidRDefault="008C176B" w:rsidP="00DE5CB6">
      <w:pPr>
        <w:pStyle w:val="Heading1"/>
        <w:numPr>
          <w:ilvl w:val="0"/>
          <w:numId w:val="0"/>
        </w:numPr>
        <w:ind w:left="851" w:hanging="851"/>
      </w:pPr>
      <w:bookmarkStart w:id="73" w:name="_Toc397509106"/>
      <w:r>
        <w:lastRenderedPageBreak/>
        <w:t>Appendix 1</w:t>
      </w:r>
      <w:r w:rsidR="0054397D">
        <w:t>: Template Policy</w:t>
      </w:r>
      <w:r w:rsidR="00DE5CB6">
        <w:t xml:space="preserve"> for </w:t>
      </w:r>
      <w:r w:rsidR="00DE5CB6">
        <w:rPr>
          <w:sz w:val="30"/>
          <w:szCs w:val="30"/>
        </w:rPr>
        <w:t>p</w:t>
      </w:r>
      <w:r w:rsidR="00DE5CB6" w:rsidRPr="006B6CA3">
        <w:rPr>
          <w:sz w:val="30"/>
          <w:szCs w:val="30"/>
        </w:rPr>
        <w:t>reventing and addressing sexual harassment in small businesses</w:t>
      </w:r>
      <w:bookmarkEnd w:id="73"/>
    </w:p>
    <w:p w14:paraId="71B98F6A" w14:textId="77777777" w:rsidR="00DE5CB6" w:rsidRPr="00DE5CB6" w:rsidRDefault="00DE5CB6" w:rsidP="00AA0302">
      <w:bookmarkStart w:id="74" w:name="_Toc396738153"/>
      <w:bookmarkStart w:id="75" w:name="_Toc397499259"/>
      <w:r w:rsidRPr="00DE5CB6">
        <w:t>Sexual harassment policies can vary between workplaces.  However, there are a number of key elements that should be included in any sexual harassment policy, whether it’s a stand-alone document or the information is incorporated into other relevant policies and procedures, outlined in the table below. The suggested content can be incorporated into existing sexual harassment policies, or organisations can use the ‘key elements’ section to develop their own content.</w:t>
      </w:r>
      <w:bookmarkEnd w:id="74"/>
      <w:bookmarkEnd w:id="75"/>
    </w:p>
    <w:p w14:paraId="76BFBCE8" w14:textId="77777777" w:rsidR="00DE5CB6" w:rsidRPr="006B6CA3" w:rsidRDefault="00DE5CB6" w:rsidP="00DE5CB6">
      <w:pPr>
        <w:spacing w:before="0" w:after="0"/>
        <w:rPr>
          <w:sz w:val="20"/>
          <w:szCs w:val="20"/>
        </w:rPr>
      </w:pPr>
    </w:p>
    <w:tbl>
      <w:tblPr>
        <w:tblW w:w="0" w:type="auto"/>
        <w:tblCellMar>
          <w:left w:w="0" w:type="dxa"/>
          <w:right w:w="0" w:type="dxa"/>
        </w:tblCellMar>
        <w:tblLook w:val="04A0" w:firstRow="1" w:lastRow="0" w:firstColumn="1" w:lastColumn="0" w:noHBand="0" w:noVBand="1"/>
      </w:tblPr>
      <w:tblGrid>
        <w:gridCol w:w="2755"/>
        <w:gridCol w:w="3935"/>
        <w:gridCol w:w="7860"/>
      </w:tblGrid>
      <w:tr w:rsidR="00DE5CB6" w:rsidRPr="006B6CA3" w14:paraId="3FFDF50A" w14:textId="77777777" w:rsidTr="00DE5CB6">
        <w:trPr>
          <w:tblHeader/>
        </w:trPr>
        <w:tc>
          <w:tcPr>
            <w:tcW w:w="2793"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4BF0399" w14:textId="77777777" w:rsidR="00DE5CB6" w:rsidRPr="006B6CA3" w:rsidRDefault="00DE5CB6" w:rsidP="00DE5CB6">
            <w:pPr>
              <w:spacing w:before="0" w:after="0"/>
              <w:jc w:val="center"/>
              <w:rPr>
                <w:rFonts w:eastAsiaTheme="minorHAnsi" w:cs="Arial"/>
                <w:b/>
                <w:bCs/>
                <w:lang w:eastAsia="en-US"/>
              </w:rPr>
            </w:pPr>
            <w:r w:rsidRPr="006B6CA3">
              <w:rPr>
                <w:rFonts w:cs="Arial"/>
                <w:b/>
                <w:bCs/>
              </w:rPr>
              <w:t>Section</w:t>
            </w:r>
          </w:p>
        </w:tc>
        <w:tc>
          <w:tcPr>
            <w:tcW w:w="3996"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EF9CD0A" w14:textId="77777777" w:rsidR="00DE5CB6" w:rsidRPr="006B6CA3" w:rsidRDefault="00DE5CB6" w:rsidP="00DE5CB6">
            <w:pPr>
              <w:spacing w:before="0" w:after="0"/>
              <w:jc w:val="center"/>
              <w:rPr>
                <w:rFonts w:eastAsiaTheme="minorHAnsi" w:cs="Arial"/>
                <w:b/>
                <w:bCs/>
                <w:lang w:eastAsia="en-US"/>
              </w:rPr>
            </w:pPr>
            <w:r w:rsidRPr="006B6CA3">
              <w:rPr>
                <w:rFonts w:cs="Arial"/>
                <w:b/>
                <w:bCs/>
              </w:rPr>
              <w:t>Key elements</w:t>
            </w:r>
          </w:p>
        </w:tc>
        <w:tc>
          <w:tcPr>
            <w:tcW w:w="799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03BC4E8" w14:textId="77777777" w:rsidR="00DE5CB6" w:rsidRPr="006B6CA3" w:rsidRDefault="00DE5CB6" w:rsidP="00DE5CB6">
            <w:pPr>
              <w:spacing w:before="0" w:after="0"/>
              <w:jc w:val="center"/>
              <w:rPr>
                <w:rFonts w:eastAsiaTheme="minorHAnsi" w:cs="Arial"/>
                <w:b/>
                <w:bCs/>
                <w:lang w:eastAsia="en-US"/>
              </w:rPr>
            </w:pPr>
            <w:r w:rsidRPr="006B6CA3">
              <w:rPr>
                <w:rFonts w:cs="Arial"/>
                <w:b/>
                <w:bCs/>
              </w:rPr>
              <w:t>Suggested content</w:t>
            </w:r>
          </w:p>
        </w:tc>
      </w:tr>
      <w:tr w:rsidR="00DE5CB6" w:rsidRPr="006B6CA3" w14:paraId="027EE1A1"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E44BF"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1. Who this policy applies to</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14900B23"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Include a list of all individuals/roles that the policy applies to.</w:t>
            </w:r>
          </w:p>
          <w:p w14:paraId="7507F695" w14:textId="77777777" w:rsidR="00DE5CB6" w:rsidRPr="006B6CA3" w:rsidRDefault="00DE5CB6" w:rsidP="00DE5CB6">
            <w:pPr>
              <w:spacing w:before="0" w:after="0"/>
              <w:rPr>
                <w:rFonts w:eastAsiaTheme="minorHAnsi" w:cs="Arial"/>
                <w:sz w:val="20"/>
                <w:szCs w:val="20"/>
                <w:lang w:eastAsia="en-US"/>
              </w:rPr>
            </w:pP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4D8BAD29" w14:textId="77777777" w:rsidR="00DE5CB6" w:rsidRPr="006B6CA3" w:rsidRDefault="00DE5CB6" w:rsidP="00DE5CB6">
            <w:pPr>
              <w:spacing w:before="0" w:after="0"/>
              <w:rPr>
                <w:i/>
                <w:sz w:val="20"/>
                <w:szCs w:val="20"/>
              </w:rPr>
            </w:pPr>
            <w:r w:rsidRPr="006B6CA3">
              <w:rPr>
                <w:i/>
                <w:sz w:val="20"/>
                <w:szCs w:val="20"/>
              </w:rPr>
              <w:t xml:space="preserve">This policy applies to </w:t>
            </w:r>
            <w:r w:rsidRPr="006B6CA3">
              <w:rPr>
                <w:rFonts w:cs="Arial"/>
                <w:i/>
                <w:sz w:val="20"/>
                <w:szCs w:val="20"/>
                <w:lang w:val="en"/>
              </w:rPr>
              <w:t>current or prospective employees, colleagues, partners, commission agents, sole traders, clients, contractors, managers/supervisors, customers and other workplace participants.</w:t>
            </w:r>
          </w:p>
        </w:tc>
      </w:tr>
      <w:tr w:rsidR="00DE5CB6" w:rsidRPr="006B6CA3" w14:paraId="442E1A02"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287E6"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2. When does this policy apply</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6E44550D"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Include a list of all places and contexts that the policy covers.</w:t>
            </w:r>
          </w:p>
          <w:p w14:paraId="4E7FC40A" w14:textId="77777777" w:rsidR="00DE5CB6" w:rsidRPr="006B6CA3" w:rsidRDefault="00DE5CB6" w:rsidP="00DE5CB6">
            <w:pPr>
              <w:spacing w:before="0" w:after="0"/>
              <w:rPr>
                <w:rFonts w:eastAsiaTheme="minorHAnsi" w:cs="Arial"/>
                <w:sz w:val="20"/>
                <w:szCs w:val="20"/>
                <w:lang w:eastAsia="en-US"/>
              </w:rPr>
            </w:pP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16909844" w14:textId="77777777" w:rsidR="00DE5CB6" w:rsidRPr="006B6CA3" w:rsidRDefault="00DE5CB6" w:rsidP="00DE5CB6">
            <w:pPr>
              <w:spacing w:before="0" w:after="0"/>
              <w:rPr>
                <w:i/>
                <w:sz w:val="20"/>
                <w:szCs w:val="20"/>
              </w:rPr>
            </w:pPr>
            <w:r w:rsidRPr="006B6CA3">
              <w:rPr>
                <w:i/>
                <w:sz w:val="20"/>
                <w:szCs w:val="20"/>
              </w:rPr>
              <w:t xml:space="preserve">This policy applies to </w:t>
            </w:r>
            <w:r w:rsidRPr="006B6CA3">
              <w:rPr>
                <w:rFonts w:cs="Arial"/>
                <w:i/>
                <w:sz w:val="20"/>
                <w:szCs w:val="20"/>
                <w:lang w:val="en"/>
              </w:rPr>
              <w:t>any place where the above people work or carry out functions related to work. For example, this can include offices, building sites, supermarkets, aircrafts or at conferences, events and functions or work functions off-site.</w:t>
            </w:r>
          </w:p>
        </w:tc>
      </w:tr>
      <w:tr w:rsidR="00DE5CB6" w:rsidRPr="006B6CA3" w14:paraId="5FF13D59"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88622"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3. Statement of commitment</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572EA429"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Broad statement of the organis</w:t>
            </w:r>
            <w:r w:rsidR="00BE777E">
              <w:rPr>
                <w:rFonts w:eastAsiaTheme="minorHAnsi" w:cs="Arial"/>
                <w:sz w:val="20"/>
                <w:szCs w:val="20"/>
                <w:lang w:eastAsia="en-US"/>
              </w:rPr>
              <w:t>a</w:t>
            </w:r>
            <w:r w:rsidRPr="006B6CA3">
              <w:rPr>
                <w:rFonts w:eastAsiaTheme="minorHAnsi" w:cs="Arial"/>
                <w:sz w:val="20"/>
                <w:szCs w:val="20"/>
                <w:lang w:eastAsia="en-US"/>
              </w:rPr>
              <w:t>tion’s commitments around preventing and responding to sexual harassment.</w:t>
            </w:r>
          </w:p>
          <w:p w14:paraId="335CA29F" w14:textId="77777777" w:rsidR="00DE5CB6" w:rsidRDefault="00DE5CB6" w:rsidP="00DE5CB6">
            <w:pPr>
              <w:spacing w:before="0" w:after="0"/>
              <w:rPr>
                <w:i/>
                <w:sz w:val="20"/>
                <w:szCs w:val="20"/>
              </w:rPr>
            </w:pPr>
          </w:p>
          <w:p w14:paraId="03D76C8E" w14:textId="77777777" w:rsidR="00DE5CB6" w:rsidRPr="006B6CA3" w:rsidRDefault="00DE5CB6" w:rsidP="00DE5CB6">
            <w:pPr>
              <w:spacing w:before="0" w:after="0"/>
              <w:rPr>
                <w:i/>
                <w:sz w:val="20"/>
                <w:szCs w:val="20"/>
              </w:rPr>
            </w:pPr>
            <w:r w:rsidRPr="006B6CA3">
              <w:rPr>
                <w:i/>
                <w:sz w:val="20"/>
                <w:szCs w:val="20"/>
              </w:rPr>
              <w:t>Tip: This statement could be supported by the inclusion of a quote from the organisation’s CEO to show leadership commitment to this issue.</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7A6C3F4D" w14:textId="77777777" w:rsidR="00DE5CB6" w:rsidRPr="006B6CA3" w:rsidRDefault="00DE5CB6" w:rsidP="00DE5CB6">
            <w:pPr>
              <w:spacing w:before="0" w:after="0"/>
              <w:rPr>
                <w:i/>
                <w:sz w:val="20"/>
                <w:szCs w:val="20"/>
              </w:rPr>
            </w:pPr>
            <w:r w:rsidRPr="006B6CA3">
              <w:rPr>
                <w:rFonts w:eastAsiaTheme="minorHAnsi" w:cs="Arial"/>
                <w:i/>
                <w:sz w:val="20"/>
                <w:szCs w:val="20"/>
                <w:lang w:eastAsia="en-US"/>
              </w:rPr>
              <w:t>This sexual harassment policy outlines our organis</w:t>
            </w:r>
            <w:r w:rsidR="00BE777E">
              <w:rPr>
                <w:rFonts w:eastAsiaTheme="minorHAnsi" w:cs="Arial"/>
                <w:i/>
                <w:sz w:val="20"/>
                <w:szCs w:val="20"/>
                <w:lang w:eastAsia="en-US"/>
              </w:rPr>
              <w:t>a</w:t>
            </w:r>
            <w:r w:rsidRPr="006B6CA3">
              <w:rPr>
                <w:rFonts w:eastAsiaTheme="minorHAnsi" w:cs="Arial"/>
                <w:i/>
                <w:sz w:val="20"/>
                <w:szCs w:val="20"/>
                <w:lang w:eastAsia="en-US"/>
              </w:rPr>
              <w:t xml:space="preserve">tion’s commitment to: </w:t>
            </w:r>
          </w:p>
          <w:p w14:paraId="25C56443"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 xml:space="preserve">Creating a workplace culture which is focused on equality and respect, which supports people to take bystander action and takes a zero tolerance approach to sexual harassment </w:t>
            </w:r>
          </w:p>
          <w:p w14:paraId="20A41869"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 xml:space="preserve">The prevention of sexual harassment </w:t>
            </w:r>
          </w:p>
          <w:p w14:paraId="52494537"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The establishment of a safe, supportive and fair complaints procedure</w:t>
            </w:r>
          </w:p>
        </w:tc>
      </w:tr>
      <w:tr w:rsidR="00DE5CB6" w:rsidRPr="006B6CA3" w14:paraId="71969519"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B6E87"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 xml:space="preserve">4. How our </w:t>
            </w:r>
            <w:r w:rsidR="00BE777E" w:rsidRPr="006B6CA3">
              <w:rPr>
                <w:rFonts w:eastAsiaTheme="minorHAnsi" w:cs="Arial"/>
                <w:sz w:val="20"/>
                <w:szCs w:val="20"/>
                <w:lang w:eastAsia="en-US"/>
              </w:rPr>
              <w:t>organisational</w:t>
            </w:r>
            <w:r w:rsidRPr="006B6CA3">
              <w:rPr>
                <w:rFonts w:eastAsiaTheme="minorHAnsi" w:cs="Arial"/>
                <w:sz w:val="20"/>
                <w:szCs w:val="20"/>
                <w:lang w:eastAsia="en-US"/>
              </w:rPr>
              <w:t xml:space="preserve"> commitment will be achieved</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4B5BF9CC"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Outline the steps your organisa</w:t>
            </w:r>
            <w:r w:rsidR="00BE777E">
              <w:rPr>
                <w:rFonts w:eastAsiaTheme="minorHAnsi" w:cs="Arial"/>
                <w:sz w:val="20"/>
                <w:szCs w:val="20"/>
                <w:lang w:eastAsia="en-US"/>
              </w:rPr>
              <w:t>t</w:t>
            </w:r>
            <w:r w:rsidRPr="006B6CA3">
              <w:rPr>
                <w:rFonts w:eastAsiaTheme="minorHAnsi" w:cs="Arial"/>
                <w:sz w:val="20"/>
                <w:szCs w:val="20"/>
                <w:lang w:eastAsia="en-US"/>
              </w:rPr>
              <w:t xml:space="preserve">ion will take to ensure that it achieves the aims listed in the ‘statement of commitment’. </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228AEF43" w14:textId="77777777" w:rsidR="00DE5CB6" w:rsidRPr="006B6CA3" w:rsidRDefault="00DE5CB6" w:rsidP="00DE5CB6">
            <w:pPr>
              <w:spacing w:before="0" w:after="0"/>
              <w:rPr>
                <w:i/>
                <w:sz w:val="20"/>
                <w:szCs w:val="20"/>
              </w:rPr>
            </w:pPr>
            <w:r w:rsidRPr="006B6CA3">
              <w:rPr>
                <w:i/>
                <w:sz w:val="20"/>
                <w:szCs w:val="20"/>
              </w:rPr>
              <w:t xml:space="preserve">For example: </w:t>
            </w:r>
          </w:p>
          <w:p w14:paraId="4709A33F"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 xml:space="preserve">Actively promote this workplace sexual harassment policy and ensure that all staff are encouraged to make a formal complaint if they experience sexual harassment   </w:t>
            </w:r>
          </w:p>
          <w:p w14:paraId="57C893C8"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Establish a fair complaints procedures and treat all complaints in a sensitive, timely and confidential manner</w:t>
            </w:r>
          </w:p>
          <w:p w14:paraId="44DA4F13"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t>Implement training and awareness raising strategies (such as Know Where the Line Is</w:t>
            </w:r>
            <w:r>
              <w:rPr>
                <w:i/>
                <w:sz w:val="20"/>
                <w:szCs w:val="20"/>
              </w:rPr>
              <w:t xml:space="preserve"> </w:t>
            </w:r>
            <w:hyperlink r:id="rId13" w:history="1">
              <w:r w:rsidRPr="006920E0">
                <w:rPr>
                  <w:rStyle w:val="Hyperlink"/>
                  <w:i/>
                  <w:sz w:val="20"/>
                  <w:szCs w:val="20"/>
                </w:rPr>
                <w:t>www.knowtheline.com.au</w:t>
              </w:r>
            </w:hyperlink>
            <w:r>
              <w:rPr>
                <w:i/>
                <w:sz w:val="20"/>
                <w:szCs w:val="20"/>
              </w:rPr>
              <w:t xml:space="preserve"> </w:t>
            </w:r>
            <w:r w:rsidRPr="006B6CA3">
              <w:rPr>
                <w:i/>
                <w:sz w:val="20"/>
                <w:szCs w:val="20"/>
              </w:rPr>
              <w:t>to skill staff in understanding workplace sexual harassment and the importance of bystander action</w:t>
            </w:r>
          </w:p>
          <w:p w14:paraId="06186991" w14:textId="77777777" w:rsidR="00DE5CB6" w:rsidRPr="006B6CA3" w:rsidRDefault="00DE5CB6" w:rsidP="00DE5CB6">
            <w:pPr>
              <w:pStyle w:val="ListParagraph"/>
              <w:numPr>
                <w:ilvl w:val="0"/>
                <w:numId w:val="37"/>
              </w:numPr>
              <w:spacing w:before="0" w:after="0"/>
              <w:rPr>
                <w:i/>
                <w:sz w:val="20"/>
                <w:szCs w:val="20"/>
              </w:rPr>
            </w:pPr>
            <w:r w:rsidRPr="006B6CA3">
              <w:rPr>
                <w:i/>
                <w:sz w:val="20"/>
                <w:szCs w:val="20"/>
              </w:rPr>
              <w:lastRenderedPageBreak/>
              <w:t>Ensure that staff who make a complaint about sexual harassment or take bystander action in response to sexual harassment will be protected from victimisation or negative consequences.</w:t>
            </w:r>
          </w:p>
        </w:tc>
      </w:tr>
      <w:tr w:rsidR="00DE5CB6" w:rsidRPr="006B6CA3" w14:paraId="6027E95C"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2CD7A" w14:textId="77777777" w:rsidR="00DE5CB6" w:rsidRPr="006B6CA3" w:rsidRDefault="00DE5CB6" w:rsidP="00DE5CB6">
            <w:pPr>
              <w:spacing w:before="0" w:after="0"/>
              <w:rPr>
                <w:rFonts w:eastAsiaTheme="minorHAnsi" w:cs="Arial"/>
                <w:sz w:val="20"/>
                <w:szCs w:val="20"/>
                <w:lang w:eastAsia="en-US"/>
              </w:rPr>
            </w:pPr>
            <w:r w:rsidRPr="006B6CA3">
              <w:rPr>
                <w:rFonts w:cs="Arial"/>
                <w:sz w:val="20"/>
                <w:szCs w:val="20"/>
              </w:rPr>
              <w:lastRenderedPageBreak/>
              <w:t>5. Definition of sexual harassment</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6FF1A2A6"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0F043E">
              <w:rPr>
                <w:rFonts w:cs="Arial"/>
                <w:sz w:val="20"/>
                <w:szCs w:val="20"/>
              </w:rPr>
              <w:t>Legal definition of workplace sexual harassment.</w:t>
            </w:r>
          </w:p>
          <w:p w14:paraId="23F9B8A3"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0F043E">
              <w:rPr>
                <w:rFonts w:cs="Arial"/>
                <w:sz w:val="20"/>
                <w:szCs w:val="20"/>
              </w:rPr>
              <w:t>Note that workplace sexual harassment is illegal under state/territory and Federal legislation.</w:t>
            </w:r>
          </w:p>
          <w:p w14:paraId="3E2D0248"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0F043E">
              <w:rPr>
                <w:rFonts w:cs="Arial"/>
                <w:sz w:val="20"/>
                <w:szCs w:val="20"/>
              </w:rPr>
              <w:t>Define what workplace sexual harassment is not.</w:t>
            </w:r>
          </w:p>
          <w:p w14:paraId="5FBD5F6B" w14:textId="77777777" w:rsidR="00DE5CB6" w:rsidRPr="000F043E" w:rsidRDefault="00DE5CB6" w:rsidP="00DE5CB6">
            <w:pPr>
              <w:pStyle w:val="ListParagraph"/>
              <w:numPr>
                <w:ilvl w:val="0"/>
                <w:numId w:val="42"/>
              </w:numPr>
              <w:spacing w:before="0" w:after="0"/>
              <w:ind w:left="468" w:hanging="252"/>
              <w:rPr>
                <w:rFonts w:eastAsiaTheme="minorHAnsi" w:cs="Arial"/>
                <w:sz w:val="20"/>
                <w:szCs w:val="20"/>
                <w:lang w:eastAsia="en-US"/>
              </w:rPr>
            </w:pPr>
            <w:r w:rsidRPr="000F043E">
              <w:rPr>
                <w:rFonts w:cs="Arial"/>
                <w:sz w:val="20"/>
                <w:szCs w:val="20"/>
              </w:rPr>
              <w:t xml:space="preserve">Examples of the sorts of behaviour that could constitute workplace sexual harassment. </w:t>
            </w:r>
          </w:p>
          <w:p w14:paraId="7F026ED9" w14:textId="77777777" w:rsidR="00DE5CB6" w:rsidRPr="006B6CA3" w:rsidRDefault="00DE5CB6" w:rsidP="00DE5CB6">
            <w:pPr>
              <w:spacing w:before="0" w:after="0"/>
              <w:rPr>
                <w:rFonts w:eastAsiaTheme="minorHAnsi" w:cs="Arial"/>
                <w:sz w:val="20"/>
                <w:szCs w:val="20"/>
                <w:lang w:eastAsia="en-US"/>
              </w:rPr>
            </w:pP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1B637904" w14:textId="77777777" w:rsidR="00DE5CB6" w:rsidRPr="006B6CA3" w:rsidRDefault="00DE5CB6" w:rsidP="00DE5CB6">
            <w:pPr>
              <w:pStyle w:val="VEOHRCBodytext"/>
              <w:spacing w:before="0" w:after="0"/>
              <w:rPr>
                <w:i/>
                <w:sz w:val="20"/>
                <w:szCs w:val="20"/>
                <w:lang w:val="en-GB"/>
              </w:rPr>
            </w:pPr>
            <w:r w:rsidRPr="006B6CA3">
              <w:rPr>
                <w:rFonts w:cs="Arial"/>
                <w:i/>
                <w:iCs/>
                <w:sz w:val="20"/>
                <w:szCs w:val="20"/>
              </w:rPr>
              <w:t xml:space="preserve">Sexual harassment is any unwanted, unwelcome or uninvited behaviour of a sexual nature </w:t>
            </w:r>
            <w:r w:rsidR="005810D7">
              <w:rPr>
                <w:rFonts w:cs="Arial"/>
                <w:i/>
                <w:iCs/>
                <w:sz w:val="20"/>
                <w:szCs w:val="20"/>
              </w:rPr>
              <w:t xml:space="preserve">in circumstances in </w:t>
            </w:r>
            <w:r w:rsidRPr="006B6CA3">
              <w:rPr>
                <w:rFonts w:cs="Arial"/>
                <w:i/>
                <w:iCs/>
                <w:sz w:val="20"/>
                <w:szCs w:val="20"/>
              </w:rPr>
              <w:t xml:space="preserve">which a reasonable person would have anticipated the possibility that the person being harassed would be humiliated, intimidated or offended. Sexual harassment can take many different forms – it can be obvious or indirect, repeated or one-off – and may include physical contact, verbal comments, jokes, propositions, the display of offensive material or other behaviour which creates a sexually hostile working environment. </w:t>
            </w:r>
            <w:r w:rsidRPr="006B6CA3">
              <w:rPr>
                <w:i/>
                <w:sz w:val="20"/>
                <w:szCs w:val="20"/>
                <w:lang w:val="en-GB"/>
              </w:rPr>
              <w:t>Just because someone does not object to inappropriate behaviour in the workplace at the time, it does not mean that they are consenting to the behaviour.</w:t>
            </w:r>
          </w:p>
          <w:p w14:paraId="52263D6F" w14:textId="77777777" w:rsidR="00DE5CB6" w:rsidRPr="006B6CA3" w:rsidRDefault="00DE5CB6" w:rsidP="00DE5CB6">
            <w:pPr>
              <w:spacing w:before="0" w:after="0"/>
              <w:rPr>
                <w:rFonts w:cs="Arial"/>
                <w:i/>
                <w:iCs/>
                <w:sz w:val="20"/>
                <w:szCs w:val="20"/>
              </w:rPr>
            </w:pPr>
            <w:r w:rsidRPr="006B6CA3">
              <w:rPr>
                <w:rFonts w:cs="Arial"/>
                <w:i/>
                <w:iCs/>
                <w:sz w:val="20"/>
                <w:szCs w:val="20"/>
              </w:rPr>
              <w:t xml:space="preserve"> Sexual harassment is not only inappropriate in the workplace, it is also illegal.</w:t>
            </w:r>
          </w:p>
          <w:p w14:paraId="200FA0E5" w14:textId="77777777" w:rsidR="00DE5CB6" w:rsidRPr="006B6CA3" w:rsidRDefault="00DE5CB6" w:rsidP="00DE5CB6">
            <w:pPr>
              <w:spacing w:before="0" w:after="0"/>
              <w:rPr>
                <w:rStyle w:val="Emphasis"/>
                <w:b/>
                <w:i w:val="0"/>
                <w:iCs w:val="0"/>
                <w:sz w:val="20"/>
                <w:szCs w:val="20"/>
              </w:rPr>
            </w:pPr>
            <w:r w:rsidRPr="006B6CA3">
              <w:rPr>
                <w:rFonts w:cs="Arial"/>
                <w:i/>
                <w:sz w:val="20"/>
                <w:szCs w:val="20"/>
              </w:rPr>
              <w:t>S</w:t>
            </w:r>
            <w:r w:rsidRPr="006B6CA3">
              <w:rPr>
                <w:rFonts w:cs="Arial"/>
                <w:i/>
                <w:sz w:val="20"/>
                <w:szCs w:val="20"/>
                <w:lang w:val="en"/>
              </w:rPr>
              <w:t>exual harassment is not behaviour which is based on mutual attraction, friendship and respect. If the interaction is consensual, welcome and reciprocated then it is not sexual harassment.</w:t>
            </w:r>
          </w:p>
          <w:p w14:paraId="129C354E" w14:textId="77777777" w:rsidR="00DE5CB6" w:rsidRPr="006B6CA3" w:rsidRDefault="00DE5CB6" w:rsidP="00DE5CB6">
            <w:pPr>
              <w:spacing w:before="0" w:after="0"/>
              <w:rPr>
                <w:rStyle w:val="Emphasis"/>
                <w:sz w:val="20"/>
                <w:szCs w:val="20"/>
                <w:lang w:val="en"/>
              </w:rPr>
            </w:pPr>
            <w:r w:rsidRPr="006B6CA3">
              <w:rPr>
                <w:rStyle w:val="Emphasis"/>
                <w:sz w:val="20"/>
                <w:szCs w:val="20"/>
                <w:lang w:val="en"/>
              </w:rPr>
              <w:t>The following behaviours could be considered sexual harassment in the workplace:</w:t>
            </w:r>
          </w:p>
          <w:p w14:paraId="0DB5A916" w14:textId="77777777" w:rsidR="00DE5CB6" w:rsidRPr="006B6CA3" w:rsidRDefault="00DE5CB6" w:rsidP="00DE5CB6">
            <w:pPr>
              <w:pStyle w:val="ListParagraph"/>
              <w:numPr>
                <w:ilvl w:val="0"/>
                <w:numId w:val="38"/>
              </w:numPr>
              <w:spacing w:before="0" w:after="0"/>
              <w:rPr>
                <w:rStyle w:val="Emphasis"/>
                <w:sz w:val="20"/>
                <w:szCs w:val="20"/>
                <w:lang w:val="en"/>
              </w:rPr>
            </w:pPr>
            <w:r w:rsidRPr="006B6CA3">
              <w:rPr>
                <w:rStyle w:val="Emphasis"/>
                <w:sz w:val="20"/>
                <w:szCs w:val="20"/>
                <w:lang w:val="en"/>
              </w:rPr>
              <w:t>Sexually suggestive comments or jokes</w:t>
            </w:r>
          </w:p>
          <w:p w14:paraId="0D2469DE" w14:textId="77777777" w:rsidR="00DE5CB6" w:rsidRPr="006B6CA3" w:rsidRDefault="00DE5CB6" w:rsidP="00DE5CB6">
            <w:pPr>
              <w:pStyle w:val="ListParagraph"/>
              <w:numPr>
                <w:ilvl w:val="0"/>
                <w:numId w:val="38"/>
              </w:numPr>
              <w:spacing w:before="0" w:after="0"/>
              <w:rPr>
                <w:rStyle w:val="Emphasis"/>
                <w:sz w:val="20"/>
                <w:szCs w:val="20"/>
                <w:lang w:val="en"/>
              </w:rPr>
            </w:pPr>
            <w:r w:rsidRPr="006B6CA3">
              <w:rPr>
                <w:rStyle w:val="Emphasis"/>
                <w:sz w:val="20"/>
                <w:szCs w:val="20"/>
                <w:lang w:val="en"/>
              </w:rPr>
              <w:t>Intrusive questions or inappropriate comments about your private life or physical appearance</w:t>
            </w:r>
          </w:p>
          <w:p w14:paraId="48FE17F4" w14:textId="77777777" w:rsidR="00DE5CB6" w:rsidRPr="006B6CA3" w:rsidRDefault="00DE5CB6" w:rsidP="00DE5CB6">
            <w:pPr>
              <w:pStyle w:val="ListParagraph"/>
              <w:numPr>
                <w:ilvl w:val="0"/>
                <w:numId w:val="38"/>
              </w:numPr>
              <w:spacing w:before="0" w:after="0"/>
              <w:rPr>
                <w:rStyle w:val="Emphasis"/>
                <w:sz w:val="20"/>
                <w:szCs w:val="20"/>
                <w:lang w:val="en"/>
              </w:rPr>
            </w:pPr>
            <w:r w:rsidRPr="006B6CA3">
              <w:rPr>
                <w:rStyle w:val="Emphasis"/>
                <w:sz w:val="20"/>
                <w:szCs w:val="20"/>
                <w:lang w:val="en"/>
              </w:rPr>
              <w:t>Inappropriate staring or leering</w:t>
            </w:r>
          </w:p>
          <w:p w14:paraId="56E9CF38" w14:textId="77777777" w:rsidR="00DE5CB6" w:rsidRPr="006B6CA3" w:rsidRDefault="00DE5CB6" w:rsidP="00DE5CB6">
            <w:pPr>
              <w:pStyle w:val="ListParagraph"/>
              <w:numPr>
                <w:ilvl w:val="0"/>
                <w:numId w:val="38"/>
              </w:numPr>
              <w:spacing w:before="0" w:after="0"/>
              <w:rPr>
                <w:rStyle w:val="Emphasis"/>
                <w:sz w:val="20"/>
                <w:szCs w:val="20"/>
                <w:lang w:val="en"/>
              </w:rPr>
            </w:pPr>
            <w:r w:rsidRPr="006B6CA3">
              <w:rPr>
                <w:rStyle w:val="Emphasis"/>
                <w:sz w:val="20"/>
                <w:szCs w:val="20"/>
                <w:lang w:val="en"/>
              </w:rPr>
              <w:t>Unwelcome touching, hugging, cornering or kissing and other forms of inappropriate physical contact</w:t>
            </w:r>
          </w:p>
          <w:p w14:paraId="62BF808B" w14:textId="77777777" w:rsidR="00DE5CB6" w:rsidRPr="006B6CA3" w:rsidRDefault="00DE5CB6" w:rsidP="00DE5CB6">
            <w:pPr>
              <w:pStyle w:val="ListParagraph"/>
              <w:numPr>
                <w:ilvl w:val="0"/>
                <w:numId w:val="38"/>
              </w:numPr>
              <w:spacing w:before="0" w:after="0"/>
              <w:rPr>
                <w:rStyle w:val="Emphasis"/>
                <w:sz w:val="20"/>
                <w:szCs w:val="20"/>
                <w:lang w:val="en"/>
              </w:rPr>
            </w:pPr>
            <w:r w:rsidRPr="006B6CA3">
              <w:rPr>
                <w:rStyle w:val="Emphasis"/>
                <w:sz w:val="20"/>
                <w:szCs w:val="20"/>
                <w:lang w:val="en"/>
              </w:rPr>
              <w:t>Sexually explicit text messages, images, phone calls or emails</w:t>
            </w:r>
          </w:p>
          <w:p w14:paraId="67B32F3B" w14:textId="77777777" w:rsidR="00DE5CB6" w:rsidRPr="006B6CA3" w:rsidRDefault="00DE5CB6" w:rsidP="00DE5CB6">
            <w:pPr>
              <w:spacing w:before="0" w:after="0"/>
              <w:rPr>
                <w:rFonts w:eastAsiaTheme="minorHAnsi" w:cs="Arial"/>
                <w:i/>
                <w:sz w:val="20"/>
                <w:szCs w:val="20"/>
                <w:lang w:eastAsia="en-US"/>
              </w:rPr>
            </w:pPr>
            <w:r w:rsidRPr="006B6CA3">
              <w:rPr>
                <w:rStyle w:val="Emphasis"/>
                <w:sz w:val="20"/>
                <w:szCs w:val="20"/>
                <w:lang w:val="en"/>
              </w:rPr>
              <w:t xml:space="preserve">Displays of sexually graphic material including posters, pinups, cartoons, graffiti or </w:t>
            </w:r>
            <w:r w:rsidRPr="006B6CA3">
              <w:rPr>
                <w:rStyle w:val="Emphasis"/>
                <w:sz w:val="20"/>
                <w:szCs w:val="20"/>
              </w:rPr>
              <w:t>messages left on notice boards or desks</w:t>
            </w:r>
          </w:p>
        </w:tc>
      </w:tr>
      <w:tr w:rsidR="00DE5CB6" w:rsidRPr="006B6CA3" w14:paraId="4FCB3747"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06315"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6. Roles and responsibilities</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395615B7"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6B6CA3">
              <w:rPr>
                <w:sz w:val="20"/>
                <w:szCs w:val="20"/>
              </w:rPr>
              <w:t xml:space="preserve">Include dot point roles and responsibilities of staff, management, human resources, contact </w:t>
            </w:r>
            <w:r w:rsidRPr="000F043E">
              <w:rPr>
                <w:rFonts w:cs="Arial"/>
                <w:sz w:val="20"/>
                <w:szCs w:val="20"/>
              </w:rPr>
              <w:t>officers and complaints officers.</w:t>
            </w:r>
          </w:p>
          <w:p w14:paraId="368BD556" w14:textId="77777777" w:rsidR="00DE5CB6" w:rsidRPr="006B6CA3" w:rsidRDefault="00DE5CB6" w:rsidP="00DE5CB6">
            <w:pPr>
              <w:pStyle w:val="ListParagraph"/>
              <w:numPr>
                <w:ilvl w:val="0"/>
                <w:numId w:val="42"/>
              </w:numPr>
              <w:spacing w:before="0" w:after="0"/>
              <w:ind w:left="468" w:hanging="252"/>
              <w:rPr>
                <w:rFonts w:eastAsiaTheme="minorHAnsi" w:cs="Arial"/>
                <w:sz w:val="20"/>
                <w:szCs w:val="20"/>
                <w:lang w:eastAsia="en-US"/>
              </w:rPr>
            </w:pPr>
            <w:r w:rsidRPr="000F043E">
              <w:rPr>
                <w:rFonts w:cs="Arial"/>
                <w:sz w:val="20"/>
                <w:szCs w:val="20"/>
              </w:rPr>
              <w:t>Where possible, include names and contact details for key workplace sexual harassment contacts.</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2D842580" w14:textId="77777777" w:rsidR="00DE5CB6" w:rsidRPr="006B6CA3" w:rsidRDefault="00DE5CB6" w:rsidP="00DE5CB6">
            <w:pPr>
              <w:spacing w:before="0" w:after="0"/>
              <w:rPr>
                <w:rFonts w:eastAsiaTheme="minorHAnsi" w:cs="Arial"/>
                <w:i/>
                <w:sz w:val="20"/>
                <w:szCs w:val="20"/>
                <w:lang w:eastAsia="en-US"/>
              </w:rPr>
            </w:pPr>
            <w:r w:rsidRPr="006B6CA3">
              <w:rPr>
                <w:rFonts w:eastAsiaTheme="minorHAnsi" w:cs="Arial"/>
                <w:i/>
                <w:sz w:val="20"/>
                <w:szCs w:val="20"/>
                <w:u w:val="single"/>
                <w:lang w:eastAsia="en-US"/>
              </w:rPr>
              <w:t>Staff</w:t>
            </w:r>
            <w:r w:rsidRPr="006B6CA3">
              <w:rPr>
                <w:rFonts w:eastAsiaTheme="minorHAnsi" w:cs="Arial"/>
                <w:i/>
                <w:sz w:val="20"/>
                <w:szCs w:val="20"/>
                <w:lang w:eastAsia="en-US"/>
              </w:rPr>
              <w:t xml:space="preserve"> will:</w:t>
            </w:r>
          </w:p>
          <w:p w14:paraId="419F707F" w14:textId="77777777" w:rsidR="00DE5CB6" w:rsidRPr="006B6CA3" w:rsidRDefault="00DE5CB6" w:rsidP="00DE5CB6">
            <w:pPr>
              <w:pStyle w:val="ListParagraph"/>
              <w:numPr>
                <w:ilvl w:val="0"/>
                <w:numId w:val="41"/>
              </w:numPr>
              <w:spacing w:before="0" w:after="0"/>
              <w:rPr>
                <w:rFonts w:eastAsiaTheme="minorHAnsi" w:cs="Arial"/>
                <w:i/>
                <w:sz w:val="20"/>
                <w:szCs w:val="20"/>
                <w:lang w:eastAsia="en-US"/>
              </w:rPr>
            </w:pPr>
            <w:r w:rsidRPr="006B6CA3">
              <w:rPr>
                <w:rFonts w:eastAsiaTheme="minorHAnsi" w:cs="Arial"/>
                <w:i/>
                <w:sz w:val="20"/>
                <w:szCs w:val="20"/>
                <w:lang w:eastAsia="en-US"/>
              </w:rPr>
              <w:t>Comply with the workplace sexual harassment policy</w:t>
            </w:r>
          </w:p>
          <w:p w14:paraId="1CAB9F8A" w14:textId="77777777" w:rsidR="00DE5CB6" w:rsidRPr="006B6CA3" w:rsidRDefault="00DE5CB6" w:rsidP="00DE5CB6">
            <w:pPr>
              <w:pStyle w:val="ListParagraph"/>
              <w:numPr>
                <w:ilvl w:val="0"/>
                <w:numId w:val="41"/>
              </w:numPr>
              <w:spacing w:before="0" w:after="0"/>
              <w:rPr>
                <w:rFonts w:eastAsiaTheme="minorHAnsi" w:cs="Arial"/>
                <w:i/>
                <w:sz w:val="20"/>
                <w:szCs w:val="20"/>
                <w:lang w:eastAsia="en-US"/>
              </w:rPr>
            </w:pPr>
            <w:r w:rsidRPr="006B6CA3">
              <w:rPr>
                <w:rFonts w:eastAsiaTheme="minorHAnsi" w:cs="Arial"/>
                <w:i/>
                <w:sz w:val="20"/>
                <w:szCs w:val="20"/>
                <w:lang w:eastAsia="en-US"/>
              </w:rPr>
              <w:t>Model equitable, respectful and ethical behaviours at all times</w:t>
            </w:r>
          </w:p>
          <w:p w14:paraId="7F143E15" w14:textId="77777777" w:rsidR="00DE5CB6" w:rsidRPr="006B6CA3" w:rsidRDefault="00DE5CB6" w:rsidP="00DE5CB6">
            <w:pPr>
              <w:pStyle w:val="ListParagraph"/>
              <w:numPr>
                <w:ilvl w:val="0"/>
                <w:numId w:val="41"/>
              </w:numPr>
              <w:spacing w:before="0" w:after="0"/>
              <w:rPr>
                <w:rFonts w:eastAsiaTheme="minorHAnsi" w:cs="Arial"/>
                <w:i/>
                <w:sz w:val="20"/>
                <w:szCs w:val="20"/>
                <w:lang w:eastAsia="en-US"/>
              </w:rPr>
            </w:pPr>
            <w:r w:rsidRPr="006B6CA3">
              <w:rPr>
                <w:rFonts w:eastAsiaTheme="minorHAnsi" w:cs="Arial"/>
                <w:i/>
                <w:sz w:val="20"/>
                <w:szCs w:val="20"/>
                <w:lang w:eastAsia="en-US"/>
              </w:rPr>
              <w:t>Take action to ensure they are aware of their rights and responsibilities around workplace sexual harassment</w:t>
            </w:r>
          </w:p>
          <w:p w14:paraId="469E9A5F" w14:textId="77777777" w:rsidR="00DE5CB6" w:rsidRPr="006B6CA3" w:rsidRDefault="00DE5CB6" w:rsidP="00DE5CB6">
            <w:pPr>
              <w:pStyle w:val="ListParagraph"/>
              <w:numPr>
                <w:ilvl w:val="0"/>
                <w:numId w:val="41"/>
              </w:numPr>
              <w:spacing w:before="0" w:after="0"/>
              <w:rPr>
                <w:rFonts w:eastAsiaTheme="minorHAnsi" w:cs="Arial"/>
                <w:i/>
                <w:sz w:val="20"/>
                <w:szCs w:val="20"/>
                <w:lang w:eastAsia="en-US"/>
              </w:rPr>
            </w:pPr>
            <w:r w:rsidRPr="006B6CA3">
              <w:rPr>
                <w:rFonts w:eastAsiaTheme="minorHAnsi" w:cs="Arial"/>
                <w:i/>
                <w:sz w:val="20"/>
                <w:szCs w:val="20"/>
                <w:lang w:eastAsia="en-US"/>
              </w:rPr>
              <w:t>Participate in training provided by the organisation around workplace sexual harassment and bystander action</w:t>
            </w:r>
          </w:p>
          <w:p w14:paraId="4D951A55" w14:textId="77777777" w:rsidR="00DE5CB6" w:rsidRPr="006B6CA3" w:rsidRDefault="00DE5CB6" w:rsidP="00DE5CB6">
            <w:pPr>
              <w:pStyle w:val="ListParagraph"/>
              <w:numPr>
                <w:ilvl w:val="0"/>
                <w:numId w:val="41"/>
              </w:numPr>
              <w:spacing w:before="0" w:after="0"/>
              <w:rPr>
                <w:rFonts w:eastAsiaTheme="minorHAnsi" w:cs="Arial"/>
                <w:i/>
                <w:sz w:val="20"/>
                <w:szCs w:val="20"/>
                <w:lang w:eastAsia="en-US"/>
              </w:rPr>
            </w:pPr>
            <w:r w:rsidRPr="006B6CA3">
              <w:rPr>
                <w:rFonts w:eastAsiaTheme="minorHAnsi" w:cs="Arial"/>
                <w:i/>
                <w:sz w:val="20"/>
                <w:szCs w:val="20"/>
                <w:lang w:eastAsia="en-US"/>
              </w:rPr>
              <w:t xml:space="preserve">Take bystander action (if safe to do so) if they see or hear about sexual harassment in the workplace </w:t>
            </w:r>
          </w:p>
          <w:p w14:paraId="6C201754" w14:textId="77777777" w:rsidR="00DE5CB6" w:rsidRPr="006B6CA3" w:rsidRDefault="00DE5CB6" w:rsidP="00DE5CB6">
            <w:pPr>
              <w:spacing w:before="0" w:after="0"/>
              <w:rPr>
                <w:rFonts w:eastAsiaTheme="minorHAnsi" w:cs="Arial"/>
                <w:i/>
                <w:sz w:val="20"/>
                <w:szCs w:val="20"/>
                <w:lang w:eastAsia="en-US"/>
              </w:rPr>
            </w:pPr>
            <w:r w:rsidRPr="006B6CA3">
              <w:rPr>
                <w:rFonts w:eastAsiaTheme="minorHAnsi" w:cs="Arial"/>
                <w:i/>
                <w:sz w:val="20"/>
                <w:szCs w:val="20"/>
                <w:u w:val="single"/>
                <w:lang w:eastAsia="en-US"/>
              </w:rPr>
              <w:lastRenderedPageBreak/>
              <w:t>Managers/supervisors</w:t>
            </w:r>
            <w:r w:rsidRPr="006B6CA3">
              <w:rPr>
                <w:rFonts w:eastAsiaTheme="minorHAnsi" w:cs="Arial"/>
                <w:i/>
                <w:sz w:val="20"/>
                <w:szCs w:val="20"/>
                <w:lang w:eastAsia="en-US"/>
              </w:rPr>
              <w:t xml:space="preserve"> will:</w:t>
            </w:r>
          </w:p>
          <w:p w14:paraId="262BD34D"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Model equitable, respectful and ethical behaviours at all times</w:t>
            </w:r>
          </w:p>
          <w:p w14:paraId="7A55E618"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Proactively monitor the workplace environment and culture to ensure that staff are treated equitably and respectfully</w:t>
            </w:r>
          </w:p>
          <w:p w14:paraId="4C691E9B"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Promote the sexual harassment policy in their work areas, ensuring that all staff know how to access the policy</w:t>
            </w:r>
          </w:p>
          <w:p w14:paraId="77C7EBC2"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 xml:space="preserve">Promote strategies that support the prevention of workplace sexual harassment and encourage staff to take bystander action (for example </w:t>
            </w:r>
            <w:hyperlink r:id="rId14" w:history="1">
              <w:r w:rsidRPr="006B6CA3">
                <w:rPr>
                  <w:rStyle w:val="Hyperlink"/>
                  <w:rFonts w:eastAsiaTheme="minorHAnsi" w:cs="Arial"/>
                  <w:i/>
                  <w:sz w:val="20"/>
                  <w:szCs w:val="20"/>
                  <w:lang w:eastAsia="en-US"/>
                </w:rPr>
                <w:t>www.knowtheline.com.au</w:t>
              </w:r>
            </w:hyperlink>
            <w:r w:rsidRPr="006B6CA3">
              <w:rPr>
                <w:rFonts w:eastAsiaTheme="minorHAnsi" w:cs="Arial"/>
                <w:i/>
                <w:sz w:val="20"/>
                <w:szCs w:val="20"/>
                <w:lang w:eastAsia="en-US"/>
              </w:rPr>
              <w:t xml:space="preserve">) </w:t>
            </w:r>
          </w:p>
          <w:p w14:paraId="4BAC6E4F"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Treating all complaints and incidents of workplace sexual harassment seriously and take immediate action where a complaint is made</w:t>
            </w:r>
          </w:p>
          <w:p w14:paraId="311097DB" w14:textId="77777777" w:rsidR="00DE5CB6" w:rsidRPr="006B6CA3" w:rsidRDefault="00DE5CB6" w:rsidP="00DE5CB6">
            <w:pPr>
              <w:pStyle w:val="ListParagraph"/>
              <w:numPr>
                <w:ilvl w:val="0"/>
                <w:numId w:val="39"/>
              </w:numPr>
              <w:spacing w:before="0" w:after="0"/>
              <w:rPr>
                <w:rFonts w:eastAsiaTheme="minorHAnsi" w:cs="Arial"/>
                <w:i/>
                <w:sz w:val="20"/>
                <w:szCs w:val="20"/>
                <w:lang w:eastAsia="en-US"/>
              </w:rPr>
            </w:pPr>
            <w:r w:rsidRPr="006B6CA3">
              <w:rPr>
                <w:rFonts w:eastAsiaTheme="minorHAnsi" w:cs="Arial"/>
                <w:i/>
                <w:sz w:val="20"/>
                <w:szCs w:val="20"/>
                <w:lang w:eastAsia="en-US"/>
              </w:rPr>
              <w:t>Ensure all staff (including bystanders) have access to support if required</w:t>
            </w:r>
          </w:p>
          <w:p w14:paraId="649E6727" w14:textId="77777777" w:rsidR="00DE5CB6" w:rsidRPr="006B6CA3" w:rsidRDefault="005F50A8" w:rsidP="00DE5CB6">
            <w:pPr>
              <w:spacing w:before="0" w:after="0"/>
              <w:rPr>
                <w:rFonts w:eastAsiaTheme="minorHAnsi" w:cs="Arial"/>
                <w:i/>
                <w:sz w:val="20"/>
                <w:szCs w:val="20"/>
                <w:lang w:eastAsia="en-US"/>
              </w:rPr>
            </w:pPr>
            <w:r>
              <w:rPr>
                <w:rFonts w:eastAsiaTheme="minorHAnsi" w:cs="Arial"/>
                <w:i/>
                <w:sz w:val="20"/>
                <w:szCs w:val="20"/>
                <w:u w:val="single"/>
                <w:lang w:eastAsia="en-US"/>
              </w:rPr>
              <w:t>Owners/o</w:t>
            </w:r>
            <w:r w:rsidR="00DA6F21">
              <w:rPr>
                <w:rFonts w:eastAsiaTheme="minorHAnsi" w:cs="Arial"/>
                <w:i/>
                <w:sz w:val="20"/>
                <w:szCs w:val="20"/>
                <w:u w:val="single"/>
                <w:lang w:eastAsia="en-US"/>
              </w:rPr>
              <w:t>p</w:t>
            </w:r>
            <w:r>
              <w:rPr>
                <w:rFonts w:eastAsiaTheme="minorHAnsi" w:cs="Arial"/>
                <w:i/>
                <w:sz w:val="20"/>
                <w:szCs w:val="20"/>
                <w:u w:val="single"/>
                <w:lang w:eastAsia="en-US"/>
              </w:rPr>
              <w:t>e</w:t>
            </w:r>
            <w:r w:rsidR="00DA6F21">
              <w:rPr>
                <w:rFonts w:eastAsiaTheme="minorHAnsi" w:cs="Arial"/>
                <w:i/>
                <w:sz w:val="20"/>
                <w:szCs w:val="20"/>
                <w:u w:val="single"/>
                <w:lang w:eastAsia="en-US"/>
              </w:rPr>
              <w:t>rators</w:t>
            </w:r>
            <w:r w:rsidR="00DE5CB6" w:rsidRPr="006B6CA3">
              <w:rPr>
                <w:rFonts w:eastAsiaTheme="minorHAnsi" w:cs="Arial"/>
                <w:i/>
                <w:sz w:val="20"/>
                <w:szCs w:val="20"/>
                <w:lang w:eastAsia="en-US"/>
              </w:rPr>
              <w:t xml:space="preserve"> will:</w:t>
            </w:r>
          </w:p>
          <w:p w14:paraId="2BE81EA8" w14:textId="77777777" w:rsidR="00DE5CB6" w:rsidRPr="006B6CA3" w:rsidRDefault="00DE5CB6" w:rsidP="00DE5CB6">
            <w:pPr>
              <w:pStyle w:val="ListParagraph"/>
              <w:numPr>
                <w:ilvl w:val="0"/>
                <w:numId w:val="40"/>
              </w:numPr>
              <w:spacing w:before="0" w:after="0"/>
              <w:rPr>
                <w:rFonts w:eastAsiaTheme="minorHAnsi" w:cs="Arial"/>
                <w:i/>
                <w:sz w:val="20"/>
                <w:szCs w:val="20"/>
                <w:lang w:eastAsia="en-US"/>
              </w:rPr>
            </w:pPr>
            <w:r w:rsidRPr="006B6CA3">
              <w:rPr>
                <w:rFonts w:eastAsiaTheme="minorHAnsi" w:cs="Arial"/>
                <w:i/>
                <w:sz w:val="20"/>
                <w:szCs w:val="20"/>
                <w:lang w:eastAsia="en-US"/>
              </w:rPr>
              <w:t>Monitor the effectiveness of the sexual harassment policy</w:t>
            </w:r>
          </w:p>
          <w:p w14:paraId="02ECE48F" w14:textId="77777777" w:rsidR="00DE5CB6" w:rsidRPr="006B6CA3" w:rsidRDefault="00DE5CB6" w:rsidP="00DE5CB6">
            <w:pPr>
              <w:pStyle w:val="ListParagraph"/>
              <w:numPr>
                <w:ilvl w:val="0"/>
                <w:numId w:val="40"/>
              </w:numPr>
              <w:spacing w:before="0" w:after="0"/>
              <w:rPr>
                <w:rFonts w:eastAsiaTheme="minorHAnsi" w:cs="Arial"/>
                <w:i/>
                <w:sz w:val="20"/>
                <w:szCs w:val="20"/>
                <w:lang w:eastAsia="en-US"/>
              </w:rPr>
            </w:pPr>
            <w:r w:rsidRPr="006B6CA3">
              <w:rPr>
                <w:rFonts w:eastAsiaTheme="minorHAnsi" w:cs="Arial"/>
                <w:i/>
                <w:sz w:val="20"/>
                <w:szCs w:val="20"/>
                <w:lang w:eastAsia="en-US"/>
              </w:rPr>
              <w:t>Ensure the information within the policy  is relevant and up to date</w:t>
            </w:r>
          </w:p>
          <w:p w14:paraId="5508E70A" w14:textId="77777777" w:rsidR="00DE5CB6" w:rsidRPr="006B6CA3" w:rsidRDefault="00DE5CB6" w:rsidP="00DE5CB6">
            <w:pPr>
              <w:pStyle w:val="ListParagraph"/>
              <w:numPr>
                <w:ilvl w:val="0"/>
                <w:numId w:val="40"/>
              </w:numPr>
              <w:spacing w:before="0" w:after="0"/>
              <w:rPr>
                <w:rFonts w:eastAsiaTheme="minorHAnsi" w:cs="Arial"/>
                <w:i/>
                <w:sz w:val="20"/>
                <w:szCs w:val="20"/>
                <w:lang w:eastAsia="en-US"/>
              </w:rPr>
            </w:pPr>
            <w:r w:rsidRPr="006B6CA3">
              <w:rPr>
                <w:rFonts w:eastAsiaTheme="minorHAnsi" w:cs="Arial"/>
                <w:i/>
                <w:sz w:val="20"/>
                <w:szCs w:val="20"/>
                <w:lang w:eastAsia="en-US"/>
              </w:rPr>
              <w:t>Ensure that staff are provided with training to support them to know what sexual harassment looks like and how to take bystander action</w:t>
            </w:r>
          </w:p>
          <w:p w14:paraId="5194411A" w14:textId="77777777" w:rsidR="00DE5CB6" w:rsidRPr="006B6CA3" w:rsidRDefault="00DE5CB6" w:rsidP="00DE5CB6">
            <w:pPr>
              <w:pStyle w:val="ListParagraph"/>
              <w:numPr>
                <w:ilvl w:val="0"/>
                <w:numId w:val="40"/>
              </w:numPr>
              <w:spacing w:before="0" w:after="0"/>
              <w:rPr>
                <w:rFonts w:eastAsiaTheme="minorHAnsi" w:cs="Arial"/>
                <w:i/>
                <w:sz w:val="20"/>
                <w:szCs w:val="20"/>
                <w:lang w:eastAsia="en-US"/>
              </w:rPr>
            </w:pPr>
            <w:r w:rsidRPr="006B6CA3">
              <w:rPr>
                <w:rFonts w:eastAsiaTheme="minorHAnsi" w:cs="Arial"/>
                <w:i/>
                <w:sz w:val="20"/>
                <w:szCs w:val="20"/>
                <w:lang w:eastAsia="en-US"/>
              </w:rPr>
              <w:t>Ensure managers are provided with training on the sexual harassment policy, complaints process and mechanisms to support staff to take bystander action</w:t>
            </w:r>
          </w:p>
          <w:p w14:paraId="3F926474" w14:textId="77777777" w:rsidR="00DE5CB6" w:rsidRPr="006B6CA3" w:rsidRDefault="00DE5CB6" w:rsidP="00DE5CB6">
            <w:pPr>
              <w:pStyle w:val="ListParagraph"/>
              <w:numPr>
                <w:ilvl w:val="0"/>
                <w:numId w:val="40"/>
              </w:numPr>
              <w:spacing w:before="0" w:after="0"/>
              <w:rPr>
                <w:rFonts w:eastAsiaTheme="minorHAnsi" w:cs="Arial"/>
                <w:i/>
                <w:sz w:val="20"/>
                <w:szCs w:val="20"/>
                <w:lang w:eastAsia="en-US"/>
              </w:rPr>
            </w:pPr>
            <w:r w:rsidRPr="006B6CA3">
              <w:rPr>
                <w:rFonts w:eastAsiaTheme="minorHAnsi" w:cs="Arial"/>
                <w:i/>
                <w:sz w:val="20"/>
                <w:szCs w:val="20"/>
                <w:lang w:eastAsia="en-US"/>
              </w:rPr>
              <w:t>Promote the policy throughout the organisation</w:t>
            </w:r>
          </w:p>
          <w:p w14:paraId="6E248018" w14:textId="77777777" w:rsidR="00DE5CB6" w:rsidRPr="006B6CA3" w:rsidRDefault="00DE5CB6" w:rsidP="00DE5CB6">
            <w:pPr>
              <w:pStyle w:val="VEOHRCListBullet"/>
              <w:numPr>
                <w:ilvl w:val="0"/>
                <w:numId w:val="0"/>
              </w:numPr>
              <w:spacing w:after="0" w:line="240" w:lineRule="auto"/>
              <w:rPr>
                <w:i/>
                <w:sz w:val="20"/>
                <w:szCs w:val="20"/>
                <w:lang w:val="en-GB"/>
              </w:rPr>
            </w:pPr>
            <w:r w:rsidRPr="006B6CA3">
              <w:rPr>
                <w:rFonts w:eastAsiaTheme="minorHAnsi" w:cs="Arial"/>
                <w:i/>
                <w:sz w:val="20"/>
                <w:szCs w:val="20"/>
                <w:u w:val="single"/>
                <w:lang w:eastAsia="en-US"/>
              </w:rPr>
              <w:t>Contact officers</w:t>
            </w:r>
            <w:r w:rsidRPr="006B6CA3">
              <w:rPr>
                <w:rFonts w:eastAsiaTheme="minorHAnsi" w:cs="Arial"/>
                <w:i/>
                <w:sz w:val="20"/>
                <w:szCs w:val="20"/>
                <w:lang w:eastAsia="en-US"/>
              </w:rPr>
              <w:t xml:space="preserve"> are available to support staff who are experiencing workplace sexual harassment or who need support to take bystander action. </w:t>
            </w:r>
            <w:r w:rsidRPr="006B6CA3">
              <w:rPr>
                <w:i/>
                <w:sz w:val="20"/>
                <w:szCs w:val="20"/>
                <w:lang w:val="en-GB"/>
              </w:rPr>
              <w:t xml:space="preserve">Contact officers are staff members who have been trained to provide confidential and impartial information and support to help staff make an informed decision about how to try to resolve an issue. </w:t>
            </w:r>
            <w:r w:rsidRPr="006B6CA3">
              <w:rPr>
                <w:rFonts w:eastAsiaTheme="minorHAnsi" w:cs="Arial"/>
                <w:i/>
                <w:sz w:val="20"/>
                <w:szCs w:val="20"/>
                <w:lang w:eastAsia="en-US"/>
              </w:rPr>
              <w:t>Contact officers cannot provide legal advice or resolve complaints, however they can act as a support person to someone experiencing harassment or a bystander, and can provide information relating to external support services and organisational policies and procedures. Contact officers are also able to attend mediation sessions or complaints meetings as a support person.</w:t>
            </w:r>
          </w:p>
          <w:p w14:paraId="0952FD47" w14:textId="77777777" w:rsidR="00DE5CB6" w:rsidRPr="006B6CA3" w:rsidRDefault="00DE5CB6" w:rsidP="00DE5CB6">
            <w:pPr>
              <w:spacing w:before="0" w:after="0"/>
              <w:rPr>
                <w:rFonts w:eastAsiaTheme="minorHAnsi" w:cs="Arial"/>
                <w:i/>
                <w:sz w:val="20"/>
                <w:szCs w:val="20"/>
                <w:lang w:eastAsia="en-US"/>
              </w:rPr>
            </w:pPr>
            <w:r w:rsidRPr="006B6CA3">
              <w:rPr>
                <w:rFonts w:eastAsiaTheme="minorHAnsi" w:cs="Arial"/>
                <w:i/>
                <w:sz w:val="20"/>
                <w:szCs w:val="20"/>
                <w:u w:val="single"/>
                <w:lang w:eastAsia="en-US"/>
              </w:rPr>
              <w:t>Complaints officers</w:t>
            </w:r>
            <w:r w:rsidRPr="006B6CA3">
              <w:rPr>
                <w:rFonts w:eastAsiaTheme="minorHAnsi" w:cs="Arial"/>
                <w:i/>
                <w:sz w:val="20"/>
                <w:szCs w:val="20"/>
                <w:lang w:eastAsia="en-US"/>
              </w:rPr>
              <w:t xml:space="preserve"> are responsible for investigating all complaints of workplace sexual harassment, including conducting interviews with staff and providing advice to Human Resources or managers/supervisors on the outcome of the complaint and any disciplinary measures in response to a complaint. Complaints  officers are impartial and will not have any direct relationship with the staff members involved in the complaint, either as a line manager or otherwise.</w:t>
            </w:r>
          </w:p>
        </w:tc>
      </w:tr>
      <w:tr w:rsidR="00DE5CB6" w:rsidRPr="006B6CA3" w14:paraId="0FB9CE41"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47842"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lastRenderedPageBreak/>
              <w:t>7. Supporting bystander action</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2656512C"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6B6CA3">
              <w:rPr>
                <w:rFonts w:eastAsiaTheme="minorHAnsi" w:cs="Arial"/>
                <w:sz w:val="20"/>
                <w:szCs w:val="20"/>
                <w:lang w:eastAsia="en-US"/>
              </w:rPr>
              <w:t xml:space="preserve">Encourage </w:t>
            </w:r>
            <w:r w:rsidRPr="000F043E">
              <w:rPr>
                <w:rFonts w:cs="Arial"/>
                <w:sz w:val="20"/>
                <w:szCs w:val="20"/>
              </w:rPr>
              <w:t>staff to take bystander action if they see or hear about workplace sexual harassment.</w:t>
            </w:r>
          </w:p>
          <w:p w14:paraId="5874CC9D" w14:textId="77777777" w:rsidR="00DE5CB6" w:rsidRPr="000F043E" w:rsidRDefault="00DE5CB6" w:rsidP="00DE5CB6">
            <w:pPr>
              <w:pStyle w:val="ListParagraph"/>
              <w:numPr>
                <w:ilvl w:val="0"/>
                <w:numId w:val="42"/>
              </w:numPr>
              <w:spacing w:before="0" w:after="0"/>
              <w:ind w:left="468" w:hanging="252"/>
              <w:rPr>
                <w:rFonts w:cs="Arial"/>
                <w:sz w:val="20"/>
                <w:szCs w:val="20"/>
              </w:rPr>
            </w:pPr>
            <w:r w:rsidRPr="000F043E">
              <w:rPr>
                <w:rFonts w:cs="Arial"/>
                <w:sz w:val="20"/>
                <w:szCs w:val="20"/>
              </w:rPr>
              <w:t>Include practical suggestions about the types of bystander action staff can take.</w:t>
            </w:r>
          </w:p>
          <w:p w14:paraId="13DA95C1" w14:textId="77777777" w:rsidR="00DE5CB6" w:rsidRPr="006B6CA3" w:rsidRDefault="00DE5CB6" w:rsidP="00DE5CB6">
            <w:pPr>
              <w:pStyle w:val="ListParagraph"/>
              <w:numPr>
                <w:ilvl w:val="0"/>
                <w:numId w:val="42"/>
              </w:numPr>
              <w:spacing w:before="0" w:after="0"/>
              <w:ind w:left="468" w:hanging="252"/>
              <w:rPr>
                <w:rFonts w:eastAsiaTheme="minorHAnsi" w:cs="Arial"/>
                <w:sz w:val="20"/>
                <w:szCs w:val="20"/>
                <w:lang w:eastAsia="en-US"/>
              </w:rPr>
            </w:pPr>
            <w:r w:rsidRPr="000F043E">
              <w:rPr>
                <w:rFonts w:cs="Arial"/>
                <w:sz w:val="20"/>
                <w:szCs w:val="20"/>
              </w:rPr>
              <w:t>Note that victimisation as a result of taking bystander action is illegal and will not be tolerated.</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43AFC41C" w14:textId="77777777" w:rsidR="00DE5CB6" w:rsidRDefault="00DE5CB6" w:rsidP="00DE5CB6">
            <w:pPr>
              <w:spacing w:before="0" w:after="0"/>
              <w:rPr>
                <w:rFonts w:eastAsiaTheme="minorHAnsi" w:cs="Arial"/>
                <w:i/>
                <w:sz w:val="20"/>
                <w:szCs w:val="20"/>
                <w:lang w:eastAsia="en-US"/>
              </w:rPr>
            </w:pPr>
            <w:r w:rsidRPr="006B6CA3">
              <w:rPr>
                <w:rFonts w:eastAsiaTheme="minorHAnsi" w:cs="Arial"/>
                <w:i/>
                <w:sz w:val="20"/>
                <w:szCs w:val="20"/>
                <w:lang w:eastAsia="en-US"/>
              </w:rPr>
              <w:t xml:space="preserve">In order to promote a safe, equitable and respectful workplace, this </w:t>
            </w:r>
            <w:r>
              <w:rPr>
                <w:rFonts w:eastAsiaTheme="minorHAnsi" w:cs="Arial"/>
                <w:i/>
                <w:sz w:val="20"/>
                <w:szCs w:val="20"/>
                <w:lang w:eastAsia="en-US"/>
              </w:rPr>
              <w:t>organisation</w:t>
            </w:r>
            <w:r w:rsidRPr="006B6CA3">
              <w:rPr>
                <w:rFonts w:eastAsiaTheme="minorHAnsi" w:cs="Arial"/>
                <w:i/>
                <w:sz w:val="20"/>
                <w:szCs w:val="20"/>
                <w:lang w:eastAsia="en-US"/>
              </w:rPr>
              <w:t xml:space="preserve"> encourages all staff to take action if they witness or hear about workplace sexual harassment.</w:t>
            </w:r>
          </w:p>
          <w:p w14:paraId="49034C73" w14:textId="77777777" w:rsidR="00DE5CB6" w:rsidRPr="00141429" w:rsidRDefault="00DE5CB6" w:rsidP="00DE5CB6">
            <w:pPr>
              <w:pStyle w:val="ListParagraph"/>
              <w:numPr>
                <w:ilvl w:val="0"/>
                <w:numId w:val="43"/>
              </w:numPr>
              <w:rPr>
                <w:rFonts w:eastAsiaTheme="minorHAnsi" w:cs="Arial"/>
                <w:i/>
                <w:sz w:val="20"/>
                <w:szCs w:val="20"/>
                <w:lang w:eastAsia="en-US"/>
              </w:rPr>
            </w:pPr>
            <w:r w:rsidRPr="00141429">
              <w:rPr>
                <w:rFonts w:eastAsiaTheme="minorHAnsi" w:cs="Arial"/>
                <w:i/>
                <w:sz w:val="20"/>
                <w:szCs w:val="20"/>
                <w:lang w:eastAsia="en-US"/>
              </w:rPr>
              <w:t>See: Know where the line is. If you see something or hear something that makes you feel uncomfortable, don’t ignore it.</w:t>
            </w:r>
          </w:p>
          <w:p w14:paraId="1E98AF4C" w14:textId="77777777" w:rsidR="00DE5CB6" w:rsidRPr="00141429" w:rsidRDefault="00DE5CB6" w:rsidP="00DE5CB6">
            <w:pPr>
              <w:pStyle w:val="ListParagraph"/>
              <w:numPr>
                <w:ilvl w:val="0"/>
                <w:numId w:val="43"/>
              </w:numPr>
              <w:rPr>
                <w:rFonts w:eastAsiaTheme="minorHAnsi" w:cs="Arial"/>
                <w:i/>
                <w:sz w:val="20"/>
                <w:szCs w:val="20"/>
                <w:lang w:eastAsia="en-US"/>
              </w:rPr>
            </w:pPr>
            <w:r w:rsidRPr="00141429">
              <w:rPr>
                <w:rFonts w:eastAsiaTheme="minorHAnsi" w:cs="Arial"/>
                <w:i/>
                <w:sz w:val="20"/>
                <w:szCs w:val="20"/>
                <w:lang w:eastAsia="en-US"/>
              </w:rPr>
              <w:t>Talk: It takes courage to speak up. Talk with your boss, your colleagues or with the person who is crossing the line.  </w:t>
            </w:r>
          </w:p>
          <w:p w14:paraId="6289B014" w14:textId="77777777" w:rsidR="00DE5CB6" w:rsidRPr="00141429" w:rsidRDefault="00DE5CB6" w:rsidP="00DE5CB6">
            <w:pPr>
              <w:pStyle w:val="ListParagraph"/>
              <w:numPr>
                <w:ilvl w:val="0"/>
                <w:numId w:val="43"/>
              </w:numPr>
              <w:rPr>
                <w:rFonts w:eastAsiaTheme="minorHAnsi" w:cs="Arial"/>
                <w:i/>
                <w:sz w:val="20"/>
                <w:szCs w:val="20"/>
                <w:lang w:eastAsia="en-US"/>
              </w:rPr>
            </w:pPr>
            <w:r w:rsidRPr="00141429">
              <w:rPr>
                <w:rFonts w:eastAsiaTheme="minorHAnsi" w:cs="Arial"/>
                <w:i/>
                <w:sz w:val="20"/>
                <w:szCs w:val="20"/>
                <w:lang w:eastAsia="en-US"/>
              </w:rPr>
              <w:t>Support: Don’t underestimate the power of support. It can help a colleague stand up and take action</w:t>
            </w:r>
            <w:r w:rsidRPr="00141429">
              <w:rPr>
                <w:lang w:val="en-US"/>
              </w:rPr>
              <w:t>.</w:t>
            </w:r>
          </w:p>
          <w:p w14:paraId="5734D551" w14:textId="77777777" w:rsidR="00DE5CB6" w:rsidRDefault="00DE5CB6" w:rsidP="00DE5CB6">
            <w:pPr>
              <w:spacing w:before="0" w:after="0"/>
              <w:rPr>
                <w:rFonts w:eastAsiaTheme="minorHAnsi" w:cs="Arial"/>
                <w:i/>
                <w:sz w:val="20"/>
                <w:szCs w:val="20"/>
                <w:lang w:eastAsia="en-US"/>
              </w:rPr>
            </w:pPr>
            <w:r w:rsidRPr="006B6CA3">
              <w:rPr>
                <w:rFonts w:eastAsiaTheme="minorHAnsi" w:cs="Arial"/>
                <w:i/>
                <w:sz w:val="20"/>
                <w:szCs w:val="20"/>
                <w:lang w:eastAsia="en-US"/>
              </w:rPr>
              <w:t xml:space="preserve">For information about the sorts of bystander action staff can take, see </w:t>
            </w:r>
            <w:hyperlink r:id="rId15" w:history="1">
              <w:r w:rsidRPr="006B6CA3">
                <w:rPr>
                  <w:rStyle w:val="Hyperlink"/>
                  <w:rFonts w:eastAsiaTheme="minorHAnsi" w:cs="Arial"/>
                  <w:i/>
                  <w:sz w:val="20"/>
                  <w:szCs w:val="20"/>
                  <w:lang w:eastAsia="en-US"/>
                </w:rPr>
                <w:t>www.knowtheline.com.au</w:t>
              </w:r>
            </w:hyperlink>
            <w:r w:rsidRPr="006B6CA3">
              <w:rPr>
                <w:rFonts w:eastAsiaTheme="minorHAnsi" w:cs="Arial"/>
                <w:i/>
                <w:sz w:val="20"/>
                <w:szCs w:val="20"/>
                <w:lang w:eastAsia="en-US"/>
              </w:rPr>
              <w:t xml:space="preserve"> </w:t>
            </w:r>
          </w:p>
          <w:p w14:paraId="20E86D67" w14:textId="77777777" w:rsidR="00DE5CB6" w:rsidRPr="006B6CA3" w:rsidRDefault="00DE5CB6" w:rsidP="00DE5CB6">
            <w:pPr>
              <w:spacing w:before="0" w:after="0"/>
              <w:rPr>
                <w:rFonts w:eastAsiaTheme="minorHAnsi" w:cs="Arial"/>
                <w:i/>
                <w:sz w:val="20"/>
                <w:szCs w:val="20"/>
                <w:lang w:eastAsia="en-US"/>
              </w:rPr>
            </w:pPr>
          </w:p>
        </w:tc>
      </w:tr>
      <w:tr w:rsidR="00DE5CB6" w:rsidRPr="006B6CA3" w14:paraId="709DF50F"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A522D"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8. Consequences of breaching the policy</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009F7BE4"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Outline the possible consequences for staff who breach this policy, ensuring that this section refers to the complaints process.</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016090C1" w14:textId="77777777" w:rsidR="00DE5CB6" w:rsidRPr="006B6CA3" w:rsidRDefault="00DE5CB6" w:rsidP="00DE5CB6">
            <w:pPr>
              <w:spacing w:before="0" w:after="0"/>
              <w:rPr>
                <w:rFonts w:eastAsiaTheme="minorHAnsi" w:cs="Arial"/>
                <w:i/>
                <w:sz w:val="20"/>
                <w:szCs w:val="20"/>
                <w:lang w:eastAsia="en-US"/>
              </w:rPr>
            </w:pPr>
            <w:r w:rsidRPr="006B6CA3">
              <w:rPr>
                <w:i/>
                <w:sz w:val="20"/>
                <w:szCs w:val="20"/>
              </w:rPr>
              <w:t>Depending on the severity of the case, this might include making an apology, counselling, transfer, dismissal or demotion.</w:t>
            </w:r>
          </w:p>
        </w:tc>
      </w:tr>
      <w:tr w:rsidR="00DE5CB6" w:rsidRPr="006B6CA3" w14:paraId="19DF436C"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F2795"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9. How to make a complaint</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042E7CA3"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Outline each stage of the complaints process, including timelines and contact details for relevant staff (if required).</w:t>
            </w: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06703649" w14:textId="77777777" w:rsidR="00DE5CB6" w:rsidRPr="006B6CA3" w:rsidRDefault="00DE5CB6" w:rsidP="00DE5CB6">
            <w:pPr>
              <w:spacing w:before="0" w:after="0"/>
              <w:rPr>
                <w:rFonts w:eastAsiaTheme="minorHAnsi" w:cs="Arial"/>
                <w:i/>
                <w:sz w:val="20"/>
                <w:szCs w:val="20"/>
                <w:lang w:eastAsia="en-US"/>
              </w:rPr>
            </w:pPr>
            <w:r w:rsidRPr="006B6CA3">
              <w:rPr>
                <w:rFonts w:eastAsiaTheme="minorHAnsi" w:cs="Arial"/>
                <w:i/>
                <w:sz w:val="20"/>
                <w:szCs w:val="20"/>
                <w:lang w:eastAsia="en-US"/>
              </w:rPr>
              <w:t xml:space="preserve">For advice about developing an effective complaints procedures, see </w:t>
            </w:r>
            <w:hyperlink r:id="rId16" w:history="1">
              <w:r w:rsidRPr="006B6CA3">
                <w:rPr>
                  <w:rStyle w:val="Hyperlink"/>
                  <w:rFonts w:eastAsiaTheme="minorHAnsi" w:cs="Arial"/>
                  <w:i/>
                  <w:sz w:val="20"/>
                  <w:szCs w:val="20"/>
                  <w:lang w:eastAsia="en-US"/>
                </w:rPr>
                <w:t>Ending workplace sexual harassment: A resource for small, medium and large businesses</w:t>
              </w:r>
            </w:hyperlink>
            <w:r w:rsidRPr="006B6CA3">
              <w:rPr>
                <w:rFonts w:eastAsiaTheme="minorHAnsi" w:cs="Arial"/>
                <w:i/>
                <w:sz w:val="20"/>
                <w:szCs w:val="20"/>
                <w:lang w:eastAsia="en-US"/>
              </w:rPr>
              <w:t xml:space="preserve"> which outl</w:t>
            </w:r>
            <w:r w:rsidR="000A391D">
              <w:rPr>
                <w:rFonts w:eastAsiaTheme="minorHAnsi" w:cs="Arial"/>
                <w:i/>
                <w:sz w:val="20"/>
                <w:szCs w:val="20"/>
                <w:lang w:eastAsia="en-US"/>
              </w:rPr>
              <w:t>ines key steps employers should</w:t>
            </w:r>
            <w:r w:rsidRPr="006B6CA3">
              <w:rPr>
                <w:rFonts w:eastAsiaTheme="minorHAnsi" w:cs="Arial"/>
                <w:i/>
                <w:sz w:val="20"/>
                <w:szCs w:val="20"/>
                <w:lang w:eastAsia="en-US"/>
              </w:rPr>
              <w:t xml:space="preserve"> take when developing a fair and effective complaints process.</w:t>
            </w:r>
          </w:p>
        </w:tc>
      </w:tr>
      <w:tr w:rsidR="00DE5CB6" w:rsidRPr="006B6CA3" w14:paraId="3F6C494D" w14:textId="77777777" w:rsidTr="00DE5CB6">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42DA"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10. Additional information, support and advice</w:t>
            </w:r>
          </w:p>
        </w:tc>
        <w:tc>
          <w:tcPr>
            <w:tcW w:w="3996" w:type="dxa"/>
            <w:tcBorders>
              <w:top w:val="nil"/>
              <w:left w:val="nil"/>
              <w:bottom w:val="single" w:sz="8" w:space="0" w:color="auto"/>
              <w:right w:val="single" w:sz="8" w:space="0" w:color="auto"/>
            </w:tcBorders>
            <w:tcMar>
              <w:top w:w="0" w:type="dxa"/>
              <w:left w:w="108" w:type="dxa"/>
              <w:bottom w:w="0" w:type="dxa"/>
              <w:right w:w="108" w:type="dxa"/>
            </w:tcMar>
          </w:tcPr>
          <w:p w14:paraId="61537D02" w14:textId="77777777" w:rsidR="00DE5CB6" w:rsidRPr="006B6CA3" w:rsidRDefault="00DE5CB6" w:rsidP="00DE5CB6">
            <w:pPr>
              <w:spacing w:before="0" w:after="0"/>
              <w:rPr>
                <w:rFonts w:eastAsiaTheme="minorHAnsi" w:cs="Arial"/>
                <w:sz w:val="20"/>
                <w:szCs w:val="20"/>
                <w:lang w:eastAsia="en-US"/>
              </w:rPr>
            </w:pPr>
            <w:r w:rsidRPr="006B6CA3">
              <w:rPr>
                <w:rFonts w:eastAsiaTheme="minorHAnsi" w:cs="Arial"/>
                <w:sz w:val="20"/>
                <w:szCs w:val="20"/>
                <w:lang w:eastAsia="en-US"/>
              </w:rPr>
              <w:t xml:space="preserve">Include list (including websites, hard copy resources and external organisations) where staff can seek advice or support if required. </w:t>
            </w:r>
          </w:p>
          <w:p w14:paraId="5AEFB16F" w14:textId="77777777" w:rsidR="00DE5CB6" w:rsidRPr="006B6CA3" w:rsidRDefault="00DE5CB6" w:rsidP="00DE5CB6">
            <w:pPr>
              <w:spacing w:before="0" w:after="0"/>
              <w:rPr>
                <w:rFonts w:eastAsiaTheme="minorHAnsi" w:cs="Arial"/>
                <w:sz w:val="20"/>
                <w:szCs w:val="20"/>
                <w:lang w:eastAsia="en-US"/>
              </w:rPr>
            </w:pPr>
          </w:p>
        </w:tc>
        <w:tc>
          <w:tcPr>
            <w:tcW w:w="7997" w:type="dxa"/>
            <w:tcBorders>
              <w:top w:val="nil"/>
              <w:left w:val="nil"/>
              <w:bottom w:val="single" w:sz="8" w:space="0" w:color="auto"/>
              <w:right w:val="single" w:sz="8" w:space="0" w:color="auto"/>
            </w:tcBorders>
            <w:tcMar>
              <w:top w:w="0" w:type="dxa"/>
              <w:left w:w="108" w:type="dxa"/>
              <w:bottom w:w="0" w:type="dxa"/>
              <w:right w:w="108" w:type="dxa"/>
            </w:tcMar>
            <w:hideMark/>
          </w:tcPr>
          <w:p w14:paraId="3876C4E5" w14:textId="77777777" w:rsidR="00DE5CB6" w:rsidRPr="00AA0302" w:rsidRDefault="00DE5CB6" w:rsidP="002611D4">
            <w:pPr>
              <w:rPr>
                <w:rFonts w:cs="Arial"/>
                <w:b/>
                <w:i/>
                <w:sz w:val="20"/>
                <w:szCs w:val="20"/>
                <w:lang w:val="en-GB"/>
              </w:rPr>
            </w:pPr>
            <w:bookmarkStart w:id="76" w:name="_Toc396738154"/>
            <w:bookmarkStart w:id="77" w:name="_Toc397499260"/>
            <w:bookmarkStart w:id="78" w:name="_Toc284256860"/>
            <w:bookmarkStart w:id="79" w:name="_Toc286919731"/>
            <w:bookmarkStart w:id="80" w:name="_Toc289343118"/>
            <w:bookmarkStart w:id="81" w:name="_Toc298240666"/>
            <w:bookmarkStart w:id="82" w:name="_Toc299544560"/>
            <w:r w:rsidRPr="00AA0302">
              <w:rPr>
                <w:b/>
                <w:i/>
                <w:sz w:val="20"/>
                <w:szCs w:val="20"/>
                <w:lang w:val="en-GB"/>
              </w:rPr>
              <w:t>Australian Human Rights Commission</w:t>
            </w:r>
            <w:bookmarkEnd w:id="76"/>
            <w:bookmarkEnd w:id="77"/>
            <w:r w:rsidR="00AA0302" w:rsidRPr="00AA0302">
              <w:rPr>
                <w:b/>
                <w:i/>
                <w:sz w:val="20"/>
                <w:szCs w:val="20"/>
                <w:lang w:val="en-GB"/>
              </w:rPr>
              <w:br/>
            </w:r>
            <w:r w:rsidRPr="00AA0302">
              <w:rPr>
                <w:rFonts w:eastAsiaTheme="minorHAnsi"/>
                <w:sz w:val="20"/>
                <w:szCs w:val="20"/>
                <w:lang w:eastAsia="en-US"/>
              </w:rPr>
              <w:t xml:space="preserve">If you believe you have experienced workplace sexual harassment, you can make a complaint to the Australian Human Rights Commission. Contact the Commission’s National Information Service on 1300 656 419 </w:t>
            </w:r>
            <w:r w:rsidRPr="00AA0302">
              <w:rPr>
                <w:sz w:val="20"/>
                <w:szCs w:val="20"/>
                <w:lang w:val="en-GB"/>
              </w:rPr>
              <w:t xml:space="preserve">or email </w:t>
            </w:r>
            <w:hyperlink r:id="rId17" w:history="1">
              <w:r w:rsidRPr="00AA0302">
                <w:rPr>
                  <w:rStyle w:val="Hyperlink"/>
                  <w:i/>
                  <w:sz w:val="20"/>
                  <w:szCs w:val="20"/>
                </w:rPr>
                <w:t>infoservice@humanrights.gov.au</w:t>
              </w:r>
            </w:hyperlink>
            <w:r w:rsidRPr="00AA0302">
              <w:rPr>
                <w:rStyle w:val="Hyperlink"/>
                <w:i/>
                <w:sz w:val="20"/>
                <w:szCs w:val="20"/>
              </w:rPr>
              <w:t xml:space="preserve"> </w:t>
            </w:r>
            <w:bookmarkStart w:id="83" w:name="_Toc396738155"/>
            <w:bookmarkStart w:id="84" w:name="_Toc397499261"/>
            <w:r w:rsidR="00AA0302">
              <w:rPr>
                <w:rStyle w:val="Hyperlink"/>
                <w:i/>
                <w:sz w:val="20"/>
                <w:szCs w:val="20"/>
              </w:rPr>
              <w:br/>
            </w:r>
            <w:r w:rsidRPr="00AA0302">
              <w:rPr>
                <w:rFonts w:cs="Arial"/>
                <w:b/>
                <w:i/>
                <w:sz w:val="20"/>
                <w:szCs w:val="20"/>
                <w:lang w:val="en-GB"/>
              </w:rPr>
              <w:t>State/territory human rights/equal opportunity or anti-discrimination board</w:t>
            </w:r>
            <w:bookmarkStart w:id="85" w:name="_Toc396738156"/>
            <w:bookmarkStart w:id="86" w:name="_Toc397499262"/>
            <w:bookmarkEnd w:id="83"/>
            <w:bookmarkEnd w:id="84"/>
            <w:r w:rsidR="00AA0302">
              <w:rPr>
                <w:rFonts w:cs="Arial"/>
                <w:b/>
                <w:i/>
                <w:sz w:val="20"/>
                <w:szCs w:val="20"/>
                <w:lang w:val="en-GB"/>
              </w:rPr>
              <w:br/>
            </w:r>
            <w:r w:rsidRPr="00AA0302">
              <w:rPr>
                <w:rFonts w:cs="Arial"/>
                <w:i/>
                <w:sz w:val="20"/>
                <w:szCs w:val="20"/>
                <w:lang w:val="en-GB"/>
              </w:rPr>
              <w:t>[Insert contact details for relevant state or territory organisation including information about the service, information or support the organisation can provide</w:t>
            </w:r>
            <w:r w:rsidR="002611D4">
              <w:rPr>
                <w:rFonts w:cs="Arial"/>
                <w:i/>
                <w:sz w:val="20"/>
                <w:szCs w:val="20"/>
                <w:lang w:val="en-GB"/>
              </w:rPr>
              <w:t xml:space="preserve">. See: </w:t>
            </w:r>
            <w:hyperlink r:id="rId18" w:anchor="ad" w:history="1">
              <w:r w:rsidR="002611D4" w:rsidRPr="00242973">
                <w:rPr>
                  <w:rStyle w:val="Hyperlink"/>
                  <w:rFonts w:cs="Arial"/>
                  <w:i/>
                  <w:sz w:val="20"/>
                  <w:szCs w:val="20"/>
                  <w:lang w:val="en-GB"/>
                </w:rPr>
                <w:t>http://www.humanrights.gov.au/links-human-rights-organisations-and-resources#ad</w:t>
              </w:r>
            </w:hyperlink>
            <w:r w:rsidRPr="00AA0302">
              <w:rPr>
                <w:rFonts w:cs="Arial"/>
                <w:i/>
                <w:sz w:val="20"/>
                <w:szCs w:val="20"/>
                <w:lang w:val="en-GB"/>
              </w:rPr>
              <w:t>]</w:t>
            </w:r>
            <w:bookmarkStart w:id="87" w:name="_Toc396738157"/>
            <w:bookmarkStart w:id="88" w:name="_Toc397499263"/>
            <w:bookmarkEnd w:id="85"/>
            <w:bookmarkEnd w:id="86"/>
            <w:r w:rsidR="00AA0302">
              <w:rPr>
                <w:rFonts w:cs="Arial"/>
                <w:i/>
                <w:sz w:val="20"/>
                <w:szCs w:val="20"/>
                <w:lang w:val="en-GB"/>
              </w:rPr>
              <w:br/>
            </w:r>
            <w:r w:rsidRPr="00AA0302">
              <w:rPr>
                <w:rFonts w:cs="Arial"/>
                <w:b/>
                <w:i/>
                <w:sz w:val="20"/>
                <w:szCs w:val="20"/>
                <w:lang w:val="en-GB"/>
              </w:rPr>
              <w:t>Union</w:t>
            </w:r>
            <w:bookmarkStart w:id="89" w:name="_Toc396738158"/>
            <w:bookmarkStart w:id="90" w:name="_Toc397499264"/>
            <w:bookmarkEnd w:id="87"/>
            <w:bookmarkEnd w:id="88"/>
            <w:r w:rsidR="00AA0302">
              <w:rPr>
                <w:rFonts w:cs="Arial"/>
                <w:b/>
                <w:i/>
                <w:sz w:val="20"/>
                <w:szCs w:val="20"/>
                <w:lang w:val="en-GB"/>
              </w:rPr>
              <w:br/>
            </w:r>
            <w:r w:rsidRPr="00AA0302">
              <w:rPr>
                <w:rFonts w:cs="Arial"/>
                <w:i/>
                <w:sz w:val="20"/>
                <w:szCs w:val="20"/>
                <w:lang w:val="en-GB"/>
              </w:rPr>
              <w:t>[Insert contact details for relevant union, including information about the service, information or support the union can provide</w:t>
            </w:r>
            <w:r w:rsidR="002611D4">
              <w:rPr>
                <w:rFonts w:cs="Arial"/>
                <w:i/>
                <w:sz w:val="20"/>
                <w:szCs w:val="20"/>
                <w:lang w:val="en-GB"/>
              </w:rPr>
              <w:t>.</w:t>
            </w:r>
            <w:r w:rsidRPr="00AA0302">
              <w:rPr>
                <w:rFonts w:cs="Arial"/>
                <w:i/>
                <w:sz w:val="20"/>
                <w:szCs w:val="20"/>
                <w:lang w:val="en-GB"/>
              </w:rPr>
              <w:t>]</w:t>
            </w:r>
            <w:bookmarkStart w:id="91" w:name="_Toc396738159"/>
            <w:bookmarkStart w:id="92" w:name="_Toc397499265"/>
            <w:bookmarkEnd w:id="89"/>
            <w:bookmarkEnd w:id="90"/>
            <w:r w:rsidR="00AA0302">
              <w:rPr>
                <w:rFonts w:cs="Arial"/>
                <w:i/>
                <w:sz w:val="20"/>
                <w:szCs w:val="20"/>
                <w:lang w:val="en-GB"/>
              </w:rPr>
              <w:br/>
            </w:r>
            <w:r w:rsidRPr="00AA0302">
              <w:rPr>
                <w:rFonts w:cs="Arial"/>
                <w:b/>
                <w:i/>
                <w:sz w:val="20"/>
                <w:szCs w:val="20"/>
                <w:lang w:val="en-GB"/>
              </w:rPr>
              <w:lastRenderedPageBreak/>
              <w:t>Employee assistance program</w:t>
            </w:r>
            <w:bookmarkEnd w:id="78"/>
            <w:bookmarkEnd w:id="79"/>
            <w:bookmarkEnd w:id="80"/>
            <w:bookmarkEnd w:id="81"/>
            <w:bookmarkEnd w:id="82"/>
            <w:bookmarkEnd w:id="91"/>
            <w:bookmarkEnd w:id="92"/>
            <w:r w:rsidRPr="00AA0302">
              <w:rPr>
                <w:rFonts w:cs="Arial"/>
                <w:b/>
                <w:i/>
                <w:sz w:val="20"/>
                <w:szCs w:val="20"/>
                <w:lang w:val="en-GB"/>
              </w:rPr>
              <w:t xml:space="preserve"> </w:t>
            </w:r>
            <w:r w:rsidR="00AA0302">
              <w:rPr>
                <w:rFonts w:cs="Arial"/>
                <w:b/>
                <w:i/>
                <w:sz w:val="20"/>
                <w:szCs w:val="20"/>
                <w:lang w:val="en-GB"/>
              </w:rPr>
              <w:br/>
            </w:r>
            <w:r w:rsidRPr="006B6CA3">
              <w:rPr>
                <w:i/>
                <w:sz w:val="20"/>
                <w:szCs w:val="20"/>
                <w:lang w:val="en-GB"/>
              </w:rPr>
              <w:t xml:space="preserve">Staff are entitled to a certain amount of free, professional counselling from our </w:t>
            </w:r>
            <w:r w:rsidRPr="006B6CA3">
              <w:rPr>
                <w:i/>
                <w:sz w:val="20"/>
                <w:szCs w:val="20"/>
              </w:rPr>
              <w:t>employee assistance program</w:t>
            </w:r>
            <w:r w:rsidRPr="006B6CA3">
              <w:rPr>
                <w:i/>
                <w:sz w:val="20"/>
                <w:szCs w:val="20"/>
                <w:lang w:val="en-GB"/>
              </w:rPr>
              <w:t xml:space="preserve">. To access the </w:t>
            </w:r>
            <w:r w:rsidRPr="006B6CA3">
              <w:rPr>
                <w:i/>
                <w:sz w:val="20"/>
                <w:szCs w:val="20"/>
              </w:rPr>
              <w:t>employee assistance program</w:t>
            </w:r>
            <w:r w:rsidRPr="006B6CA3">
              <w:rPr>
                <w:i/>
                <w:sz w:val="20"/>
                <w:szCs w:val="20"/>
                <w:lang w:val="en-GB"/>
              </w:rPr>
              <w:t xml:space="preserve">, contact </w:t>
            </w:r>
            <w:r w:rsidRPr="006B6CA3">
              <w:rPr>
                <w:i/>
                <w:sz w:val="20"/>
                <w:szCs w:val="20"/>
              </w:rPr>
              <w:t>[insert contact details].</w:t>
            </w:r>
          </w:p>
        </w:tc>
      </w:tr>
    </w:tbl>
    <w:p w14:paraId="3844ED15" w14:textId="77777777" w:rsidR="00DE5CB6" w:rsidRPr="006B6CA3" w:rsidRDefault="00DE5CB6" w:rsidP="00DE5CB6">
      <w:pPr>
        <w:spacing w:before="0" w:after="0"/>
        <w:rPr>
          <w:sz w:val="20"/>
          <w:szCs w:val="20"/>
        </w:rPr>
      </w:pPr>
    </w:p>
    <w:p w14:paraId="47481DDD" w14:textId="77777777" w:rsidR="00DE5CB6" w:rsidRPr="006B6CA3" w:rsidRDefault="00DE5CB6" w:rsidP="00DE5CB6">
      <w:pPr>
        <w:spacing w:before="0" w:after="0"/>
        <w:rPr>
          <w:sz w:val="20"/>
          <w:szCs w:val="20"/>
        </w:rPr>
      </w:pPr>
    </w:p>
    <w:p w14:paraId="34AE7BF5" w14:textId="77777777" w:rsidR="00DE5CB6" w:rsidRDefault="00DE5CB6" w:rsidP="0054397D">
      <w:pPr>
        <w:pStyle w:val="Heading1"/>
        <w:numPr>
          <w:ilvl w:val="0"/>
          <w:numId w:val="0"/>
        </w:numPr>
        <w:sectPr w:rsidR="00DE5CB6" w:rsidSect="0003575F">
          <w:endnotePr>
            <w:numFmt w:val="decimal"/>
          </w:endnotePr>
          <w:type w:val="continuous"/>
          <w:pgSz w:w="16838" w:h="11906" w:orient="landscape" w:code="9"/>
          <w:pgMar w:top="1418" w:right="1134" w:bottom="1418" w:left="1134" w:header="709" w:footer="709" w:gutter="0"/>
          <w:cols w:space="708"/>
          <w:docGrid w:linePitch="360"/>
        </w:sectPr>
      </w:pPr>
    </w:p>
    <w:p w14:paraId="24D62339" w14:textId="77777777" w:rsidR="0054397D" w:rsidRPr="0039700F" w:rsidRDefault="0054397D" w:rsidP="0054397D">
      <w:pPr>
        <w:pStyle w:val="Heading1"/>
        <w:numPr>
          <w:ilvl w:val="0"/>
          <w:numId w:val="0"/>
        </w:numPr>
        <w:rPr>
          <w:b w:val="0"/>
        </w:rPr>
      </w:pPr>
      <w:bookmarkStart w:id="93" w:name="_Toc397509107"/>
      <w:r w:rsidRPr="003B2B48">
        <w:lastRenderedPageBreak/>
        <w:t>Appen</w:t>
      </w:r>
      <w:r w:rsidR="008C176B">
        <w:t>dix 2</w:t>
      </w:r>
      <w:r w:rsidRPr="00F7332F">
        <w:t>:</w:t>
      </w:r>
      <w:r w:rsidRPr="00A95DB8">
        <w:t xml:space="preserve"> </w:t>
      </w:r>
      <w:bookmarkStart w:id="94" w:name="_Toc387328420"/>
      <w:r w:rsidRPr="00A95DB8">
        <w:t xml:space="preserve">Good Practice Guidelines for </w:t>
      </w:r>
      <w:r w:rsidR="00F1663C">
        <w:t>i</w:t>
      </w:r>
      <w:r w:rsidRPr="0054397D">
        <w:t>nternal</w:t>
      </w:r>
      <w:r w:rsidRPr="00A95DB8">
        <w:t xml:space="preserve"> </w:t>
      </w:r>
      <w:r w:rsidR="00F1663C">
        <w:t>complaint p</w:t>
      </w:r>
      <w:r w:rsidRPr="00A95DB8">
        <w:t>rocess</w:t>
      </w:r>
      <w:r w:rsidRPr="0039700F">
        <w:t>es</w:t>
      </w:r>
      <w:bookmarkEnd w:id="93"/>
      <w:bookmarkEnd w:id="94"/>
    </w:p>
    <w:p w14:paraId="4612048B" w14:textId="77777777" w:rsidR="0054397D" w:rsidRPr="0039700F" w:rsidRDefault="008317C4" w:rsidP="0054397D">
      <w:pPr>
        <w:spacing w:before="0" w:after="0"/>
      </w:pPr>
      <w:bookmarkStart w:id="95" w:name="_Toc387328421"/>
      <w:r>
        <w:t>Small businesses</w:t>
      </w:r>
      <w:r w:rsidRPr="003624E0">
        <w:t xml:space="preserve"> </w:t>
      </w:r>
      <w:r w:rsidR="0054397D" w:rsidRPr="0039700F">
        <w:t xml:space="preserve">can establish a specific procedure for discrimination and harassment complaints or use the procedure already in place for other types of complaints. However, it is important to note that discrimination and harassment complaints can be complex, sensitive and may potentially involve external agencies, such as the Commission. Therefore, it is vital that those responsible for dealing with internal complaints have the appropriate expertise and receive relevant training. </w:t>
      </w:r>
    </w:p>
    <w:p w14:paraId="3C45233C" w14:textId="77777777" w:rsidR="009764F7" w:rsidRPr="0039700F" w:rsidRDefault="009764F7" w:rsidP="009764F7">
      <w:pPr>
        <w:pStyle w:val="Heading1"/>
        <w:numPr>
          <w:ilvl w:val="0"/>
          <w:numId w:val="0"/>
        </w:numPr>
        <w:spacing w:before="0" w:after="0"/>
        <w:ind w:left="851" w:hanging="851"/>
      </w:pPr>
      <w:bookmarkStart w:id="96" w:name="_Toc388023542"/>
    </w:p>
    <w:p w14:paraId="43658D5D" w14:textId="77777777" w:rsidR="009764F7" w:rsidRPr="0039700F" w:rsidRDefault="009764F7" w:rsidP="009764F7">
      <w:pPr>
        <w:pStyle w:val="Heading1"/>
        <w:numPr>
          <w:ilvl w:val="0"/>
          <w:numId w:val="0"/>
        </w:numPr>
        <w:spacing w:before="0" w:after="0"/>
        <w:ind w:left="851" w:hanging="851"/>
      </w:pPr>
      <w:bookmarkStart w:id="97" w:name="_Toc396738161"/>
      <w:bookmarkStart w:id="98" w:name="_Toc397499267"/>
      <w:bookmarkStart w:id="99" w:name="_Toc397508925"/>
      <w:bookmarkStart w:id="100" w:name="_Toc397509108"/>
      <w:r w:rsidRPr="0039700F">
        <w:t>Characteristics of a good internal complaint process</w:t>
      </w:r>
      <w:bookmarkEnd w:id="96"/>
      <w:bookmarkEnd w:id="97"/>
      <w:bookmarkEnd w:id="98"/>
      <w:bookmarkEnd w:id="99"/>
      <w:bookmarkEnd w:id="100"/>
    </w:p>
    <w:p w14:paraId="29ECF716" w14:textId="77777777" w:rsidR="009764F7" w:rsidRPr="0039700F" w:rsidRDefault="009764F7" w:rsidP="009764F7">
      <w:r w:rsidRPr="0039700F">
        <w:t>A good complaint process will be:</w:t>
      </w:r>
    </w:p>
    <w:p w14:paraId="02CFD9B8" w14:textId="77777777" w:rsidR="009764F7" w:rsidRPr="0039700F" w:rsidRDefault="009764F7" w:rsidP="008C5F9F">
      <w:pPr>
        <w:pStyle w:val="ListParagraph"/>
        <w:numPr>
          <w:ilvl w:val="0"/>
          <w:numId w:val="29"/>
        </w:numPr>
        <w:ind w:right="-144"/>
        <w:contextualSpacing w:val="0"/>
      </w:pPr>
      <w:r w:rsidRPr="0039700F">
        <w:rPr>
          <w:b/>
        </w:rPr>
        <w:t xml:space="preserve">Fair </w:t>
      </w:r>
      <w:r w:rsidRPr="0039700F">
        <w:t>(all parties present their version of events, provide supporting information and respond to any potential negative decisions, and the person investigating and/or making decisions is impartial)</w:t>
      </w:r>
    </w:p>
    <w:p w14:paraId="7AE00955" w14:textId="77777777" w:rsidR="009764F7" w:rsidRPr="0039700F" w:rsidRDefault="009764F7" w:rsidP="008C5F9F">
      <w:pPr>
        <w:pStyle w:val="ListParagraph"/>
        <w:numPr>
          <w:ilvl w:val="0"/>
          <w:numId w:val="29"/>
        </w:numPr>
      </w:pPr>
      <w:r w:rsidRPr="0039700F">
        <w:rPr>
          <w:b/>
        </w:rPr>
        <w:t>Confidential</w:t>
      </w:r>
      <w:r w:rsidRPr="0039700F">
        <w:t xml:space="preserve"> (information about a complaint is only provided to those people who need to know about it)</w:t>
      </w:r>
    </w:p>
    <w:p w14:paraId="7FD3097F" w14:textId="77777777" w:rsidR="009764F7" w:rsidRPr="0039700F" w:rsidRDefault="009764F7" w:rsidP="009764F7">
      <w:pPr>
        <w:pStyle w:val="ListParagraph"/>
        <w:ind w:left="717"/>
      </w:pPr>
      <w:r w:rsidRPr="0039700F">
        <w:t xml:space="preserve"> </w:t>
      </w:r>
    </w:p>
    <w:p w14:paraId="5E205B93" w14:textId="77777777" w:rsidR="009764F7" w:rsidRPr="0039700F" w:rsidRDefault="009764F7" w:rsidP="008C5F9F">
      <w:pPr>
        <w:pStyle w:val="ListParagraph"/>
        <w:numPr>
          <w:ilvl w:val="0"/>
          <w:numId w:val="28"/>
        </w:numPr>
        <w:ind w:left="714" w:hanging="357"/>
        <w:contextualSpacing w:val="0"/>
      </w:pPr>
      <w:r w:rsidRPr="0039700F">
        <w:rPr>
          <w:b/>
        </w:rPr>
        <w:t>Transparent</w:t>
      </w:r>
      <w:r w:rsidRPr="0039700F">
        <w:t xml:space="preserve">  (process and possible outcomes clearly explained, and those involved kept informed of the progress and reasons for any decisions)</w:t>
      </w:r>
    </w:p>
    <w:p w14:paraId="1A65FBC8" w14:textId="77777777" w:rsidR="009764F7" w:rsidRPr="0039700F" w:rsidRDefault="009764F7" w:rsidP="008C5F9F">
      <w:pPr>
        <w:pStyle w:val="ListParagraph"/>
        <w:numPr>
          <w:ilvl w:val="0"/>
          <w:numId w:val="28"/>
        </w:numPr>
        <w:ind w:left="714" w:hanging="357"/>
        <w:contextualSpacing w:val="0"/>
      </w:pPr>
      <w:r w:rsidRPr="0039700F">
        <w:rPr>
          <w:b/>
        </w:rPr>
        <w:t>Accessible</w:t>
      </w:r>
      <w:r w:rsidRPr="0039700F">
        <w:t xml:space="preserve"> (easy to access, easy to understand and everyone should be able to participate equally)  </w:t>
      </w:r>
    </w:p>
    <w:p w14:paraId="5578F847" w14:textId="77777777" w:rsidR="009764F7" w:rsidRPr="0039700F" w:rsidRDefault="009764F7" w:rsidP="008C5F9F">
      <w:pPr>
        <w:pStyle w:val="ListParagraph"/>
        <w:numPr>
          <w:ilvl w:val="0"/>
          <w:numId w:val="27"/>
        </w:numPr>
      </w:pPr>
      <w:r w:rsidRPr="0039700F">
        <w:rPr>
          <w:b/>
        </w:rPr>
        <w:t xml:space="preserve">Efficient </w:t>
      </w:r>
      <w:r w:rsidRPr="0039700F">
        <w:t>(conducted without undue delay)</w:t>
      </w:r>
    </w:p>
    <w:p w14:paraId="1CD9A6B8" w14:textId="77777777" w:rsidR="0009533D" w:rsidRDefault="0009533D" w:rsidP="00286DD8">
      <w:pPr>
        <w:pStyle w:val="Heading1"/>
        <w:numPr>
          <w:ilvl w:val="0"/>
          <w:numId w:val="0"/>
        </w:numPr>
        <w:spacing w:before="0" w:after="0"/>
        <w:ind w:left="851" w:hanging="851"/>
      </w:pPr>
    </w:p>
    <w:p w14:paraId="64DD9C09" w14:textId="77777777" w:rsidR="00286DD8" w:rsidRPr="00286DD8" w:rsidRDefault="00286DD8" w:rsidP="00286DD8">
      <w:pPr>
        <w:pStyle w:val="Heading1"/>
        <w:numPr>
          <w:ilvl w:val="0"/>
          <w:numId w:val="0"/>
        </w:numPr>
        <w:spacing w:before="0" w:after="0"/>
        <w:ind w:left="851" w:hanging="851"/>
      </w:pPr>
      <w:bookmarkStart w:id="101" w:name="_Toc396738162"/>
      <w:bookmarkStart w:id="102" w:name="_Toc397499268"/>
      <w:bookmarkStart w:id="103" w:name="_Toc397508926"/>
      <w:bookmarkStart w:id="104" w:name="_Toc397509109"/>
      <w:r w:rsidRPr="00286DD8">
        <w:t>Key actions for small businesses</w:t>
      </w:r>
      <w:bookmarkEnd w:id="101"/>
      <w:bookmarkEnd w:id="102"/>
      <w:bookmarkEnd w:id="103"/>
      <w:bookmarkEnd w:id="104"/>
    </w:p>
    <w:p w14:paraId="24B7F224" w14:textId="77777777" w:rsidR="009764F7" w:rsidRPr="0039700F" w:rsidRDefault="009764F7" w:rsidP="009764F7">
      <w:pPr>
        <w:rPr>
          <w:color w:val="000000" w:themeColor="text1"/>
        </w:rPr>
      </w:pPr>
      <w:r w:rsidRPr="0039700F">
        <w:rPr>
          <w:color w:val="000000" w:themeColor="text1"/>
        </w:rPr>
        <w:t>Small businesses should:</w:t>
      </w:r>
    </w:p>
    <w:p w14:paraId="3FD125FF" w14:textId="77777777" w:rsidR="009764F7" w:rsidRPr="0039700F" w:rsidRDefault="009764F7" w:rsidP="008C5F9F">
      <w:pPr>
        <w:pStyle w:val="SubmissionNormal"/>
        <w:numPr>
          <w:ilvl w:val="0"/>
          <w:numId w:val="25"/>
        </w:numPr>
        <w:ind w:left="567" w:hanging="567"/>
      </w:pPr>
      <w:r w:rsidRPr="0039700F">
        <w:t>establish a staged complaints procedure in line with the above characteristics</w:t>
      </w:r>
      <w:r w:rsidR="00065DC7">
        <w:t xml:space="preserve"> or as outlined in the relevant award or agreement</w:t>
      </w:r>
    </w:p>
    <w:p w14:paraId="55AB7616" w14:textId="77777777" w:rsidR="009764F7" w:rsidRPr="0039700F" w:rsidRDefault="009764F7" w:rsidP="008C5F9F">
      <w:pPr>
        <w:pStyle w:val="SubmissionNormal"/>
        <w:numPr>
          <w:ilvl w:val="0"/>
          <w:numId w:val="25"/>
        </w:numPr>
        <w:ind w:left="567" w:hanging="567"/>
      </w:pPr>
      <w:r w:rsidRPr="0039700F">
        <w:t>keep on file (as these can be used in legal proceedings) a confidential record of all reports and complaints of sexual harassment which should:</w:t>
      </w:r>
    </w:p>
    <w:p w14:paraId="2DDE0AA7" w14:textId="77777777" w:rsidR="009764F7" w:rsidRPr="0039700F" w:rsidRDefault="009764F7" w:rsidP="008C5F9F">
      <w:pPr>
        <w:pStyle w:val="SubmissionNormal"/>
        <w:numPr>
          <w:ilvl w:val="1"/>
          <w:numId w:val="25"/>
        </w:numPr>
      </w:pPr>
      <w:r w:rsidRPr="0039700F">
        <w:t xml:space="preserve"> clearly document the process by which the complaint was made</w:t>
      </w:r>
    </w:p>
    <w:p w14:paraId="3A4B6848" w14:textId="77777777" w:rsidR="009764F7" w:rsidRPr="0039700F" w:rsidRDefault="009764F7" w:rsidP="008C5F9F">
      <w:pPr>
        <w:pStyle w:val="SubmissionNormal"/>
        <w:numPr>
          <w:ilvl w:val="1"/>
          <w:numId w:val="25"/>
        </w:numPr>
      </w:pPr>
      <w:r w:rsidRPr="0039700F">
        <w:t>clearly document all steps taken to resolve this complaint</w:t>
      </w:r>
    </w:p>
    <w:p w14:paraId="79EC7429" w14:textId="77777777" w:rsidR="009764F7" w:rsidRPr="0039700F" w:rsidRDefault="009764F7" w:rsidP="008C5F9F">
      <w:pPr>
        <w:pStyle w:val="SubmissionNormal"/>
        <w:numPr>
          <w:ilvl w:val="1"/>
          <w:numId w:val="25"/>
        </w:numPr>
      </w:pPr>
      <w:r w:rsidRPr="0039700F">
        <w:t>include statements from the alleged target, the alleged harasser, alleged witnesses and any other relevant individuals, which have been reviewed and endorsed by the relevant person</w:t>
      </w:r>
      <w:r w:rsidRPr="0039700F">
        <w:rPr>
          <w:rStyle w:val="EndnoteReference"/>
        </w:rPr>
        <w:endnoteReference w:id="25"/>
      </w:r>
      <w:r w:rsidRPr="0039700F">
        <w:t xml:space="preserve"> </w:t>
      </w:r>
    </w:p>
    <w:p w14:paraId="7F313935" w14:textId="77777777" w:rsidR="009764F7" w:rsidRPr="0039700F" w:rsidRDefault="009764F7" w:rsidP="008C5F9F">
      <w:pPr>
        <w:pStyle w:val="SubmissionNormal"/>
        <w:numPr>
          <w:ilvl w:val="1"/>
          <w:numId w:val="25"/>
        </w:numPr>
      </w:pPr>
      <w:r w:rsidRPr="0039700F">
        <w:t>include notes interviews conducted by the investigation officer, using the interviewee’s own words as far as possible</w:t>
      </w:r>
    </w:p>
    <w:p w14:paraId="1E6CB140" w14:textId="77777777" w:rsidR="009764F7" w:rsidRPr="0039700F" w:rsidRDefault="009764F7" w:rsidP="008C5F9F">
      <w:pPr>
        <w:pStyle w:val="SubmissionNormal"/>
        <w:numPr>
          <w:ilvl w:val="0"/>
          <w:numId w:val="25"/>
        </w:numPr>
        <w:ind w:left="567" w:hanging="567"/>
      </w:pPr>
      <w:r w:rsidRPr="0039700F">
        <w:lastRenderedPageBreak/>
        <w:t>appoint and train contact officers who can provide support to the person making a complaint but does not have a role in investigating complaints</w:t>
      </w:r>
    </w:p>
    <w:p w14:paraId="4AD895A1" w14:textId="77777777" w:rsidR="009764F7" w:rsidRPr="0039700F" w:rsidRDefault="009764F7" w:rsidP="008C5F9F">
      <w:pPr>
        <w:pStyle w:val="SubmissionNormal"/>
        <w:numPr>
          <w:ilvl w:val="0"/>
          <w:numId w:val="25"/>
        </w:numPr>
        <w:ind w:left="567" w:hanging="567"/>
      </w:pPr>
      <w:r w:rsidRPr="0039700F">
        <w:t>appoint and train complaint officers (in sma</w:t>
      </w:r>
      <w:r w:rsidR="00065DC7">
        <w:t>ll businesses this should be an owner, senior employee</w:t>
      </w:r>
      <w:r w:rsidRPr="0039700F">
        <w:t xml:space="preserve"> </w:t>
      </w:r>
      <w:r w:rsidR="00065DC7">
        <w:t xml:space="preserve">or union delegate, </w:t>
      </w:r>
      <w:r w:rsidRPr="0039700F">
        <w:t>provided they are not the alleged harasser) to manage the complaints process</w:t>
      </w:r>
    </w:p>
    <w:p w14:paraId="71F10FDC" w14:textId="77777777" w:rsidR="009764F7" w:rsidRPr="0039700F" w:rsidRDefault="009764F7" w:rsidP="008C5F9F">
      <w:pPr>
        <w:pStyle w:val="SubmissionNormal"/>
        <w:numPr>
          <w:ilvl w:val="0"/>
          <w:numId w:val="25"/>
        </w:numPr>
        <w:ind w:left="567" w:hanging="567"/>
        <w:rPr>
          <w:color w:val="000000" w:themeColor="text1"/>
        </w:rPr>
      </w:pPr>
      <w:r w:rsidRPr="0039700F">
        <w:rPr>
          <w:szCs w:val="22"/>
        </w:rPr>
        <w:t>establish safeguards to protect individual staff against victimisation</w:t>
      </w:r>
      <w:r w:rsidRPr="0039700F">
        <w:t xml:space="preserve"> </w:t>
      </w:r>
    </w:p>
    <w:p w14:paraId="47FA6AF9" w14:textId="77777777" w:rsidR="009764F7" w:rsidRPr="0039700F" w:rsidRDefault="008317C4" w:rsidP="008C5F9F">
      <w:pPr>
        <w:pStyle w:val="SubmissionNormal"/>
        <w:numPr>
          <w:ilvl w:val="0"/>
          <w:numId w:val="25"/>
        </w:numPr>
        <w:ind w:left="567" w:hanging="567"/>
        <w:rPr>
          <w:color w:val="000000" w:themeColor="text1"/>
        </w:rPr>
      </w:pPr>
      <w:r>
        <w:t>be aware that if a small businesses</w:t>
      </w:r>
      <w:r w:rsidRPr="003624E0">
        <w:t xml:space="preserve"> </w:t>
      </w:r>
      <w:r w:rsidR="009764F7" w:rsidRPr="0039700F">
        <w:t xml:space="preserve">is aware of an allegation or incident of sexual harassment but does not take any action, they may be found to have neglected to take all reasonable steps to prevent </w:t>
      </w:r>
      <w:r w:rsidR="00EA772C">
        <w:t>future acts of</w:t>
      </w:r>
      <w:r w:rsidR="00EA772C" w:rsidRPr="0039700F">
        <w:t xml:space="preserve"> </w:t>
      </w:r>
      <w:r w:rsidR="009764F7" w:rsidRPr="0039700F">
        <w:t xml:space="preserve">sexual harassment, even if the complainant did not want the respondent to </w:t>
      </w:r>
      <w:r w:rsidR="009764F7" w:rsidRPr="0039700F">
        <w:rPr>
          <w:color w:val="000000" w:themeColor="text1"/>
        </w:rPr>
        <w:t>take any action at the time of making the complaint</w:t>
      </w:r>
      <w:r w:rsidR="009764F7" w:rsidRPr="0039700F">
        <w:rPr>
          <w:rStyle w:val="EndnoteReference"/>
          <w:color w:val="000000" w:themeColor="text1"/>
          <w:sz w:val="24"/>
        </w:rPr>
        <w:endnoteReference w:id="26"/>
      </w:r>
    </w:p>
    <w:p w14:paraId="6CE6BCA1" w14:textId="77777777" w:rsidR="009764F7" w:rsidRPr="0039700F" w:rsidRDefault="009764F7" w:rsidP="008C5F9F">
      <w:pPr>
        <w:pStyle w:val="SubmissionNormal"/>
        <w:numPr>
          <w:ilvl w:val="0"/>
          <w:numId w:val="25"/>
        </w:numPr>
        <w:ind w:left="567" w:hanging="567"/>
        <w:rPr>
          <w:color w:val="000000" w:themeColor="text1"/>
        </w:rPr>
      </w:pPr>
      <w:r w:rsidRPr="0039700F">
        <w:t>ensure ongoing follow up with the person who reported their concerns to check whether their concerns remain and to monitor the relationships involved.</w:t>
      </w:r>
    </w:p>
    <w:p w14:paraId="6ADF5516" w14:textId="77777777" w:rsidR="0054397D" w:rsidRPr="0039700F" w:rsidRDefault="0054397D" w:rsidP="0054397D">
      <w:pPr>
        <w:pStyle w:val="Heading1"/>
        <w:numPr>
          <w:ilvl w:val="0"/>
          <w:numId w:val="0"/>
        </w:numPr>
        <w:spacing w:before="0" w:after="0"/>
        <w:ind w:left="851" w:hanging="851"/>
        <w:rPr>
          <w:sz w:val="24"/>
          <w:szCs w:val="24"/>
        </w:rPr>
      </w:pPr>
    </w:p>
    <w:p w14:paraId="14D01CB7" w14:textId="77777777" w:rsidR="0054397D" w:rsidRDefault="0054397D" w:rsidP="0054397D">
      <w:pPr>
        <w:pStyle w:val="Heading1"/>
        <w:numPr>
          <w:ilvl w:val="0"/>
          <w:numId w:val="0"/>
        </w:numPr>
        <w:spacing w:before="0" w:after="0"/>
        <w:ind w:left="851" w:hanging="851"/>
      </w:pPr>
      <w:bookmarkStart w:id="105" w:name="_Toc388023543"/>
      <w:bookmarkStart w:id="106" w:name="_Toc396738163"/>
      <w:bookmarkStart w:id="107" w:name="_Toc397499269"/>
      <w:bookmarkStart w:id="108" w:name="_Toc397508927"/>
      <w:bookmarkStart w:id="109" w:name="_Toc397509110"/>
      <w:r w:rsidRPr="0039700F">
        <w:t>Stages</w:t>
      </w:r>
      <w:r w:rsidRPr="005564F9">
        <w:t xml:space="preserve"> in a complaint process</w:t>
      </w:r>
      <w:bookmarkEnd w:id="105"/>
      <w:bookmarkEnd w:id="106"/>
      <w:bookmarkEnd w:id="107"/>
      <w:bookmarkEnd w:id="108"/>
      <w:bookmarkEnd w:id="109"/>
    </w:p>
    <w:p w14:paraId="0EEA455E" w14:textId="77777777" w:rsidR="0054397D" w:rsidRPr="005564F9" w:rsidRDefault="0054397D" w:rsidP="0054397D">
      <w:pPr>
        <w:pStyle w:val="Heading1"/>
        <w:numPr>
          <w:ilvl w:val="0"/>
          <w:numId w:val="0"/>
        </w:numPr>
        <w:spacing w:before="0" w:after="0"/>
        <w:ind w:left="851" w:hanging="851"/>
        <w:rPr>
          <w:sz w:val="24"/>
          <w:szCs w:val="24"/>
        </w:rPr>
      </w:pPr>
      <w:r w:rsidRPr="005564F9">
        <w:t xml:space="preserve"> </w:t>
      </w:r>
    </w:p>
    <w:p w14:paraId="4C73D30E" w14:textId="77777777" w:rsidR="0054397D" w:rsidRPr="0003575F" w:rsidRDefault="0054397D" w:rsidP="0054397D">
      <w:pPr>
        <w:pStyle w:val="Heading2"/>
        <w:numPr>
          <w:ilvl w:val="0"/>
          <w:numId w:val="0"/>
        </w:numPr>
        <w:spacing w:before="0" w:after="0"/>
        <w:ind w:left="851" w:hanging="851"/>
        <w:rPr>
          <w:sz w:val="24"/>
          <w:szCs w:val="24"/>
        </w:rPr>
      </w:pPr>
      <w:bookmarkStart w:id="110" w:name="_Toc388023544"/>
      <w:bookmarkStart w:id="111" w:name="_Toc396738164"/>
      <w:bookmarkStart w:id="112" w:name="_Toc397499270"/>
      <w:bookmarkStart w:id="113" w:name="_Toc397508928"/>
      <w:bookmarkStart w:id="114" w:name="_Toc397509111"/>
      <w:r w:rsidRPr="0003575F">
        <w:rPr>
          <w:sz w:val="24"/>
          <w:szCs w:val="24"/>
        </w:rPr>
        <w:t>Initial contact point</w:t>
      </w:r>
      <w:bookmarkEnd w:id="110"/>
      <w:bookmarkEnd w:id="111"/>
      <w:bookmarkEnd w:id="112"/>
      <w:bookmarkEnd w:id="113"/>
      <w:bookmarkEnd w:id="114"/>
      <w:r w:rsidRPr="0003575F">
        <w:rPr>
          <w:sz w:val="24"/>
          <w:szCs w:val="24"/>
        </w:rPr>
        <w:t xml:space="preserve"> </w:t>
      </w:r>
    </w:p>
    <w:p w14:paraId="1274AADD" w14:textId="77777777" w:rsidR="0054397D" w:rsidRDefault="0054397D" w:rsidP="0054397D">
      <w:pPr>
        <w:spacing w:before="0" w:after="0"/>
      </w:pPr>
    </w:p>
    <w:p w14:paraId="20CB8D8B" w14:textId="77777777" w:rsidR="0054397D" w:rsidRPr="002839AE" w:rsidRDefault="0054397D" w:rsidP="0054397D">
      <w:pPr>
        <w:spacing w:before="0" w:after="0"/>
      </w:pPr>
      <w:r>
        <w:t xml:space="preserve">An organisation’s discrimination and harassment policy should explain how to make a complaint and, identify an initial contact person. The contact person should not be the same person who is responsible for investigating or making decisions about a complaint. </w:t>
      </w:r>
    </w:p>
    <w:p w14:paraId="3C01DC3F" w14:textId="77777777" w:rsidR="0054397D" w:rsidRDefault="0054397D" w:rsidP="0054397D">
      <w:pPr>
        <w:pStyle w:val="Heading2"/>
        <w:numPr>
          <w:ilvl w:val="0"/>
          <w:numId w:val="0"/>
        </w:numPr>
        <w:spacing w:before="0" w:after="0"/>
        <w:ind w:left="851" w:hanging="851"/>
        <w:rPr>
          <w:b w:val="0"/>
          <w:i w:val="0"/>
          <w:sz w:val="24"/>
          <w:szCs w:val="24"/>
          <w:u w:val="single"/>
        </w:rPr>
      </w:pPr>
    </w:p>
    <w:p w14:paraId="2E6B330E" w14:textId="77777777" w:rsidR="0054397D" w:rsidRPr="0003575F" w:rsidRDefault="0054397D" w:rsidP="0054397D">
      <w:pPr>
        <w:pStyle w:val="Heading2"/>
        <w:numPr>
          <w:ilvl w:val="0"/>
          <w:numId w:val="0"/>
        </w:numPr>
        <w:spacing w:before="0" w:after="0"/>
        <w:ind w:left="851" w:hanging="851"/>
        <w:rPr>
          <w:sz w:val="24"/>
          <w:szCs w:val="24"/>
        </w:rPr>
      </w:pPr>
      <w:bookmarkStart w:id="115" w:name="_Toc388023545"/>
      <w:bookmarkStart w:id="116" w:name="_Toc396738165"/>
      <w:bookmarkStart w:id="117" w:name="_Toc397499271"/>
      <w:bookmarkStart w:id="118" w:name="_Toc397508929"/>
      <w:bookmarkStart w:id="119" w:name="_Toc397509112"/>
      <w:r w:rsidRPr="0003575F">
        <w:rPr>
          <w:sz w:val="24"/>
          <w:szCs w:val="24"/>
        </w:rPr>
        <w:t>Early resolution</w:t>
      </w:r>
      <w:bookmarkEnd w:id="115"/>
      <w:bookmarkEnd w:id="116"/>
      <w:bookmarkEnd w:id="117"/>
      <w:bookmarkEnd w:id="118"/>
      <w:bookmarkEnd w:id="119"/>
      <w:r w:rsidRPr="0003575F">
        <w:rPr>
          <w:sz w:val="24"/>
          <w:szCs w:val="24"/>
        </w:rPr>
        <w:t xml:space="preserve"> </w:t>
      </w:r>
    </w:p>
    <w:p w14:paraId="61927594" w14:textId="77777777" w:rsidR="0054397D" w:rsidRDefault="0054397D" w:rsidP="0054397D">
      <w:pPr>
        <w:spacing w:before="0" w:after="0"/>
      </w:pPr>
    </w:p>
    <w:p w14:paraId="4AB59245" w14:textId="77777777" w:rsidR="0054397D" w:rsidRDefault="0054397D" w:rsidP="0054397D">
      <w:pPr>
        <w:spacing w:before="0" w:after="0"/>
      </w:pPr>
      <w:r>
        <w:t>In some situations it may be appropriate to consider early resolution of an initial complaint without undertaking an assessment of its merit. This approach may be useful where:</w:t>
      </w:r>
    </w:p>
    <w:p w14:paraId="32B9434C" w14:textId="77777777" w:rsidR="0054397D" w:rsidRDefault="0054397D" w:rsidP="0054397D">
      <w:pPr>
        <w:spacing w:before="0" w:after="0"/>
      </w:pPr>
    </w:p>
    <w:p w14:paraId="08579979" w14:textId="77777777" w:rsidR="0054397D" w:rsidRDefault="0054397D" w:rsidP="008C5F9F">
      <w:pPr>
        <w:pStyle w:val="SubmissionNormal"/>
        <w:numPr>
          <w:ilvl w:val="0"/>
          <w:numId w:val="25"/>
        </w:numPr>
        <w:ind w:left="567" w:hanging="567"/>
      </w:pPr>
      <w:r>
        <w:t>the complainant indicates a desire to sit down and discuss the matter with the respondent informally and this seems appropriate in the circumstances</w:t>
      </w:r>
    </w:p>
    <w:p w14:paraId="23A768C9" w14:textId="77777777" w:rsidR="0054397D" w:rsidRDefault="0054397D" w:rsidP="008C5F9F">
      <w:pPr>
        <w:pStyle w:val="SubmissionNormal"/>
        <w:numPr>
          <w:ilvl w:val="0"/>
          <w:numId w:val="25"/>
        </w:numPr>
        <w:ind w:left="567" w:hanging="567"/>
      </w:pPr>
      <w:r>
        <w:t>the information on hand supports a view that the complaint has arisen from a misunderstanding or miscommunication</w:t>
      </w:r>
    </w:p>
    <w:p w14:paraId="686BB8D7" w14:textId="77777777" w:rsidR="0054397D" w:rsidRDefault="0054397D" w:rsidP="008C5F9F">
      <w:pPr>
        <w:pStyle w:val="SubmissionNormal"/>
        <w:numPr>
          <w:ilvl w:val="0"/>
          <w:numId w:val="25"/>
        </w:numPr>
        <w:ind w:left="567" w:hanging="567"/>
      </w:pPr>
      <w:r>
        <w:t>the behaviour being complained about is not serious and does not appear to be discrimination or harassment, as defined by the organisation’s policy.</w:t>
      </w:r>
    </w:p>
    <w:p w14:paraId="079EF76F" w14:textId="77777777" w:rsidR="0054397D" w:rsidRDefault="0054397D" w:rsidP="00EF3DCF">
      <w:pPr>
        <w:pStyle w:val="SubmissionNormal"/>
        <w:numPr>
          <w:ilvl w:val="0"/>
          <w:numId w:val="0"/>
        </w:numPr>
      </w:pPr>
      <w:r>
        <w:t xml:space="preserve">Early resolution may involve: </w:t>
      </w:r>
    </w:p>
    <w:p w14:paraId="7887234E" w14:textId="77777777" w:rsidR="0054397D" w:rsidRDefault="0054397D" w:rsidP="008C5F9F">
      <w:pPr>
        <w:pStyle w:val="SubmissionNormal"/>
        <w:numPr>
          <w:ilvl w:val="0"/>
          <w:numId w:val="25"/>
        </w:numPr>
        <w:ind w:left="567" w:hanging="567"/>
      </w:pPr>
      <w:r>
        <w:t>a direct private discussion between the complainant and the respondent</w:t>
      </w:r>
    </w:p>
    <w:p w14:paraId="73625A33" w14:textId="77777777" w:rsidR="0054397D" w:rsidRDefault="0054397D" w:rsidP="008C5F9F">
      <w:pPr>
        <w:pStyle w:val="SubmissionNormal"/>
        <w:numPr>
          <w:ilvl w:val="0"/>
          <w:numId w:val="25"/>
        </w:numPr>
        <w:ind w:left="567" w:hanging="567"/>
      </w:pPr>
      <w:r>
        <w:t xml:space="preserve">an impartial third person conveying information between those involved </w:t>
      </w:r>
    </w:p>
    <w:p w14:paraId="1F2B41E7" w14:textId="77777777" w:rsidR="0054397D" w:rsidRDefault="0054397D" w:rsidP="008C5F9F">
      <w:pPr>
        <w:pStyle w:val="SubmissionNormal"/>
        <w:numPr>
          <w:ilvl w:val="0"/>
          <w:numId w:val="25"/>
        </w:numPr>
        <w:ind w:left="567" w:hanging="567"/>
      </w:pPr>
      <w:r>
        <w:lastRenderedPageBreak/>
        <w:t xml:space="preserve">an impartial third person helping those involved to talk to each other and find a solution. </w:t>
      </w:r>
    </w:p>
    <w:p w14:paraId="598BF9A2" w14:textId="77777777" w:rsidR="007B07F4" w:rsidRDefault="0054397D" w:rsidP="0054397D">
      <w:pPr>
        <w:spacing w:before="0" w:after="0"/>
      </w:pPr>
      <w:r>
        <w:t>In some situations the impartial third person may need to be someone external to the organisation, such as a professional mediator.</w:t>
      </w:r>
    </w:p>
    <w:p w14:paraId="69F496F6" w14:textId="77777777" w:rsidR="0054397D" w:rsidRPr="00FC1DD7" w:rsidRDefault="0054397D" w:rsidP="0054397D">
      <w:pPr>
        <w:spacing w:before="0" w:after="0"/>
      </w:pPr>
      <w:r>
        <w:t xml:space="preserve"> </w:t>
      </w:r>
    </w:p>
    <w:p w14:paraId="675056C6" w14:textId="77777777" w:rsidR="0054397D" w:rsidRPr="0003575F" w:rsidRDefault="0054397D" w:rsidP="0099105C">
      <w:pPr>
        <w:pStyle w:val="Heading2"/>
        <w:numPr>
          <w:ilvl w:val="0"/>
          <w:numId w:val="0"/>
        </w:numPr>
        <w:spacing w:before="0" w:after="0"/>
        <w:rPr>
          <w:sz w:val="24"/>
          <w:szCs w:val="24"/>
        </w:rPr>
      </w:pPr>
      <w:bookmarkStart w:id="120" w:name="_Toc388023546"/>
      <w:bookmarkStart w:id="121" w:name="_Toc396738166"/>
      <w:bookmarkStart w:id="122" w:name="_Toc397499272"/>
      <w:bookmarkStart w:id="123" w:name="_Toc397508930"/>
      <w:bookmarkStart w:id="124" w:name="_Toc397509113"/>
      <w:r w:rsidRPr="0003575F">
        <w:rPr>
          <w:sz w:val="24"/>
          <w:szCs w:val="24"/>
        </w:rPr>
        <w:t>Formal resolution</w:t>
      </w:r>
      <w:bookmarkEnd w:id="120"/>
      <w:bookmarkEnd w:id="121"/>
      <w:bookmarkEnd w:id="122"/>
      <w:bookmarkEnd w:id="123"/>
      <w:bookmarkEnd w:id="124"/>
    </w:p>
    <w:p w14:paraId="101DC9FE" w14:textId="77777777" w:rsidR="0054397D" w:rsidRDefault="0054397D" w:rsidP="0054397D">
      <w:pPr>
        <w:spacing w:before="0" w:after="0"/>
      </w:pPr>
    </w:p>
    <w:p w14:paraId="61DAC381" w14:textId="77777777" w:rsidR="0054397D" w:rsidRDefault="0054397D" w:rsidP="0054397D">
      <w:pPr>
        <w:spacing w:before="0" w:after="0"/>
      </w:pPr>
      <w:r>
        <w:t>If a person wants to proceed with a formal complaint about discrimination or harassment, or if this is considered to be the most appropriate course of action, the following steps are recommended.</w:t>
      </w:r>
    </w:p>
    <w:p w14:paraId="208B087A" w14:textId="77777777" w:rsidR="0054397D" w:rsidRDefault="0054397D" w:rsidP="0054397D">
      <w:pPr>
        <w:spacing w:before="0" w:after="0"/>
      </w:pPr>
    </w:p>
    <w:p w14:paraId="10D0F748" w14:textId="77777777" w:rsidR="0054397D" w:rsidRPr="002839AE" w:rsidRDefault="0054397D" w:rsidP="0054397D">
      <w:pPr>
        <w:pStyle w:val="Heading3"/>
        <w:numPr>
          <w:ilvl w:val="0"/>
          <w:numId w:val="0"/>
        </w:numPr>
        <w:spacing w:before="0" w:after="0"/>
        <w:ind w:left="851" w:hanging="851"/>
      </w:pPr>
      <w:r>
        <w:t xml:space="preserve">a. Obtain information from the complainant </w:t>
      </w:r>
    </w:p>
    <w:p w14:paraId="3BAB3928" w14:textId="77777777" w:rsidR="0054397D" w:rsidRDefault="0054397D" w:rsidP="0054397D">
      <w:pPr>
        <w:spacing w:before="0" w:after="0"/>
      </w:pPr>
    </w:p>
    <w:p w14:paraId="32BC8F9F" w14:textId="77777777" w:rsidR="0054397D" w:rsidRDefault="0054397D" w:rsidP="0054397D">
      <w:pPr>
        <w:spacing w:before="0" w:after="0"/>
      </w:pPr>
      <w:r>
        <w:t>The person handling the complaint (the complaint officer) should:</w:t>
      </w:r>
    </w:p>
    <w:p w14:paraId="06DE834F" w14:textId="77777777" w:rsidR="0054397D" w:rsidRDefault="0054397D" w:rsidP="008C5F9F">
      <w:pPr>
        <w:pStyle w:val="SubmissionNormal"/>
        <w:numPr>
          <w:ilvl w:val="0"/>
          <w:numId w:val="25"/>
        </w:numPr>
        <w:ind w:left="567" w:hanging="567"/>
      </w:pPr>
      <w:r>
        <w:t>provide information about the complaint process, potential outcomes, options for assistance/support and protections from victimisation</w:t>
      </w:r>
    </w:p>
    <w:p w14:paraId="21601830" w14:textId="77777777" w:rsidR="0054397D" w:rsidRDefault="0054397D" w:rsidP="008C5F9F">
      <w:pPr>
        <w:pStyle w:val="SubmissionNormal"/>
        <w:numPr>
          <w:ilvl w:val="0"/>
          <w:numId w:val="25"/>
        </w:numPr>
        <w:ind w:left="567" w:hanging="567"/>
      </w:pPr>
      <w:r>
        <w:t xml:space="preserve">ensure the allegations are documented, either by the complainant or the complaint officer </w:t>
      </w:r>
    </w:p>
    <w:p w14:paraId="7E8C9C89" w14:textId="77777777" w:rsidR="0054397D" w:rsidRDefault="0054397D" w:rsidP="008C5F9F">
      <w:pPr>
        <w:pStyle w:val="SubmissionNormal"/>
        <w:numPr>
          <w:ilvl w:val="0"/>
          <w:numId w:val="25"/>
        </w:numPr>
        <w:ind w:left="567" w:hanging="567"/>
      </w:pPr>
      <w:r>
        <w:t>explain that the process is confidential</w:t>
      </w:r>
      <w:r w:rsidRPr="002839AE">
        <w:t xml:space="preserve">, what this means and why </w:t>
      </w:r>
      <w:r>
        <w:t xml:space="preserve">it </w:t>
      </w:r>
      <w:r w:rsidRPr="002839AE">
        <w:t>is import</w:t>
      </w:r>
      <w:r>
        <w:t>ant</w:t>
      </w:r>
    </w:p>
    <w:p w14:paraId="735E2F53" w14:textId="77777777" w:rsidR="0054397D" w:rsidRDefault="0054397D" w:rsidP="008C5F9F">
      <w:pPr>
        <w:pStyle w:val="SubmissionNormal"/>
        <w:numPr>
          <w:ilvl w:val="0"/>
          <w:numId w:val="25"/>
        </w:numPr>
        <w:ind w:left="567" w:hanging="567"/>
      </w:pPr>
      <w:r>
        <w:t xml:space="preserve">explain what records of the complaint will be kept, for how long and where </w:t>
      </w:r>
    </w:p>
    <w:p w14:paraId="7F4A7138" w14:textId="77777777" w:rsidR="0054397D" w:rsidRDefault="0054397D" w:rsidP="008C5F9F">
      <w:pPr>
        <w:pStyle w:val="SubmissionNormal"/>
        <w:numPr>
          <w:ilvl w:val="0"/>
          <w:numId w:val="25"/>
        </w:numPr>
        <w:ind w:left="567" w:hanging="567"/>
      </w:pPr>
      <w:r>
        <w:t>explain the action that may be taken if the complaint is found to be vexatious or malicious</w:t>
      </w:r>
    </w:p>
    <w:p w14:paraId="65E66B1A" w14:textId="77777777" w:rsidR="0054397D" w:rsidRPr="002839AE" w:rsidRDefault="0054397D" w:rsidP="008C5F9F">
      <w:pPr>
        <w:pStyle w:val="SubmissionNormal"/>
        <w:numPr>
          <w:ilvl w:val="0"/>
          <w:numId w:val="25"/>
        </w:numPr>
        <w:ind w:left="567" w:hanging="567"/>
      </w:pPr>
      <w:r>
        <w:t>ask the complainant to provide relevant documents or details of witnesses that may support the allegations.</w:t>
      </w:r>
    </w:p>
    <w:p w14:paraId="53A7A4BA" w14:textId="77777777" w:rsidR="0054397D" w:rsidRPr="002839AE" w:rsidRDefault="0054397D" w:rsidP="0054397D">
      <w:pPr>
        <w:pStyle w:val="Heading3"/>
        <w:numPr>
          <w:ilvl w:val="0"/>
          <w:numId w:val="0"/>
        </w:numPr>
        <w:spacing w:before="0" w:after="0"/>
        <w:ind w:left="851" w:hanging="851"/>
      </w:pPr>
      <w:r>
        <w:t>b. Advise the respondent about the complaint</w:t>
      </w:r>
    </w:p>
    <w:p w14:paraId="61675D11" w14:textId="77777777" w:rsidR="0054397D" w:rsidRDefault="0054397D" w:rsidP="0054397D">
      <w:pPr>
        <w:spacing w:before="0" w:after="0"/>
      </w:pPr>
    </w:p>
    <w:p w14:paraId="556A4BC9" w14:textId="77777777" w:rsidR="0054397D" w:rsidRDefault="00EF3DCF" w:rsidP="0054397D">
      <w:pPr>
        <w:spacing w:before="0" w:after="0"/>
      </w:pPr>
      <w:r>
        <w:t>The complaint officer should:</w:t>
      </w:r>
    </w:p>
    <w:p w14:paraId="69EA4C76" w14:textId="77777777" w:rsidR="0054397D" w:rsidRDefault="0054397D" w:rsidP="008C5F9F">
      <w:pPr>
        <w:pStyle w:val="SubmissionNormal"/>
        <w:numPr>
          <w:ilvl w:val="0"/>
          <w:numId w:val="25"/>
        </w:numPr>
        <w:ind w:left="567" w:hanging="567"/>
      </w:pPr>
      <w:r>
        <w:t xml:space="preserve">advise the respondent that a complaint has been made </w:t>
      </w:r>
      <w:r w:rsidRPr="00756CAC">
        <w:t xml:space="preserve">against </w:t>
      </w:r>
      <w:r w:rsidR="00EF3DCF">
        <w:t>them</w:t>
      </w:r>
      <w:r>
        <w:t xml:space="preserve"> and provide as much information as possible about the allegations and supporting information (where applicable)</w:t>
      </w:r>
    </w:p>
    <w:p w14:paraId="5C844107" w14:textId="77777777" w:rsidR="0054397D" w:rsidRPr="00756CAC" w:rsidRDefault="0054397D" w:rsidP="008C5F9F">
      <w:pPr>
        <w:pStyle w:val="SubmissionNormal"/>
        <w:numPr>
          <w:ilvl w:val="0"/>
          <w:numId w:val="25"/>
        </w:numPr>
        <w:ind w:left="567" w:hanging="567"/>
      </w:pPr>
      <w:r>
        <w:t xml:space="preserve">confirm that he or she will be given the opportunity to </w:t>
      </w:r>
      <w:r w:rsidRPr="00756CAC">
        <w:t>respond to the allegations in writing or through an interview</w:t>
      </w:r>
    </w:p>
    <w:p w14:paraId="58BF948A" w14:textId="77777777" w:rsidR="0054397D" w:rsidRPr="00756CAC" w:rsidRDefault="0054397D" w:rsidP="008C5F9F">
      <w:pPr>
        <w:pStyle w:val="SubmissionNormal"/>
        <w:numPr>
          <w:ilvl w:val="0"/>
          <w:numId w:val="25"/>
        </w:numPr>
        <w:ind w:left="567" w:hanging="567"/>
      </w:pPr>
      <w:r>
        <w:t xml:space="preserve">provide information about </w:t>
      </w:r>
      <w:r w:rsidRPr="00756CAC">
        <w:t>the complaint process, potential outcomes</w:t>
      </w:r>
      <w:r>
        <w:t xml:space="preserve"> and </w:t>
      </w:r>
      <w:r w:rsidRPr="00756CAC">
        <w:t>options for assistance</w:t>
      </w:r>
      <w:r>
        <w:t>/support</w:t>
      </w:r>
      <w:r w:rsidRPr="00756CAC">
        <w:t xml:space="preserve"> </w:t>
      </w:r>
    </w:p>
    <w:p w14:paraId="48B25AA8" w14:textId="77777777" w:rsidR="0054397D" w:rsidRDefault="0054397D" w:rsidP="008C5F9F">
      <w:pPr>
        <w:pStyle w:val="SubmissionNormal"/>
        <w:numPr>
          <w:ilvl w:val="0"/>
          <w:numId w:val="25"/>
        </w:numPr>
        <w:ind w:left="567" w:hanging="567"/>
      </w:pPr>
      <w:r>
        <w:t>explain that the process is confidential</w:t>
      </w:r>
      <w:r w:rsidRPr="002839AE">
        <w:t xml:space="preserve">, what this means and why </w:t>
      </w:r>
      <w:r>
        <w:t xml:space="preserve">it </w:t>
      </w:r>
      <w:r w:rsidRPr="002839AE">
        <w:t>is import</w:t>
      </w:r>
      <w:r>
        <w:t xml:space="preserve">ant </w:t>
      </w:r>
    </w:p>
    <w:p w14:paraId="7D4CC7C7" w14:textId="77777777" w:rsidR="0054397D" w:rsidRPr="002839AE" w:rsidRDefault="0054397D" w:rsidP="008C5F9F">
      <w:pPr>
        <w:pStyle w:val="SubmissionNormal"/>
        <w:numPr>
          <w:ilvl w:val="0"/>
          <w:numId w:val="25"/>
        </w:numPr>
        <w:ind w:left="567" w:hanging="567"/>
      </w:pPr>
      <w:r>
        <w:t>explain what records of the complaints will be kept, for how long and where</w:t>
      </w:r>
    </w:p>
    <w:p w14:paraId="05991AF4" w14:textId="77777777" w:rsidR="0054397D" w:rsidRDefault="0054397D" w:rsidP="008C5F9F">
      <w:pPr>
        <w:pStyle w:val="SubmissionNormal"/>
        <w:numPr>
          <w:ilvl w:val="0"/>
          <w:numId w:val="25"/>
        </w:numPr>
        <w:ind w:left="567" w:hanging="567"/>
      </w:pPr>
      <w:r>
        <w:t>explain that it is unacceptable to victimise someone who has made a complaint.</w:t>
      </w:r>
    </w:p>
    <w:p w14:paraId="5DABA747" w14:textId="77777777" w:rsidR="0054397D" w:rsidRPr="002839AE" w:rsidRDefault="0054397D" w:rsidP="0054397D">
      <w:pPr>
        <w:pStyle w:val="Heading3"/>
        <w:numPr>
          <w:ilvl w:val="0"/>
          <w:numId w:val="0"/>
        </w:numPr>
        <w:ind w:left="851" w:hanging="851"/>
      </w:pPr>
      <w:r>
        <w:lastRenderedPageBreak/>
        <w:t xml:space="preserve">c. </w:t>
      </w:r>
      <w:r w:rsidRPr="002839AE">
        <w:t xml:space="preserve">Assess the information </w:t>
      </w:r>
    </w:p>
    <w:p w14:paraId="1D3D482E" w14:textId="77777777" w:rsidR="0054397D" w:rsidRPr="0044233F" w:rsidRDefault="0054397D" w:rsidP="0054397D">
      <w:r>
        <w:t xml:space="preserve">If the respondent confirms that he or she did what is alleged to have occurred, </w:t>
      </w:r>
      <w:r w:rsidRPr="002839AE">
        <w:t xml:space="preserve">and </w:t>
      </w:r>
      <w:r>
        <w:t xml:space="preserve">if this behaviour would be considered </w:t>
      </w:r>
      <w:r w:rsidRPr="002839AE">
        <w:t xml:space="preserve">discrimination or harassment as </w:t>
      </w:r>
      <w:r>
        <w:t xml:space="preserve">defined in the organisation’s </w:t>
      </w:r>
      <w:r w:rsidRPr="002839AE">
        <w:t>policy,</w:t>
      </w:r>
      <w:r>
        <w:t xml:space="preserve"> </w:t>
      </w:r>
      <w:r w:rsidRPr="002839AE">
        <w:t xml:space="preserve">the </w:t>
      </w:r>
      <w:r>
        <w:t xml:space="preserve">next step is to consider an appropriate outcome </w:t>
      </w:r>
      <w:r w:rsidRPr="002839AE">
        <w:t>(see below)</w:t>
      </w:r>
      <w:r w:rsidR="003F0AE4">
        <w:t xml:space="preserve">. </w:t>
      </w:r>
    </w:p>
    <w:p w14:paraId="5306CA14" w14:textId="77777777" w:rsidR="0054397D" w:rsidRDefault="0054397D" w:rsidP="0054397D">
      <w:r w:rsidRPr="002839AE">
        <w:t xml:space="preserve">If </w:t>
      </w:r>
      <w:r>
        <w:t>there is disagreement about what happened</w:t>
      </w:r>
      <w:r w:rsidRPr="002839AE">
        <w:t>,</w:t>
      </w:r>
      <w:r w:rsidR="003F0AE4">
        <w:t xml:space="preserve"> it</w:t>
      </w:r>
      <w:r>
        <w:t xml:space="preserve"> is generally understood that the person making the decision should be satisfied that it is ‘more probable than not’ that </w:t>
      </w:r>
      <w:r w:rsidR="003F0AE4">
        <w:t>sexual harassment occurred</w:t>
      </w:r>
      <w:r w:rsidR="00EB72A6">
        <w:t xml:space="preserve">. </w:t>
      </w:r>
      <w:r>
        <w:t xml:space="preserve">Given the nature of discrimination and harassment, there may often be no direct witnesses or documents to support the complainant’s version of events. This does not mean that the allegation is untrue. In these situations the complainant should be given the opportunity to comment on the information that has been provided by the respondent and to provide any other information to support his or her allegations before a final decision is made. </w:t>
      </w:r>
    </w:p>
    <w:p w14:paraId="4683320A" w14:textId="77777777" w:rsidR="0054397D" w:rsidRPr="0003575F" w:rsidRDefault="0054397D" w:rsidP="0054397D">
      <w:pPr>
        <w:pStyle w:val="Heading1"/>
        <w:numPr>
          <w:ilvl w:val="0"/>
          <w:numId w:val="0"/>
        </w:numPr>
        <w:ind w:left="851" w:hanging="851"/>
        <w:rPr>
          <w:i/>
          <w:sz w:val="24"/>
          <w:szCs w:val="24"/>
        </w:rPr>
      </w:pPr>
      <w:bookmarkStart w:id="125" w:name="_Toc388023547"/>
      <w:bookmarkStart w:id="126" w:name="_Toc396738167"/>
      <w:bookmarkStart w:id="127" w:name="_Toc397499273"/>
      <w:bookmarkStart w:id="128" w:name="_Toc397508931"/>
      <w:bookmarkStart w:id="129" w:name="_Toc397509114"/>
      <w:r w:rsidRPr="0003575F">
        <w:rPr>
          <w:i/>
          <w:sz w:val="24"/>
          <w:szCs w:val="24"/>
        </w:rPr>
        <w:t>Outcomes from the process</w:t>
      </w:r>
      <w:bookmarkEnd w:id="125"/>
      <w:bookmarkEnd w:id="126"/>
      <w:bookmarkEnd w:id="127"/>
      <w:bookmarkEnd w:id="128"/>
      <w:bookmarkEnd w:id="129"/>
      <w:r w:rsidRPr="0003575F">
        <w:rPr>
          <w:i/>
          <w:sz w:val="24"/>
          <w:szCs w:val="24"/>
        </w:rPr>
        <w:t xml:space="preserve"> </w:t>
      </w:r>
    </w:p>
    <w:p w14:paraId="32237C21" w14:textId="77777777" w:rsidR="0054397D" w:rsidRDefault="0054397D" w:rsidP="0054397D">
      <w:pPr>
        <w:pStyle w:val="Heading2"/>
        <w:numPr>
          <w:ilvl w:val="0"/>
          <w:numId w:val="0"/>
        </w:numPr>
        <w:spacing w:before="0" w:after="0"/>
        <w:rPr>
          <w:b w:val="0"/>
          <w:i w:val="0"/>
          <w:sz w:val="24"/>
          <w:szCs w:val="24"/>
        </w:rPr>
      </w:pPr>
      <w:bookmarkStart w:id="130" w:name="_Toc388023548"/>
      <w:bookmarkStart w:id="131" w:name="_Toc396738168"/>
      <w:bookmarkStart w:id="132" w:name="_Toc397499274"/>
      <w:bookmarkStart w:id="133" w:name="_Toc397508932"/>
      <w:bookmarkStart w:id="134" w:name="_Toc397509115"/>
      <w:r>
        <w:rPr>
          <w:b w:val="0"/>
          <w:sz w:val="24"/>
          <w:szCs w:val="24"/>
        </w:rPr>
        <w:t>a.</w:t>
      </w:r>
      <w:r w:rsidRPr="0079147D">
        <w:rPr>
          <w:b w:val="0"/>
          <w:sz w:val="24"/>
          <w:szCs w:val="24"/>
        </w:rPr>
        <w:t xml:space="preserve"> Where </w:t>
      </w:r>
      <w:r>
        <w:rPr>
          <w:b w:val="0"/>
          <w:sz w:val="24"/>
          <w:szCs w:val="24"/>
        </w:rPr>
        <w:t xml:space="preserve">the </w:t>
      </w:r>
      <w:r w:rsidRPr="0079147D">
        <w:rPr>
          <w:b w:val="0"/>
          <w:sz w:val="24"/>
          <w:szCs w:val="24"/>
        </w:rPr>
        <w:t>allegation</w:t>
      </w:r>
      <w:r>
        <w:rPr>
          <w:b w:val="0"/>
          <w:sz w:val="24"/>
          <w:szCs w:val="24"/>
        </w:rPr>
        <w:t>s</w:t>
      </w:r>
      <w:r w:rsidRPr="0079147D">
        <w:rPr>
          <w:b w:val="0"/>
          <w:sz w:val="24"/>
          <w:szCs w:val="24"/>
        </w:rPr>
        <w:t xml:space="preserve"> are admitted or </w:t>
      </w:r>
      <w:r>
        <w:rPr>
          <w:b w:val="0"/>
          <w:sz w:val="24"/>
          <w:szCs w:val="24"/>
        </w:rPr>
        <w:t>substantiated</w:t>
      </w:r>
      <w:bookmarkEnd w:id="130"/>
      <w:bookmarkEnd w:id="131"/>
      <w:bookmarkEnd w:id="132"/>
      <w:bookmarkEnd w:id="133"/>
      <w:bookmarkEnd w:id="134"/>
      <w:r>
        <w:rPr>
          <w:b w:val="0"/>
          <w:sz w:val="24"/>
          <w:szCs w:val="24"/>
        </w:rPr>
        <w:t xml:space="preserve"> </w:t>
      </w:r>
    </w:p>
    <w:p w14:paraId="165DD74E" w14:textId="77777777" w:rsidR="0054397D" w:rsidRDefault="0054397D" w:rsidP="0054397D">
      <w:pPr>
        <w:pStyle w:val="Heading2"/>
        <w:numPr>
          <w:ilvl w:val="0"/>
          <w:numId w:val="0"/>
        </w:numPr>
        <w:spacing w:before="0" w:after="0"/>
        <w:rPr>
          <w:b w:val="0"/>
          <w:i w:val="0"/>
          <w:sz w:val="24"/>
          <w:szCs w:val="24"/>
        </w:rPr>
      </w:pPr>
    </w:p>
    <w:p w14:paraId="29199298" w14:textId="77777777" w:rsidR="0054397D" w:rsidRPr="007254E3" w:rsidRDefault="0054397D" w:rsidP="0054397D">
      <w:pPr>
        <w:pStyle w:val="Heading2"/>
        <w:numPr>
          <w:ilvl w:val="0"/>
          <w:numId w:val="0"/>
        </w:numPr>
        <w:spacing w:before="0" w:after="0"/>
        <w:rPr>
          <w:b w:val="0"/>
          <w:i w:val="0"/>
          <w:sz w:val="24"/>
          <w:szCs w:val="24"/>
        </w:rPr>
      </w:pPr>
      <w:bookmarkStart w:id="135" w:name="_Toc388023549"/>
      <w:bookmarkStart w:id="136" w:name="_Toc396738169"/>
      <w:bookmarkStart w:id="137" w:name="_Toc397499275"/>
      <w:bookmarkStart w:id="138" w:name="_Toc397508933"/>
      <w:bookmarkStart w:id="139" w:name="_Toc397509116"/>
      <w:r>
        <w:rPr>
          <w:b w:val="0"/>
          <w:i w:val="0"/>
          <w:sz w:val="24"/>
          <w:szCs w:val="24"/>
        </w:rPr>
        <w:t>Outcomes for the respondent may include:</w:t>
      </w:r>
      <w:bookmarkEnd w:id="135"/>
      <w:bookmarkEnd w:id="136"/>
      <w:bookmarkEnd w:id="137"/>
      <w:bookmarkEnd w:id="138"/>
      <w:bookmarkEnd w:id="139"/>
    </w:p>
    <w:p w14:paraId="5519A117" w14:textId="77777777" w:rsidR="0054397D" w:rsidRDefault="0054397D" w:rsidP="008C5F9F">
      <w:pPr>
        <w:pStyle w:val="SubmissionNormal"/>
        <w:numPr>
          <w:ilvl w:val="0"/>
          <w:numId w:val="25"/>
        </w:numPr>
        <w:ind w:left="567" w:hanging="567"/>
      </w:pPr>
      <w:r>
        <w:t>disciplinary</w:t>
      </w:r>
      <w:r w:rsidR="009764F7">
        <w:t xml:space="preserve"> action or</w:t>
      </w:r>
      <w:r>
        <w:t xml:space="preserve"> counselling </w:t>
      </w:r>
    </w:p>
    <w:p w14:paraId="5345E152" w14:textId="77777777" w:rsidR="0054397D" w:rsidRDefault="00EF3DCF" w:rsidP="008C5F9F">
      <w:pPr>
        <w:pStyle w:val="SubmissionNormal"/>
        <w:numPr>
          <w:ilvl w:val="0"/>
          <w:numId w:val="25"/>
        </w:numPr>
        <w:ind w:left="567" w:hanging="567"/>
      </w:pPr>
      <w:r>
        <w:t>an official warning</w:t>
      </w:r>
    </w:p>
    <w:p w14:paraId="3AE1EB32" w14:textId="77777777" w:rsidR="0054397D" w:rsidRPr="002839AE" w:rsidRDefault="0054397D" w:rsidP="008C5F9F">
      <w:pPr>
        <w:pStyle w:val="SubmissionNormal"/>
        <w:numPr>
          <w:ilvl w:val="0"/>
          <w:numId w:val="25"/>
        </w:numPr>
        <w:ind w:left="567" w:hanging="567"/>
      </w:pPr>
      <w:r>
        <w:t>a requirement to attend discrimination and harassment awareness training</w:t>
      </w:r>
    </w:p>
    <w:p w14:paraId="08089FEE" w14:textId="77777777" w:rsidR="0054397D" w:rsidRPr="002839AE" w:rsidRDefault="0054397D" w:rsidP="008C5F9F">
      <w:pPr>
        <w:pStyle w:val="SubmissionNormal"/>
        <w:numPr>
          <w:ilvl w:val="0"/>
          <w:numId w:val="25"/>
        </w:numPr>
        <w:ind w:left="567" w:hanging="567"/>
      </w:pPr>
      <w:r>
        <w:t xml:space="preserve">a requirement to provide a </w:t>
      </w:r>
      <w:r w:rsidRPr="002839AE">
        <w:t>formal apology</w:t>
      </w:r>
      <w:r>
        <w:t xml:space="preserve"> to the complainant</w:t>
      </w:r>
    </w:p>
    <w:p w14:paraId="4DEC1ADE" w14:textId="77777777" w:rsidR="0054397D" w:rsidRPr="002839AE" w:rsidRDefault="0054397D" w:rsidP="008C5F9F">
      <w:pPr>
        <w:pStyle w:val="SubmissionNormal"/>
        <w:numPr>
          <w:ilvl w:val="0"/>
          <w:numId w:val="25"/>
        </w:numPr>
        <w:ind w:left="567" w:hanging="567"/>
      </w:pPr>
      <w:r>
        <w:t xml:space="preserve">participation in </w:t>
      </w:r>
      <w:r w:rsidRPr="002839AE">
        <w:t>mediation to restore</w:t>
      </w:r>
      <w:r>
        <w:t xml:space="preserve"> relationships in the workplace</w:t>
      </w:r>
      <w:r w:rsidR="00EF3DCF">
        <w:t>.</w:t>
      </w:r>
    </w:p>
    <w:p w14:paraId="75CF9355" w14:textId="77777777" w:rsidR="0054397D" w:rsidRPr="002839AE" w:rsidRDefault="0054397D" w:rsidP="0054397D">
      <w:r>
        <w:t>Outcomes for the complainant may include:</w:t>
      </w:r>
    </w:p>
    <w:p w14:paraId="3754182B" w14:textId="77777777" w:rsidR="0054397D" w:rsidRPr="002839AE" w:rsidRDefault="0054397D" w:rsidP="008C5F9F">
      <w:pPr>
        <w:pStyle w:val="SubmissionNormal"/>
        <w:numPr>
          <w:ilvl w:val="0"/>
          <w:numId w:val="25"/>
        </w:numPr>
        <w:ind w:left="567" w:hanging="567"/>
      </w:pPr>
      <w:r w:rsidRPr="002839AE">
        <w:t>reaccrediting of any leave taken as a result of the discrimination or harassment</w:t>
      </w:r>
    </w:p>
    <w:p w14:paraId="302FFFDD" w14:textId="77777777" w:rsidR="0054397D" w:rsidRDefault="0054397D" w:rsidP="008C5F9F">
      <w:pPr>
        <w:pStyle w:val="SubmissionNormal"/>
        <w:numPr>
          <w:ilvl w:val="0"/>
          <w:numId w:val="25"/>
        </w:numPr>
        <w:ind w:left="567" w:hanging="567"/>
      </w:pPr>
      <w:r>
        <w:t>supportive counselling</w:t>
      </w:r>
    </w:p>
    <w:p w14:paraId="3C779DBF" w14:textId="77777777" w:rsidR="0054397D" w:rsidRPr="002839AE" w:rsidRDefault="0054397D" w:rsidP="008C5F9F">
      <w:pPr>
        <w:pStyle w:val="SubmissionNormal"/>
        <w:numPr>
          <w:ilvl w:val="0"/>
          <w:numId w:val="25"/>
        </w:numPr>
        <w:ind w:left="567" w:hanging="567"/>
      </w:pPr>
      <w:r>
        <w:t>a change in the work environment, as requested</w:t>
      </w:r>
      <w:r w:rsidR="00C97F42">
        <w:t xml:space="preserve"> eg </w:t>
      </w:r>
      <w:r>
        <w:t>a change in work teams or location</w:t>
      </w:r>
    </w:p>
    <w:p w14:paraId="53EB87C5" w14:textId="77777777" w:rsidR="0054397D" w:rsidRDefault="0054397D" w:rsidP="008C5F9F">
      <w:pPr>
        <w:pStyle w:val="SubmissionNormal"/>
        <w:numPr>
          <w:ilvl w:val="0"/>
          <w:numId w:val="25"/>
        </w:numPr>
        <w:ind w:left="567" w:hanging="567"/>
      </w:pPr>
      <w:r w:rsidRPr="002839AE">
        <w:t>participation in mediation to restore</w:t>
      </w:r>
      <w:r>
        <w:t xml:space="preserve"> relationships in the workplace.</w:t>
      </w:r>
    </w:p>
    <w:p w14:paraId="0DC4732D" w14:textId="77777777" w:rsidR="0054397D" w:rsidRPr="0079147D" w:rsidRDefault="0054397D" w:rsidP="0054397D">
      <w:pPr>
        <w:rPr>
          <w:i/>
        </w:rPr>
      </w:pPr>
      <w:r>
        <w:rPr>
          <w:i/>
        </w:rPr>
        <w:t>b.</w:t>
      </w:r>
      <w:r w:rsidRPr="0079147D">
        <w:rPr>
          <w:i/>
        </w:rPr>
        <w:t xml:space="preserve"> Where </w:t>
      </w:r>
      <w:r>
        <w:rPr>
          <w:i/>
        </w:rPr>
        <w:t xml:space="preserve">the </w:t>
      </w:r>
      <w:r w:rsidRPr="0079147D">
        <w:rPr>
          <w:i/>
        </w:rPr>
        <w:t xml:space="preserve">allegations are </w:t>
      </w:r>
      <w:r>
        <w:rPr>
          <w:i/>
        </w:rPr>
        <w:t xml:space="preserve">not </w:t>
      </w:r>
      <w:r w:rsidRPr="0079147D">
        <w:rPr>
          <w:i/>
        </w:rPr>
        <w:t xml:space="preserve">admitted or substantiated </w:t>
      </w:r>
    </w:p>
    <w:p w14:paraId="44833A52" w14:textId="77777777" w:rsidR="0054397D" w:rsidRDefault="0054397D" w:rsidP="0054397D">
      <w:r w:rsidRPr="00531569">
        <w:t>Where allegations have not</w:t>
      </w:r>
      <w:r>
        <w:t xml:space="preserve"> been admitted or </w:t>
      </w:r>
      <w:r w:rsidRPr="00531569">
        <w:t>substantiated</w:t>
      </w:r>
      <w:r>
        <w:t>, it may still be</w:t>
      </w:r>
      <w:r>
        <w:rPr>
          <w:b/>
          <w:i/>
        </w:rPr>
        <w:t xml:space="preserve"> </w:t>
      </w:r>
      <w:r>
        <w:t xml:space="preserve">appropriate for </w:t>
      </w:r>
      <w:r w:rsidR="008317C4">
        <w:t>a</w:t>
      </w:r>
      <w:r w:rsidRPr="00FC4A22">
        <w:t xml:space="preserve"> </w:t>
      </w:r>
      <w:r w:rsidR="008317C4">
        <w:t>small business</w:t>
      </w:r>
      <w:r w:rsidR="008317C4" w:rsidRPr="003624E0">
        <w:t xml:space="preserve"> </w:t>
      </w:r>
      <w:r>
        <w:t>to take some action as a result of the complaint. For</w:t>
      </w:r>
      <w:r>
        <w:rPr>
          <w:b/>
          <w:i/>
        </w:rPr>
        <w:t xml:space="preserve"> </w:t>
      </w:r>
      <w:r>
        <w:t xml:space="preserve">example, it may be appropriate to: </w:t>
      </w:r>
    </w:p>
    <w:p w14:paraId="796145BC" w14:textId="77777777" w:rsidR="0054397D" w:rsidRPr="00277D7A" w:rsidRDefault="0054397D" w:rsidP="008C5F9F">
      <w:pPr>
        <w:numPr>
          <w:ilvl w:val="0"/>
          <w:numId w:val="30"/>
        </w:numPr>
        <w:rPr>
          <w:b/>
          <w:i/>
        </w:rPr>
      </w:pPr>
      <w:r>
        <w:t xml:space="preserve"> provide refresher training for all staff regarding </w:t>
      </w:r>
      <w:r w:rsidRPr="009D3818">
        <w:t>appropriate workplace behaviour</w:t>
      </w:r>
      <w:r>
        <w:rPr>
          <w:b/>
          <w:i/>
        </w:rPr>
        <w:t xml:space="preserve">, </w:t>
      </w:r>
      <w:r>
        <w:t xml:space="preserve">and/or </w:t>
      </w:r>
    </w:p>
    <w:p w14:paraId="23BD375B" w14:textId="77777777" w:rsidR="0054397D" w:rsidRPr="00277D7A" w:rsidRDefault="0054397D" w:rsidP="008C5F9F">
      <w:pPr>
        <w:numPr>
          <w:ilvl w:val="0"/>
          <w:numId w:val="30"/>
        </w:numPr>
        <w:rPr>
          <w:b/>
          <w:i/>
        </w:rPr>
      </w:pPr>
      <w:r w:rsidRPr="001D7B62">
        <w:lastRenderedPageBreak/>
        <w:t>r</w:t>
      </w:r>
      <w:r>
        <w:t>e</w:t>
      </w:r>
      <w:r w:rsidRPr="0003575F">
        <w:rPr>
          <w:i/>
        </w:rPr>
        <w:t>-</w:t>
      </w:r>
      <w:r w:rsidRPr="0003575F">
        <w:t>i</w:t>
      </w:r>
      <w:r>
        <w:t xml:space="preserve">ssue the discrimination and harassment policy or </w:t>
      </w:r>
      <w:r w:rsidRPr="009D3818">
        <w:t>code of conduct</w:t>
      </w:r>
      <w:r>
        <w:t xml:space="preserve"> to all employees. </w:t>
      </w:r>
    </w:p>
    <w:bookmarkEnd w:id="95"/>
    <w:p w14:paraId="2D0173DA" w14:textId="77777777" w:rsidR="00EB72A6" w:rsidRDefault="00EB72A6">
      <w:pPr>
        <w:spacing w:before="0" w:after="0"/>
        <w:rPr>
          <w:b/>
          <w:bCs/>
          <w:sz w:val="28"/>
          <w:szCs w:val="28"/>
          <w:highlight w:val="yellow"/>
        </w:rPr>
      </w:pPr>
      <w:r>
        <w:rPr>
          <w:highlight w:val="yellow"/>
        </w:rPr>
        <w:br w:type="page"/>
      </w:r>
    </w:p>
    <w:p w14:paraId="2BC64B36" w14:textId="77777777" w:rsidR="00F17913" w:rsidRPr="00967BD2" w:rsidRDefault="00F17913" w:rsidP="00F17913">
      <w:pPr>
        <w:pStyle w:val="Heading1"/>
        <w:numPr>
          <w:ilvl w:val="0"/>
          <w:numId w:val="0"/>
        </w:numPr>
      </w:pPr>
      <w:bookmarkStart w:id="140" w:name="_Toc397509117"/>
      <w:r w:rsidRPr="00967BD2">
        <w:lastRenderedPageBreak/>
        <w:t xml:space="preserve">Appendix </w:t>
      </w:r>
      <w:r w:rsidR="008C176B">
        <w:t>3</w:t>
      </w:r>
      <w:r w:rsidRPr="00967BD2">
        <w:t xml:space="preserve">: </w:t>
      </w:r>
      <w:r w:rsidR="00F95F16" w:rsidRPr="00967BD2">
        <w:t>Sources of a</w:t>
      </w:r>
      <w:r w:rsidR="00272A18" w:rsidRPr="00967BD2">
        <w:t>ssistance</w:t>
      </w:r>
      <w:bookmarkEnd w:id="72"/>
      <w:r w:rsidR="00A96150" w:rsidRPr="00967BD2">
        <w:t xml:space="preserve"> and </w:t>
      </w:r>
      <w:r w:rsidR="00F95F16" w:rsidRPr="00967BD2">
        <w:t>information</w:t>
      </w:r>
      <w:bookmarkEnd w:id="140"/>
    </w:p>
    <w:p w14:paraId="7140285C" w14:textId="77777777" w:rsidR="00B25501" w:rsidRPr="0003575F" w:rsidRDefault="00272A18" w:rsidP="00666C18">
      <w:pPr>
        <w:rPr>
          <w:b/>
          <w:i/>
          <w:szCs w:val="28"/>
        </w:rPr>
      </w:pPr>
      <w:r w:rsidRPr="0003575F">
        <w:rPr>
          <w:b/>
          <w:i/>
          <w:sz w:val="28"/>
          <w:szCs w:val="28"/>
        </w:rPr>
        <w:t>Assistance</w:t>
      </w:r>
    </w:p>
    <w:p w14:paraId="45595825" w14:textId="77777777" w:rsidR="00B25501" w:rsidRDefault="00B25501" w:rsidP="00666C18">
      <w:pPr>
        <w:rPr>
          <w:b/>
          <w:szCs w:val="28"/>
        </w:rPr>
      </w:pPr>
      <w:r>
        <w:rPr>
          <w:b/>
          <w:szCs w:val="28"/>
        </w:rPr>
        <w:t>Australian Human Rights Commission</w:t>
      </w:r>
    </w:p>
    <w:p w14:paraId="0F974DB3" w14:textId="77777777" w:rsidR="00B25501" w:rsidRDefault="00B25501" w:rsidP="00B25501">
      <w:r>
        <w:rPr>
          <w:b/>
        </w:rPr>
        <w:t>Telephone</w:t>
      </w:r>
      <w:r>
        <w:rPr>
          <w:b/>
        </w:rPr>
        <w:br/>
      </w:r>
      <w:r w:rsidR="0069006C">
        <w:t>National Information Service</w:t>
      </w:r>
      <w:r>
        <w:t>: 1300 656 419 (local call)</w:t>
      </w:r>
      <w:r>
        <w:br/>
        <w:t>TTY: 1800 620 241 (toll free)</w:t>
      </w:r>
    </w:p>
    <w:p w14:paraId="3A8C7FBB" w14:textId="77777777" w:rsidR="00B25501" w:rsidRDefault="00B25501" w:rsidP="00B25501">
      <w:r>
        <w:t xml:space="preserve">NRS: </w:t>
      </w:r>
      <w:r>
        <w:rPr>
          <w:b/>
        </w:rPr>
        <w:t xml:space="preserve">133 677 </w:t>
      </w:r>
      <w:r>
        <w:t xml:space="preserve">(TTY/Voice) or </w:t>
      </w:r>
      <w:r>
        <w:rPr>
          <w:b/>
        </w:rPr>
        <w:t>1300 555 727</w:t>
      </w:r>
      <w:r>
        <w:t xml:space="preserve"> (Speak &amp; Listen)</w:t>
      </w:r>
      <w:r>
        <w:br/>
        <w:t>Fax: (02) 9284 9611</w:t>
      </w:r>
    </w:p>
    <w:p w14:paraId="3B0CE926" w14:textId="77777777" w:rsidR="00B25501" w:rsidRDefault="00B25501" w:rsidP="00B25501">
      <w:r>
        <w:rPr>
          <w:b/>
        </w:rPr>
        <w:t>Post</w:t>
      </w:r>
      <w:r>
        <w:rPr>
          <w:b/>
        </w:rPr>
        <w:br/>
      </w:r>
      <w:r>
        <w:t xml:space="preserve">Australian Human Rights Commission </w:t>
      </w:r>
      <w:r>
        <w:br/>
        <w:t>GPO Box 5218</w:t>
      </w:r>
      <w:r>
        <w:br/>
        <w:t>Sydney NSW 2001</w:t>
      </w:r>
    </w:p>
    <w:p w14:paraId="795923D4" w14:textId="77777777" w:rsidR="00B25501" w:rsidRDefault="00B25501" w:rsidP="00B25501">
      <w:r>
        <w:rPr>
          <w:b/>
        </w:rPr>
        <w:t>Online</w:t>
      </w:r>
      <w:r>
        <w:rPr>
          <w:b/>
        </w:rPr>
        <w:br/>
      </w:r>
      <w:r>
        <w:t xml:space="preserve">Email: </w:t>
      </w:r>
      <w:hyperlink r:id="rId19" w:history="1">
        <w:r w:rsidR="0069006C">
          <w:rPr>
            <w:rStyle w:val="Hyperlink"/>
          </w:rPr>
          <w:t>infoservice@humanrights.gov.au</w:t>
        </w:r>
      </w:hyperlink>
      <w:r>
        <w:rPr>
          <w:rStyle w:val="Hyperlink"/>
        </w:rPr>
        <w:t xml:space="preserve"> </w:t>
      </w:r>
      <w:r>
        <w:br/>
        <w:t xml:space="preserve">Website: </w:t>
      </w:r>
      <w:hyperlink r:id="rId20" w:history="1">
        <w:r>
          <w:rPr>
            <w:rStyle w:val="Hyperlink"/>
          </w:rPr>
          <w:t>www.humanrights.gov.au</w:t>
        </w:r>
      </w:hyperlink>
      <w:r>
        <w:rPr>
          <w:rStyle w:val="Hyperlink"/>
        </w:rPr>
        <w:t xml:space="preserve"> </w:t>
      </w:r>
    </w:p>
    <w:p w14:paraId="6BC071BA" w14:textId="77777777" w:rsidR="00B25501" w:rsidRDefault="00B25501" w:rsidP="00B25501">
      <w:r>
        <w:t xml:space="preserve">If you need an interpreter you can call the Translating and Interpreting Service (TIS) on </w:t>
      </w:r>
      <w:r>
        <w:rPr>
          <w:b/>
        </w:rPr>
        <w:t>131 450</w:t>
      </w:r>
      <w:r>
        <w:t xml:space="preserve"> and ask to be connected to the Australian Human Rights Commission.</w:t>
      </w:r>
    </w:p>
    <w:p w14:paraId="50D7D432" w14:textId="77777777" w:rsidR="00B25501" w:rsidRPr="003624E0" w:rsidRDefault="000859DB" w:rsidP="00666C18">
      <w:pPr>
        <w:rPr>
          <w:b/>
          <w:szCs w:val="28"/>
        </w:rPr>
      </w:pPr>
      <w:r>
        <w:rPr>
          <w:b/>
          <w:szCs w:val="28"/>
        </w:rPr>
        <w:t>Other federal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483893" w:rsidRPr="003624E0" w14:paraId="7A3B1345" w14:textId="77777777">
        <w:tc>
          <w:tcPr>
            <w:tcW w:w="4643" w:type="dxa"/>
            <w:shd w:val="clear" w:color="auto" w:fill="DAEEF3" w:themeFill="accent5" w:themeFillTint="33"/>
          </w:tcPr>
          <w:p w14:paraId="02F46419" w14:textId="77777777" w:rsidR="00483893" w:rsidRPr="003624E0" w:rsidRDefault="000859DB" w:rsidP="00391CDF">
            <w:pPr>
              <w:spacing w:before="120" w:after="120"/>
              <w:rPr>
                <w:b/>
                <w:bCs/>
                <w:sz w:val="22"/>
                <w:szCs w:val="22"/>
              </w:rPr>
            </w:pPr>
            <w:r>
              <w:rPr>
                <w:b/>
                <w:bCs/>
                <w:sz w:val="22"/>
                <w:szCs w:val="22"/>
              </w:rPr>
              <w:t>Fair Work Commission</w:t>
            </w:r>
          </w:p>
          <w:p w14:paraId="74B0D611" w14:textId="77777777" w:rsidR="000859DB" w:rsidRDefault="00BB5633" w:rsidP="008F78D7">
            <w:pPr>
              <w:spacing w:before="120" w:after="120"/>
              <w:rPr>
                <w:sz w:val="22"/>
                <w:szCs w:val="22"/>
              </w:rPr>
            </w:pPr>
            <w:r w:rsidRPr="00BB5633">
              <w:rPr>
                <w:rFonts w:ascii="Helvetica" w:hAnsi="Helvetica"/>
                <w:sz w:val="21"/>
                <w:szCs w:val="21"/>
                <w:lang w:val="en"/>
              </w:rPr>
              <w:t>1300 799 675</w:t>
            </w:r>
            <w:r w:rsidRPr="00BB5633">
              <w:rPr>
                <w:sz w:val="21"/>
                <w:szCs w:val="21"/>
                <w:lang w:val="en"/>
              </w:rPr>
              <w:t>.</w:t>
            </w:r>
          </w:p>
          <w:p w14:paraId="3F1132DA" w14:textId="77777777" w:rsidR="00483893" w:rsidRPr="003624E0" w:rsidRDefault="00BB5633" w:rsidP="008F78D7">
            <w:pPr>
              <w:spacing w:before="120" w:after="120"/>
              <w:rPr>
                <w:sz w:val="22"/>
                <w:szCs w:val="22"/>
              </w:rPr>
            </w:pPr>
            <w:r w:rsidRPr="00BB5633">
              <w:rPr>
                <w:sz w:val="22"/>
                <w:szCs w:val="22"/>
              </w:rPr>
              <w:t>https://www.fwc.gov.au/</w:t>
            </w:r>
          </w:p>
        </w:tc>
        <w:tc>
          <w:tcPr>
            <w:tcW w:w="4643" w:type="dxa"/>
            <w:shd w:val="clear" w:color="auto" w:fill="C6D9F1" w:themeFill="text2" w:themeFillTint="33"/>
          </w:tcPr>
          <w:p w14:paraId="11D8BC86" w14:textId="77777777" w:rsidR="00391CDF" w:rsidRPr="003624E0" w:rsidRDefault="000E42F8" w:rsidP="000E42F8">
            <w:pPr>
              <w:spacing w:before="120" w:after="120"/>
              <w:rPr>
                <w:b/>
                <w:sz w:val="22"/>
                <w:szCs w:val="22"/>
              </w:rPr>
            </w:pPr>
            <w:r w:rsidRPr="003624E0">
              <w:rPr>
                <w:b/>
                <w:sz w:val="22"/>
                <w:szCs w:val="22"/>
              </w:rPr>
              <w:t>Fair Work Ombudsman</w:t>
            </w:r>
          </w:p>
          <w:p w14:paraId="42C526AA" w14:textId="77777777" w:rsidR="000E42F8" w:rsidRPr="003624E0" w:rsidRDefault="000E42F8" w:rsidP="000E42F8">
            <w:pPr>
              <w:spacing w:before="120" w:after="120"/>
              <w:rPr>
                <w:sz w:val="22"/>
                <w:szCs w:val="22"/>
              </w:rPr>
            </w:pPr>
            <w:r w:rsidRPr="003624E0">
              <w:rPr>
                <w:sz w:val="22"/>
                <w:szCs w:val="22"/>
              </w:rPr>
              <w:t>13 13 94</w:t>
            </w:r>
          </w:p>
          <w:p w14:paraId="20691443" w14:textId="77777777" w:rsidR="000E42F8" w:rsidRPr="003624E0" w:rsidRDefault="005B2E48" w:rsidP="000E42F8">
            <w:pPr>
              <w:spacing w:before="120" w:after="120"/>
              <w:rPr>
                <w:sz w:val="22"/>
                <w:szCs w:val="22"/>
              </w:rPr>
            </w:pPr>
            <w:hyperlink r:id="rId21" w:history="1">
              <w:r w:rsidR="000E42F8" w:rsidRPr="003624E0">
                <w:rPr>
                  <w:rStyle w:val="Hyperlink"/>
                  <w:sz w:val="22"/>
                </w:rPr>
                <w:t>http://www.fairwork.gov.au</w:t>
              </w:r>
            </w:hyperlink>
          </w:p>
        </w:tc>
      </w:tr>
      <w:tr w:rsidR="00E6578E" w:rsidRPr="003624E0" w14:paraId="1E7A6BCD" w14:textId="77777777">
        <w:tc>
          <w:tcPr>
            <w:tcW w:w="4643" w:type="dxa"/>
            <w:shd w:val="clear" w:color="auto" w:fill="auto"/>
          </w:tcPr>
          <w:p w14:paraId="475F4277" w14:textId="77777777" w:rsidR="00E6578E" w:rsidRPr="003624E0" w:rsidRDefault="00A04A5F" w:rsidP="000E42F8">
            <w:pPr>
              <w:rPr>
                <w:b/>
                <w:bCs/>
                <w:sz w:val="22"/>
                <w:szCs w:val="22"/>
              </w:rPr>
            </w:pPr>
            <w:r>
              <w:rPr>
                <w:b/>
                <w:bCs/>
                <w:szCs w:val="22"/>
              </w:rPr>
              <w:t>S</w:t>
            </w:r>
            <w:r w:rsidR="00E6578E" w:rsidRPr="003624E0">
              <w:rPr>
                <w:b/>
                <w:bCs/>
                <w:szCs w:val="22"/>
              </w:rPr>
              <w:t>tate and territory</w:t>
            </w:r>
            <w:r w:rsidR="000859DB">
              <w:rPr>
                <w:b/>
                <w:bCs/>
                <w:szCs w:val="22"/>
              </w:rPr>
              <w:t xml:space="preserve"> agencies</w:t>
            </w:r>
          </w:p>
        </w:tc>
        <w:tc>
          <w:tcPr>
            <w:tcW w:w="4643" w:type="dxa"/>
            <w:shd w:val="clear" w:color="auto" w:fill="auto"/>
          </w:tcPr>
          <w:p w14:paraId="2C85A793" w14:textId="77777777" w:rsidR="00E6578E" w:rsidRPr="003624E0" w:rsidRDefault="00E6578E" w:rsidP="00391CDF">
            <w:pPr>
              <w:spacing w:before="120" w:after="120"/>
              <w:rPr>
                <w:b/>
                <w:bCs/>
                <w:sz w:val="22"/>
                <w:szCs w:val="22"/>
              </w:rPr>
            </w:pPr>
          </w:p>
        </w:tc>
      </w:tr>
      <w:tr w:rsidR="00483893" w:rsidRPr="003624E0" w14:paraId="42C154CA" w14:textId="77777777">
        <w:tc>
          <w:tcPr>
            <w:tcW w:w="4643" w:type="dxa"/>
            <w:shd w:val="clear" w:color="auto" w:fill="C6D9F1" w:themeFill="text2" w:themeFillTint="33"/>
          </w:tcPr>
          <w:p w14:paraId="59865031" w14:textId="77777777" w:rsidR="00E6578E" w:rsidRPr="003624E0" w:rsidRDefault="00E6578E" w:rsidP="000E42F8">
            <w:pPr>
              <w:spacing w:after="120"/>
              <w:rPr>
                <w:sz w:val="22"/>
                <w:szCs w:val="22"/>
              </w:rPr>
            </w:pPr>
            <w:r w:rsidRPr="003624E0">
              <w:rPr>
                <w:b/>
                <w:bCs/>
                <w:sz w:val="22"/>
                <w:szCs w:val="22"/>
              </w:rPr>
              <w:t>ACT Human Rights Commission</w:t>
            </w:r>
          </w:p>
          <w:p w14:paraId="10BF54E6" w14:textId="77777777" w:rsidR="00E6578E" w:rsidRPr="003624E0" w:rsidRDefault="00E6578E" w:rsidP="00E6578E">
            <w:pPr>
              <w:spacing w:before="120" w:after="120"/>
              <w:rPr>
                <w:sz w:val="22"/>
                <w:szCs w:val="22"/>
              </w:rPr>
            </w:pPr>
            <w:r w:rsidRPr="003624E0">
              <w:rPr>
                <w:sz w:val="22"/>
                <w:szCs w:val="22"/>
              </w:rPr>
              <w:t xml:space="preserve">(02) 6205 2222 or  </w:t>
            </w:r>
            <w:r w:rsidRPr="003624E0">
              <w:rPr>
                <w:rFonts w:cs="Arial"/>
                <w:color w:val="323232"/>
                <w:sz w:val="22"/>
                <w:szCs w:val="22"/>
              </w:rPr>
              <w:t>(02) 6205 1666 (</w:t>
            </w:r>
            <w:r w:rsidRPr="003624E0">
              <w:rPr>
                <w:sz w:val="22"/>
                <w:szCs w:val="22"/>
              </w:rPr>
              <w:t>TTY</w:t>
            </w:r>
            <w:r w:rsidRPr="003624E0">
              <w:rPr>
                <w:rFonts w:cs="Arial"/>
                <w:color w:val="323232"/>
                <w:sz w:val="22"/>
                <w:szCs w:val="22"/>
              </w:rPr>
              <w:t>)</w:t>
            </w:r>
          </w:p>
          <w:p w14:paraId="1728C104" w14:textId="77777777" w:rsidR="00483893" w:rsidRPr="003624E0" w:rsidRDefault="005B2E48" w:rsidP="008F78D7">
            <w:pPr>
              <w:spacing w:before="120" w:after="120"/>
              <w:rPr>
                <w:sz w:val="22"/>
                <w:szCs w:val="22"/>
              </w:rPr>
            </w:pPr>
            <w:hyperlink r:id="rId22" w:history="1">
              <w:r w:rsidR="00E6578E" w:rsidRPr="003624E0">
                <w:rPr>
                  <w:rStyle w:val="Hyperlink"/>
                  <w:sz w:val="22"/>
                  <w:szCs w:val="22"/>
                </w:rPr>
                <w:t>www.hrc.act.gov.au/</w:t>
              </w:r>
            </w:hyperlink>
          </w:p>
        </w:tc>
        <w:tc>
          <w:tcPr>
            <w:tcW w:w="4643" w:type="dxa"/>
            <w:shd w:val="clear" w:color="auto" w:fill="DAEEF3" w:themeFill="accent5" w:themeFillTint="33"/>
          </w:tcPr>
          <w:p w14:paraId="1181788B" w14:textId="77777777" w:rsidR="00E6578E" w:rsidRPr="003624E0" w:rsidRDefault="00E6578E" w:rsidP="000E42F8">
            <w:pPr>
              <w:spacing w:after="120"/>
              <w:rPr>
                <w:b/>
                <w:bCs/>
                <w:sz w:val="22"/>
                <w:szCs w:val="22"/>
              </w:rPr>
            </w:pPr>
            <w:r w:rsidRPr="003624E0">
              <w:rPr>
                <w:b/>
                <w:bCs/>
                <w:sz w:val="22"/>
                <w:szCs w:val="22"/>
              </w:rPr>
              <w:t>Anti-Discrimination Board of New South Wales</w:t>
            </w:r>
          </w:p>
          <w:p w14:paraId="2EFA27EA" w14:textId="77777777" w:rsidR="00E6578E" w:rsidRPr="003624E0" w:rsidRDefault="00E6578E" w:rsidP="00E6578E">
            <w:pPr>
              <w:spacing w:before="120" w:after="120"/>
              <w:rPr>
                <w:sz w:val="22"/>
                <w:szCs w:val="22"/>
              </w:rPr>
            </w:pPr>
            <w:r w:rsidRPr="003624E0">
              <w:rPr>
                <w:sz w:val="22"/>
                <w:szCs w:val="22"/>
              </w:rPr>
              <w:t>(02) 9268 5544 or 1800 670 812</w:t>
            </w:r>
          </w:p>
          <w:p w14:paraId="4DDA176B" w14:textId="77777777" w:rsidR="00483893" w:rsidRPr="003624E0" w:rsidRDefault="005B2E48" w:rsidP="00E6578E">
            <w:pPr>
              <w:spacing w:before="120" w:after="120"/>
              <w:rPr>
                <w:b/>
                <w:bCs/>
                <w:sz w:val="22"/>
                <w:szCs w:val="22"/>
              </w:rPr>
            </w:pPr>
            <w:hyperlink r:id="rId23" w:history="1">
              <w:r w:rsidR="00E6578E" w:rsidRPr="003624E0">
                <w:rPr>
                  <w:rStyle w:val="Hyperlink"/>
                  <w:bCs/>
                  <w:sz w:val="22"/>
                  <w:szCs w:val="22"/>
                </w:rPr>
                <w:t>www.lawlink.nsw.gov.au/adb</w:t>
              </w:r>
            </w:hyperlink>
          </w:p>
        </w:tc>
      </w:tr>
      <w:tr w:rsidR="00483893" w:rsidRPr="003624E0" w14:paraId="33FABD6A" w14:textId="77777777">
        <w:tc>
          <w:tcPr>
            <w:tcW w:w="4643" w:type="dxa"/>
            <w:shd w:val="clear" w:color="auto" w:fill="DAEEF3" w:themeFill="accent5" w:themeFillTint="33"/>
          </w:tcPr>
          <w:p w14:paraId="0DDE98F6" w14:textId="77777777" w:rsidR="00483893" w:rsidRPr="003624E0" w:rsidRDefault="00483893" w:rsidP="000E42F8">
            <w:pPr>
              <w:spacing w:after="120"/>
              <w:rPr>
                <w:sz w:val="22"/>
                <w:szCs w:val="22"/>
              </w:rPr>
            </w:pPr>
            <w:r w:rsidRPr="003624E0">
              <w:rPr>
                <w:b/>
                <w:bCs/>
                <w:sz w:val="22"/>
                <w:szCs w:val="22"/>
              </w:rPr>
              <w:t>Anti-Discrimination Commission Queensland</w:t>
            </w:r>
          </w:p>
          <w:p w14:paraId="2F9EC519" w14:textId="77777777" w:rsidR="00483893" w:rsidRPr="003624E0" w:rsidRDefault="00483893" w:rsidP="00391CDF">
            <w:pPr>
              <w:spacing w:before="120" w:after="120"/>
              <w:rPr>
                <w:sz w:val="22"/>
                <w:szCs w:val="22"/>
              </w:rPr>
            </w:pPr>
            <w:r w:rsidRPr="003624E0">
              <w:rPr>
                <w:sz w:val="22"/>
                <w:szCs w:val="22"/>
              </w:rPr>
              <w:t>1300 130 670</w:t>
            </w:r>
            <w:r w:rsidR="008F78D7" w:rsidRPr="003624E0">
              <w:rPr>
                <w:sz w:val="22"/>
                <w:szCs w:val="22"/>
              </w:rPr>
              <w:t xml:space="preserve"> </w:t>
            </w:r>
          </w:p>
          <w:p w14:paraId="78FC1E9B" w14:textId="77777777" w:rsidR="00483893" w:rsidRPr="003624E0" w:rsidRDefault="005B2E48" w:rsidP="00391CDF">
            <w:pPr>
              <w:spacing w:before="120" w:after="120"/>
              <w:rPr>
                <w:sz w:val="22"/>
                <w:szCs w:val="22"/>
              </w:rPr>
            </w:pPr>
            <w:hyperlink r:id="rId24" w:history="1">
              <w:r w:rsidR="008F78D7" w:rsidRPr="003624E0">
                <w:rPr>
                  <w:rStyle w:val="Hyperlink"/>
                  <w:sz w:val="22"/>
                  <w:szCs w:val="22"/>
                </w:rPr>
                <w:t>www.adcq.qld.gov.au</w:t>
              </w:r>
            </w:hyperlink>
          </w:p>
        </w:tc>
        <w:tc>
          <w:tcPr>
            <w:tcW w:w="4643" w:type="dxa"/>
            <w:shd w:val="clear" w:color="auto" w:fill="C6D9F1" w:themeFill="text2" w:themeFillTint="33"/>
          </w:tcPr>
          <w:p w14:paraId="7B2F07EE" w14:textId="77777777" w:rsidR="00483893" w:rsidRPr="003624E0" w:rsidRDefault="00483893" w:rsidP="000E42F8">
            <w:pPr>
              <w:spacing w:after="120"/>
              <w:rPr>
                <w:b/>
                <w:bCs/>
                <w:sz w:val="22"/>
                <w:szCs w:val="22"/>
              </w:rPr>
            </w:pPr>
            <w:r w:rsidRPr="003624E0">
              <w:rPr>
                <w:b/>
                <w:bCs/>
                <w:sz w:val="22"/>
                <w:szCs w:val="22"/>
              </w:rPr>
              <w:t>Equal Opportunity Commission (South Australia)</w:t>
            </w:r>
          </w:p>
          <w:p w14:paraId="56503DC1" w14:textId="77777777" w:rsidR="00483893" w:rsidRPr="003624E0" w:rsidRDefault="00483893" w:rsidP="00391CDF">
            <w:pPr>
              <w:spacing w:before="120" w:after="120"/>
              <w:rPr>
                <w:sz w:val="22"/>
                <w:szCs w:val="22"/>
              </w:rPr>
            </w:pPr>
            <w:r w:rsidRPr="003624E0">
              <w:rPr>
                <w:sz w:val="22"/>
                <w:szCs w:val="22"/>
              </w:rPr>
              <w:t xml:space="preserve">1800 188 163 </w:t>
            </w:r>
            <w:r w:rsidR="008F78D7" w:rsidRPr="003624E0">
              <w:rPr>
                <w:sz w:val="22"/>
                <w:szCs w:val="22"/>
              </w:rPr>
              <w:t>or</w:t>
            </w:r>
            <w:r w:rsidRPr="003624E0">
              <w:rPr>
                <w:sz w:val="22"/>
                <w:szCs w:val="22"/>
              </w:rPr>
              <w:t xml:space="preserve"> (08) 8207 1911</w:t>
            </w:r>
            <w:r w:rsidR="008F78D7" w:rsidRPr="003624E0">
              <w:rPr>
                <w:sz w:val="22"/>
                <w:szCs w:val="22"/>
              </w:rPr>
              <w:t xml:space="preserve"> (TTY)</w:t>
            </w:r>
          </w:p>
          <w:p w14:paraId="5F5DFE89" w14:textId="77777777" w:rsidR="00483893" w:rsidRPr="003624E0" w:rsidRDefault="005B2E48" w:rsidP="00391CDF">
            <w:pPr>
              <w:spacing w:before="120" w:after="120"/>
              <w:rPr>
                <w:sz w:val="22"/>
                <w:szCs w:val="22"/>
              </w:rPr>
            </w:pPr>
            <w:hyperlink r:id="rId25" w:history="1">
              <w:r w:rsidR="008F78D7" w:rsidRPr="003624E0">
                <w:rPr>
                  <w:rStyle w:val="Hyperlink"/>
                  <w:sz w:val="22"/>
                  <w:szCs w:val="22"/>
                </w:rPr>
                <w:t>www.eoc.sa.gov.au</w:t>
              </w:r>
            </w:hyperlink>
            <w:r w:rsidR="008F78D7" w:rsidRPr="003624E0">
              <w:rPr>
                <w:sz w:val="22"/>
                <w:szCs w:val="22"/>
              </w:rPr>
              <w:t xml:space="preserve"> </w:t>
            </w:r>
          </w:p>
        </w:tc>
      </w:tr>
      <w:tr w:rsidR="00483893" w:rsidRPr="003624E0" w14:paraId="140AA1D4" w14:textId="77777777">
        <w:tc>
          <w:tcPr>
            <w:tcW w:w="4643" w:type="dxa"/>
            <w:shd w:val="clear" w:color="auto" w:fill="C6D9F1" w:themeFill="text2" w:themeFillTint="33"/>
          </w:tcPr>
          <w:p w14:paraId="354157B6" w14:textId="77777777" w:rsidR="000E42F8" w:rsidRPr="003624E0" w:rsidRDefault="000E42F8" w:rsidP="000E42F8">
            <w:pPr>
              <w:spacing w:after="120"/>
              <w:rPr>
                <w:b/>
                <w:bCs/>
                <w:sz w:val="22"/>
                <w:szCs w:val="22"/>
              </w:rPr>
            </w:pPr>
            <w:r w:rsidRPr="003624E0">
              <w:rPr>
                <w:b/>
                <w:bCs/>
                <w:sz w:val="22"/>
                <w:szCs w:val="22"/>
              </w:rPr>
              <w:t>Equal Opportunity Commission – Western Australia</w:t>
            </w:r>
          </w:p>
          <w:p w14:paraId="26CEB08B" w14:textId="77777777" w:rsidR="000E42F8" w:rsidRPr="003624E0" w:rsidRDefault="000E42F8" w:rsidP="000E42F8">
            <w:pPr>
              <w:spacing w:before="120" w:after="120"/>
              <w:rPr>
                <w:sz w:val="22"/>
                <w:szCs w:val="22"/>
              </w:rPr>
            </w:pPr>
            <w:r w:rsidRPr="003624E0">
              <w:rPr>
                <w:sz w:val="22"/>
                <w:szCs w:val="22"/>
              </w:rPr>
              <w:t>1800 198 149 or (08) 9216 3963 (TTY)</w:t>
            </w:r>
          </w:p>
          <w:p w14:paraId="62578CA6" w14:textId="77777777" w:rsidR="00483893" w:rsidRPr="003624E0" w:rsidRDefault="005B2E48" w:rsidP="000E42F8">
            <w:pPr>
              <w:spacing w:before="120" w:after="120"/>
              <w:rPr>
                <w:b/>
                <w:bCs/>
                <w:sz w:val="22"/>
                <w:szCs w:val="22"/>
              </w:rPr>
            </w:pPr>
            <w:hyperlink r:id="rId26" w:history="1">
              <w:r w:rsidR="000E42F8" w:rsidRPr="003624E0">
                <w:rPr>
                  <w:rStyle w:val="Hyperlink"/>
                  <w:sz w:val="22"/>
                  <w:szCs w:val="22"/>
                </w:rPr>
                <w:t>www.equalopportunity.wa.gov.au</w:t>
              </w:r>
            </w:hyperlink>
            <w:r w:rsidR="000E42F8" w:rsidRPr="003624E0">
              <w:rPr>
                <w:sz w:val="22"/>
                <w:szCs w:val="22"/>
              </w:rPr>
              <w:t xml:space="preserve">  </w:t>
            </w:r>
          </w:p>
        </w:tc>
        <w:tc>
          <w:tcPr>
            <w:tcW w:w="4643" w:type="dxa"/>
            <w:shd w:val="clear" w:color="auto" w:fill="DAEEF3" w:themeFill="accent5" w:themeFillTint="33"/>
          </w:tcPr>
          <w:p w14:paraId="53BBB96F" w14:textId="77777777" w:rsidR="000E42F8" w:rsidRPr="003624E0" w:rsidRDefault="000E42F8" w:rsidP="000E42F8">
            <w:pPr>
              <w:spacing w:after="120"/>
              <w:rPr>
                <w:sz w:val="22"/>
                <w:szCs w:val="22"/>
              </w:rPr>
            </w:pPr>
            <w:r w:rsidRPr="003624E0">
              <w:rPr>
                <w:b/>
                <w:bCs/>
                <w:sz w:val="22"/>
                <w:szCs w:val="22"/>
              </w:rPr>
              <w:lastRenderedPageBreak/>
              <w:t>Northern Territory</w:t>
            </w:r>
            <w:r w:rsidRPr="003624E0">
              <w:rPr>
                <w:sz w:val="22"/>
                <w:szCs w:val="22"/>
              </w:rPr>
              <w:t xml:space="preserve"> </w:t>
            </w:r>
            <w:r w:rsidRPr="003624E0">
              <w:rPr>
                <w:b/>
                <w:bCs/>
                <w:sz w:val="22"/>
                <w:szCs w:val="22"/>
              </w:rPr>
              <w:t>Anti-Discrimination Commission</w:t>
            </w:r>
          </w:p>
          <w:p w14:paraId="63C5BE33" w14:textId="77777777" w:rsidR="000E42F8" w:rsidRPr="003624E0" w:rsidRDefault="000E42F8" w:rsidP="000E42F8">
            <w:pPr>
              <w:spacing w:before="120" w:after="120"/>
              <w:rPr>
                <w:sz w:val="22"/>
                <w:szCs w:val="22"/>
              </w:rPr>
            </w:pPr>
            <w:r w:rsidRPr="003624E0">
              <w:rPr>
                <w:sz w:val="22"/>
                <w:szCs w:val="22"/>
              </w:rPr>
              <w:t>1800 813 846 or (08) 8999 1466 (TTY)</w:t>
            </w:r>
          </w:p>
          <w:p w14:paraId="341E936E" w14:textId="77777777" w:rsidR="00483893" w:rsidRPr="003624E0" w:rsidRDefault="005B2E48" w:rsidP="00391CDF">
            <w:pPr>
              <w:spacing w:before="120" w:after="120"/>
              <w:rPr>
                <w:sz w:val="22"/>
                <w:szCs w:val="22"/>
              </w:rPr>
            </w:pPr>
            <w:hyperlink r:id="rId27" w:history="1">
              <w:r w:rsidR="000E42F8" w:rsidRPr="003624E0">
                <w:rPr>
                  <w:rStyle w:val="Hyperlink"/>
                  <w:sz w:val="22"/>
                  <w:szCs w:val="22"/>
                </w:rPr>
                <w:t>www.adc.nt.gov.au/</w:t>
              </w:r>
            </w:hyperlink>
            <w:r w:rsidR="000E42F8" w:rsidRPr="003624E0">
              <w:rPr>
                <w:sz w:val="22"/>
                <w:szCs w:val="22"/>
              </w:rPr>
              <w:t xml:space="preserve"> </w:t>
            </w:r>
          </w:p>
        </w:tc>
      </w:tr>
      <w:tr w:rsidR="00483893" w:rsidRPr="003624E0" w14:paraId="1420950B" w14:textId="77777777">
        <w:tc>
          <w:tcPr>
            <w:tcW w:w="4643" w:type="dxa"/>
            <w:shd w:val="clear" w:color="auto" w:fill="DAEEF3" w:themeFill="accent5" w:themeFillTint="33"/>
          </w:tcPr>
          <w:p w14:paraId="76EF04B3" w14:textId="77777777" w:rsidR="00E6578E" w:rsidRPr="003624E0" w:rsidRDefault="00E6578E" w:rsidP="000E42F8">
            <w:pPr>
              <w:spacing w:after="120"/>
              <w:rPr>
                <w:b/>
                <w:sz w:val="22"/>
                <w:szCs w:val="22"/>
              </w:rPr>
            </w:pPr>
            <w:r w:rsidRPr="003624E0">
              <w:rPr>
                <w:b/>
                <w:sz w:val="22"/>
                <w:szCs w:val="22"/>
              </w:rPr>
              <w:lastRenderedPageBreak/>
              <w:t>Office of the Anti-Discrimination Commissioner – Tasmania</w:t>
            </w:r>
          </w:p>
          <w:p w14:paraId="4A943A31" w14:textId="77777777" w:rsidR="00E6578E" w:rsidRPr="003624E0" w:rsidRDefault="00E6578E" w:rsidP="00E6578E">
            <w:pPr>
              <w:spacing w:before="120" w:after="120"/>
              <w:rPr>
                <w:sz w:val="22"/>
                <w:szCs w:val="22"/>
              </w:rPr>
            </w:pPr>
            <w:r w:rsidRPr="003624E0">
              <w:rPr>
                <w:sz w:val="22"/>
                <w:szCs w:val="22"/>
              </w:rPr>
              <w:t xml:space="preserve">(03) 6233 4841 or 1300 305 062 </w:t>
            </w:r>
          </w:p>
          <w:p w14:paraId="33894AAF" w14:textId="77777777" w:rsidR="00E6578E" w:rsidRPr="003624E0" w:rsidRDefault="005B2E48" w:rsidP="00E6578E">
            <w:pPr>
              <w:spacing w:before="120" w:after="120"/>
              <w:rPr>
                <w:sz w:val="22"/>
                <w:szCs w:val="22"/>
              </w:rPr>
            </w:pPr>
            <w:hyperlink r:id="rId28" w:history="1">
              <w:r w:rsidR="00E6578E" w:rsidRPr="003624E0">
                <w:rPr>
                  <w:rStyle w:val="Hyperlink"/>
                  <w:sz w:val="22"/>
                  <w:szCs w:val="22"/>
                </w:rPr>
                <w:t>www.antidiscrimination.tas.gov.au</w:t>
              </w:r>
            </w:hyperlink>
            <w:r w:rsidR="00E6578E" w:rsidRPr="003624E0">
              <w:rPr>
                <w:sz w:val="22"/>
                <w:szCs w:val="22"/>
              </w:rPr>
              <w:t xml:space="preserve"> </w:t>
            </w:r>
          </w:p>
          <w:p w14:paraId="3502F018" w14:textId="77777777" w:rsidR="00483893" w:rsidRPr="003624E0" w:rsidRDefault="00483893" w:rsidP="00E6578E">
            <w:pPr>
              <w:spacing w:before="120" w:after="120"/>
              <w:rPr>
                <w:b/>
                <w:bCs/>
                <w:sz w:val="22"/>
                <w:szCs w:val="22"/>
              </w:rPr>
            </w:pPr>
          </w:p>
        </w:tc>
        <w:tc>
          <w:tcPr>
            <w:tcW w:w="4643" w:type="dxa"/>
            <w:shd w:val="clear" w:color="auto" w:fill="C6D9F1" w:themeFill="text2" w:themeFillTint="33"/>
          </w:tcPr>
          <w:p w14:paraId="4CC19E5D" w14:textId="77777777" w:rsidR="00E6578E" w:rsidRPr="003624E0" w:rsidRDefault="00E6578E" w:rsidP="000E42F8">
            <w:pPr>
              <w:spacing w:after="120"/>
              <w:rPr>
                <w:b/>
                <w:sz w:val="22"/>
                <w:szCs w:val="22"/>
              </w:rPr>
            </w:pPr>
            <w:r w:rsidRPr="003624E0">
              <w:rPr>
                <w:b/>
                <w:sz w:val="22"/>
                <w:szCs w:val="22"/>
              </w:rPr>
              <w:t>Victorian Equal Opportunity and Human Rights Commission</w:t>
            </w:r>
          </w:p>
          <w:p w14:paraId="3AE520DD" w14:textId="77777777" w:rsidR="00E6578E" w:rsidRPr="003624E0" w:rsidRDefault="00E6578E" w:rsidP="00E6578E">
            <w:pPr>
              <w:spacing w:before="120" w:after="120"/>
              <w:rPr>
                <w:sz w:val="22"/>
                <w:szCs w:val="22"/>
              </w:rPr>
            </w:pPr>
            <w:r w:rsidRPr="003624E0">
              <w:rPr>
                <w:sz w:val="22"/>
                <w:szCs w:val="22"/>
              </w:rPr>
              <w:t>1300 891 848 or 1300 289 621 (TTY)</w:t>
            </w:r>
          </w:p>
          <w:p w14:paraId="032A9847" w14:textId="77777777" w:rsidR="00483893" w:rsidRPr="003624E0" w:rsidRDefault="005B2E48" w:rsidP="00E6578E">
            <w:pPr>
              <w:spacing w:before="120" w:after="120"/>
              <w:rPr>
                <w:b/>
                <w:bCs/>
                <w:sz w:val="22"/>
                <w:szCs w:val="22"/>
              </w:rPr>
            </w:pPr>
            <w:hyperlink r:id="rId29" w:history="1">
              <w:r w:rsidR="00E6578E" w:rsidRPr="003624E0">
                <w:rPr>
                  <w:rStyle w:val="Hyperlink"/>
                  <w:sz w:val="22"/>
                  <w:szCs w:val="22"/>
                </w:rPr>
                <w:t>www.humanrightscommission.vic.gov.au</w:t>
              </w:r>
            </w:hyperlink>
          </w:p>
        </w:tc>
      </w:tr>
    </w:tbl>
    <w:p w14:paraId="410271C8" w14:textId="77777777" w:rsidR="00A96150" w:rsidRPr="0003575F" w:rsidRDefault="00F95F16" w:rsidP="00A96150">
      <w:pPr>
        <w:rPr>
          <w:b/>
          <w:i/>
          <w:sz w:val="28"/>
          <w:szCs w:val="28"/>
        </w:rPr>
      </w:pPr>
      <w:r w:rsidRPr="0003575F">
        <w:rPr>
          <w:b/>
          <w:i/>
          <w:sz w:val="28"/>
          <w:szCs w:val="28"/>
        </w:rPr>
        <w:t>Information</w:t>
      </w:r>
    </w:p>
    <w:p w14:paraId="15D3EBA3" w14:textId="77777777" w:rsidR="00383395" w:rsidRDefault="00383395" w:rsidP="005E331E">
      <w:pPr>
        <w:rPr>
          <w:rFonts w:cs="Arial"/>
        </w:rPr>
      </w:pPr>
      <w:r w:rsidRPr="00A66CF4">
        <w:rPr>
          <w:rFonts w:cs="Arial"/>
        </w:rPr>
        <w:t xml:space="preserve">Australian Human Rights Commission, </w:t>
      </w:r>
      <w:r w:rsidR="00FF1310" w:rsidRPr="00A66CF4">
        <w:rPr>
          <w:rFonts w:cs="Arial"/>
          <w:i/>
        </w:rPr>
        <w:t>Know W</w:t>
      </w:r>
      <w:r w:rsidRPr="00A66CF4">
        <w:rPr>
          <w:rFonts w:cs="Arial"/>
          <w:i/>
        </w:rPr>
        <w:t xml:space="preserve">here the </w:t>
      </w:r>
      <w:r w:rsidR="00FF1310" w:rsidRPr="00A66CF4">
        <w:rPr>
          <w:rFonts w:cs="Arial"/>
          <w:i/>
        </w:rPr>
        <w:t>Line Is workplace sexual harassment awareness raising s</w:t>
      </w:r>
      <w:r w:rsidRPr="00A66CF4">
        <w:rPr>
          <w:rFonts w:cs="Arial"/>
          <w:i/>
        </w:rPr>
        <w:t>tr</w:t>
      </w:r>
      <w:r w:rsidRPr="00FF1310">
        <w:rPr>
          <w:rFonts w:cs="Arial"/>
          <w:i/>
        </w:rPr>
        <w:t>ategy</w:t>
      </w:r>
      <w:r w:rsidR="005E331E">
        <w:rPr>
          <w:rFonts w:cs="Arial"/>
          <w:i/>
        </w:rPr>
        <w:t xml:space="preserve">: </w:t>
      </w:r>
      <w:hyperlink r:id="rId30" w:history="1">
        <w:r w:rsidRPr="003B6FFF">
          <w:rPr>
            <w:rStyle w:val="Hyperlink"/>
            <w:rFonts w:cs="Arial"/>
          </w:rPr>
          <w:t>www.knowtheline.com.au</w:t>
        </w:r>
      </w:hyperlink>
      <w:r>
        <w:rPr>
          <w:rFonts w:cs="Arial"/>
        </w:rPr>
        <w:t xml:space="preserve"> </w:t>
      </w:r>
    </w:p>
    <w:p w14:paraId="7E0387DB" w14:textId="77777777" w:rsidR="003969CF" w:rsidRPr="005E331E" w:rsidRDefault="003969CF" w:rsidP="005E331E">
      <w:pPr>
        <w:rPr>
          <w:rFonts w:cs="Arial"/>
        </w:rPr>
      </w:pPr>
      <w:r>
        <w:rPr>
          <w:rFonts w:cs="Arial"/>
        </w:rPr>
        <w:t xml:space="preserve">Australian Human Rights Commission, </w:t>
      </w:r>
      <w:r w:rsidR="005E331E">
        <w:rPr>
          <w:rFonts w:cs="Arial"/>
          <w:i/>
        </w:rPr>
        <w:t xml:space="preserve">Information for People Making </w:t>
      </w:r>
      <w:r>
        <w:rPr>
          <w:rFonts w:cs="Arial"/>
          <w:i/>
        </w:rPr>
        <w:t>Complaints</w:t>
      </w:r>
      <w:r w:rsidR="005E331E">
        <w:rPr>
          <w:rFonts w:cs="Arial"/>
          <w:i/>
        </w:rPr>
        <w:t>:</w:t>
      </w:r>
      <w:r w:rsidR="005E331E">
        <w:rPr>
          <w:rFonts w:cs="Arial"/>
        </w:rPr>
        <w:t xml:space="preserve"> </w:t>
      </w:r>
      <w:hyperlink r:id="rId31" w:history="1">
        <w:r w:rsidR="005E331E" w:rsidRPr="005E331E">
          <w:rPr>
            <w:rStyle w:val="Hyperlink"/>
            <w:rFonts w:cs="Arial"/>
            <w:u w:val="none"/>
          </w:rPr>
          <w:t>http://www.humanrights.gov.au/information-people-making-complaints</w:t>
        </w:r>
      </w:hyperlink>
      <w:r w:rsidR="005E331E" w:rsidRPr="005E331E">
        <w:rPr>
          <w:rFonts w:cs="Arial"/>
        </w:rPr>
        <w:t xml:space="preserve"> </w:t>
      </w:r>
      <w:r>
        <w:rPr>
          <w:rFonts w:cs="Arial"/>
          <w:i/>
        </w:rPr>
        <w:t xml:space="preserve"> </w:t>
      </w:r>
    </w:p>
    <w:p w14:paraId="687FCCE0" w14:textId="77777777" w:rsidR="00A96150" w:rsidRDefault="00A96150" w:rsidP="005E331E">
      <w:pPr>
        <w:rPr>
          <w:rStyle w:val="Hyperlink"/>
        </w:rPr>
      </w:pPr>
      <w:r w:rsidRPr="003624E0">
        <w:rPr>
          <w:rFonts w:cs="Arial"/>
        </w:rPr>
        <w:t xml:space="preserve">Australian Human Rights Commission, </w:t>
      </w:r>
      <w:r w:rsidRPr="003624E0">
        <w:rPr>
          <w:rFonts w:cs="Arial"/>
          <w:i/>
          <w:iCs/>
        </w:rPr>
        <w:t>Federal Discrimination Law</w:t>
      </w:r>
      <w:r w:rsidR="005E331E">
        <w:rPr>
          <w:rFonts w:cs="Arial"/>
        </w:rPr>
        <w:t xml:space="preserve">: </w:t>
      </w:r>
      <w:hyperlink r:id="rId32" w:history="1">
        <w:r w:rsidRPr="003624E0">
          <w:rPr>
            <w:rStyle w:val="Hyperlink"/>
          </w:rPr>
          <w:t>www.humanrights.gov.au/legal/FDL/index.html</w:t>
        </w:r>
      </w:hyperlink>
    </w:p>
    <w:p w14:paraId="09E39202" w14:textId="77777777" w:rsidR="00EB72A6" w:rsidRPr="003624E0" w:rsidRDefault="00EB72A6" w:rsidP="00EB72A6">
      <w:pPr>
        <w:rPr>
          <w:rFonts w:cs="Arial"/>
        </w:rPr>
      </w:pPr>
      <w:r w:rsidRPr="003624E0">
        <w:rPr>
          <w:rFonts w:cs="Arial"/>
        </w:rPr>
        <w:t xml:space="preserve">Victorian Equal Opportunity &amp; Human Rights Commission, </w:t>
      </w:r>
      <w:r w:rsidRPr="003624E0">
        <w:rPr>
          <w:rFonts w:cs="Arial"/>
          <w:i/>
          <w:iCs/>
        </w:rPr>
        <w:t xml:space="preserve">Guideline: Sexual Harassment. Complying with the Equal Opportunity Act 2010 </w:t>
      </w:r>
      <w:r w:rsidRPr="003624E0">
        <w:rPr>
          <w:rFonts w:cs="Arial"/>
        </w:rPr>
        <w:t xml:space="preserve">(2013) </w:t>
      </w:r>
      <w:hyperlink r:id="rId33" w:history="1">
        <w:r w:rsidRPr="003624E0">
          <w:rPr>
            <w:rStyle w:val="Hyperlink"/>
          </w:rPr>
          <w:t>www.humanrightscommission.vic.gov.au/index.php/our-resources-and-publications/eoa-practice-guidelines</w:t>
        </w:r>
      </w:hyperlink>
    </w:p>
    <w:p w14:paraId="7A650807" w14:textId="77777777" w:rsidR="00EB72A6" w:rsidRPr="003624E0" w:rsidRDefault="00EB72A6" w:rsidP="00EB72A6">
      <w:pPr>
        <w:spacing w:after="0"/>
      </w:pPr>
      <w:r w:rsidRPr="003624E0">
        <w:t>Victorian Equal Opportunity &amp; Human Rights Commission,</w:t>
      </w:r>
      <w:r>
        <w:t xml:space="preserve"> </w:t>
      </w:r>
      <w:r w:rsidRPr="003624E0">
        <w:rPr>
          <w:i/>
        </w:rPr>
        <w:t xml:space="preserve">Employer’s </w:t>
      </w:r>
      <w:r>
        <w:rPr>
          <w:i/>
        </w:rPr>
        <w:t>C</w:t>
      </w:r>
      <w:r w:rsidRPr="003624E0">
        <w:rPr>
          <w:i/>
        </w:rPr>
        <w:t xml:space="preserve">hecklist: Preventing </w:t>
      </w:r>
      <w:r>
        <w:rPr>
          <w:i/>
        </w:rPr>
        <w:t>S</w:t>
      </w:r>
      <w:r w:rsidRPr="003624E0">
        <w:rPr>
          <w:i/>
        </w:rPr>
        <w:t xml:space="preserve">exual </w:t>
      </w:r>
      <w:r>
        <w:rPr>
          <w:i/>
        </w:rPr>
        <w:t>H</w:t>
      </w:r>
      <w:r w:rsidRPr="003624E0">
        <w:rPr>
          <w:i/>
        </w:rPr>
        <w:t xml:space="preserve">arassment </w:t>
      </w:r>
      <w:r w:rsidRPr="003624E0">
        <w:t>(2011)</w:t>
      </w:r>
      <w:r>
        <w:t xml:space="preserve"> </w:t>
      </w:r>
    </w:p>
    <w:p w14:paraId="10F1E251" w14:textId="77777777" w:rsidR="00EB72A6" w:rsidRDefault="005B2E48" w:rsidP="00EB72A6">
      <w:pPr>
        <w:spacing w:before="0"/>
        <w:rPr>
          <w:rStyle w:val="Hyperlink"/>
        </w:rPr>
      </w:pPr>
      <w:hyperlink r:id="rId34" w:history="1">
        <w:r w:rsidR="00EB72A6" w:rsidRPr="003624E0">
          <w:rPr>
            <w:rStyle w:val="Hyperlink"/>
          </w:rPr>
          <w:t>www.victorianhumanrightscommission.com/www/files/Employers%20Toolkits/Sexual%20harassment%20-%20Employers%20checklist.pdf</w:t>
        </w:r>
      </w:hyperlink>
    </w:p>
    <w:p w14:paraId="2A83F4F3" w14:textId="77777777" w:rsidR="00EB72A6" w:rsidRPr="0039700F" w:rsidRDefault="00EB72A6" w:rsidP="0039700F">
      <w:pPr>
        <w:spacing w:before="0"/>
        <w:rPr>
          <w:rStyle w:val="Hyperlink"/>
          <w:rFonts w:cs="Arial"/>
          <w:i/>
          <w:iCs/>
          <w:color w:val="000000" w:themeColor="text1"/>
          <w:u w:val="none"/>
          <w:lang w:val="en-US"/>
        </w:rPr>
      </w:pPr>
      <w:r w:rsidRPr="00A95DB8">
        <w:rPr>
          <w:rStyle w:val="Hyperlink"/>
          <w:color w:val="000000" w:themeColor="text1"/>
          <w:u w:val="none"/>
        </w:rPr>
        <w:t>Women’s Legal Services NSW</w:t>
      </w:r>
      <w:r w:rsidRPr="00A95DB8">
        <w:rPr>
          <w:rStyle w:val="Hyperlink"/>
          <w:rFonts w:cs="Arial"/>
          <w:color w:val="000000" w:themeColor="text1"/>
          <w:u w:val="none"/>
        </w:rPr>
        <w:t xml:space="preserve">, </w:t>
      </w:r>
      <w:r w:rsidRPr="00A95DB8">
        <w:rPr>
          <w:rStyle w:val="Emphasis"/>
          <w:rFonts w:cs="Arial" w:hint="eastAsia"/>
          <w:color w:val="000000" w:themeColor="text1"/>
          <w:lang w:val="en-US"/>
        </w:rPr>
        <w:t>My work My rights My life</w:t>
      </w:r>
      <w:r w:rsidRPr="00A95DB8">
        <w:rPr>
          <w:rStyle w:val="Emphasis"/>
          <w:rFonts w:cs="Arial" w:hint="eastAsia"/>
          <w:color w:val="000000" w:themeColor="text1"/>
          <w:lang w:val="en-US"/>
        </w:rPr>
        <w:br/>
      </w:r>
      <w:hyperlink r:id="rId35" w:history="1">
        <w:r w:rsidRPr="00F7332F">
          <w:rPr>
            <w:rStyle w:val="Hyperlink"/>
            <w:rFonts w:cs="Arial"/>
          </w:rPr>
          <w:t>http://www.womenslegalnsw.asn.au/wlsnsw/our-services/wwls/</w:t>
        </w:r>
      </w:hyperlink>
      <w:r>
        <w:rPr>
          <w:rStyle w:val="Hyperlink"/>
          <w:rFonts w:cs="Arial"/>
          <w:color w:val="000000" w:themeColor="text1"/>
        </w:rPr>
        <w:t xml:space="preserve"> </w:t>
      </w:r>
    </w:p>
    <w:p w14:paraId="2358D89C" w14:textId="77777777" w:rsidR="005E331E" w:rsidRPr="00FF1310" w:rsidRDefault="005E331E" w:rsidP="005E331E">
      <w:r w:rsidRPr="00FF1310">
        <w:t>For further information about unfair dismissal claims under the Fair Work Act, see:</w:t>
      </w:r>
    </w:p>
    <w:p w14:paraId="227A9358" w14:textId="77777777" w:rsidR="005E331E" w:rsidRPr="00FF1310" w:rsidRDefault="005E331E" w:rsidP="008C5F9F">
      <w:pPr>
        <w:pStyle w:val="ListParagraph"/>
        <w:numPr>
          <w:ilvl w:val="0"/>
          <w:numId w:val="22"/>
        </w:numPr>
        <w:ind w:left="573" w:hanging="573"/>
        <w:contextualSpacing w:val="0"/>
      </w:pPr>
      <w:r w:rsidRPr="00FF1310">
        <w:t xml:space="preserve">Fair Work Commission, </w:t>
      </w:r>
      <w:r w:rsidRPr="00FF1310">
        <w:rPr>
          <w:i/>
        </w:rPr>
        <w:t>Unfair Dismissals Benchbook</w:t>
      </w:r>
      <w:r w:rsidRPr="00FF1310">
        <w:t xml:space="preserve"> (2013) </w:t>
      </w:r>
      <w:hyperlink r:id="rId36" w:history="1">
        <w:r w:rsidRPr="00FF1310">
          <w:rPr>
            <w:rStyle w:val="Hyperlink"/>
          </w:rPr>
          <w:t>benchbooks.fwc.gov.au/unfair/</w:t>
        </w:r>
      </w:hyperlink>
      <w:r w:rsidRPr="00FF1310">
        <w:t xml:space="preserve"> </w:t>
      </w:r>
    </w:p>
    <w:p w14:paraId="5373530F" w14:textId="77777777" w:rsidR="005E331E" w:rsidRPr="00FF1310" w:rsidRDefault="005E331E" w:rsidP="008C5F9F">
      <w:pPr>
        <w:pStyle w:val="ListParagraph"/>
        <w:numPr>
          <w:ilvl w:val="0"/>
          <w:numId w:val="22"/>
        </w:numPr>
        <w:ind w:left="573" w:hanging="573"/>
        <w:contextualSpacing w:val="0"/>
      </w:pPr>
      <w:r w:rsidRPr="00FF1310">
        <w:t xml:space="preserve">Small Business Fair Dismissal Code </w:t>
      </w:r>
      <w:hyperlink r:id="rId37" w:history="1"/>
      <w:r w:rsidRPr="00FF1310">
        <w:rPr>
          <w:rFonts w:cs="Arial"/>
        </w:rPr>
        <w:t xml:space="preserve"> </w:t>
      </w:r>
      <w:hyperlink r:id="rId38" w:history="1">
        <w:r w:rsidRPr="00FF1310">
          <w:rPr>
            <w:rStyle w:val="Hyperlink"/>
            <w:rFonts w:cs="Arial"/>
          </w:rPr>
          <w:t>www.fwc.gov.au/documents/legislation/download/dismissal_code.doc</w:t>
        </w:r>
      </w:hyperlink>
      <w:r w:rsidRPr="00FF1310">
        <w:rPr>
          <w:rFonts w:cs="Arial"/>
        </w:rPr>
        <w:t xml:space="preserve">  </w:t>
      </w:r>
    </w:p>
    <w:p w14:paraId="0A465A38" w14:textId="77777777" w:rsidR="005E331E" w:rsidRPr="00FF1310" w:rsidRDefault="005E331E" w:rsidP="008C5F9F">
      <w:pPr>
        <w:pStyle w:val="ListParagraph"/>
        <w:numPr>
          <w:ilvl w:val="0"/>
          <w:numId w:val="22"/>
        </w:numPr>
        <w:ind w:left="573" w:hanging="573"/>
        <w:contextualSpacing w:val="0"/>
      </w:pPr>
      <w:r w:rsidRPr="00FF1310">
        <w:t xml:space="preserve">Fair Work Ombudsman, </w:t>
      </w:r>
      <w:r w:rsidRPr="00FF1310">
        <w:rPr>
          <w:i/>
        </w:rPr>
        <w:t>Small Business Fair Dismissal Code Checklist</w:t>
      </w:r>
      <w:r w:rsidRPr="00FF1310">
        <w:t xml:space="preserve"> </w:t>
      </w:r>
      <w:hyperlink r:id="rId39" w:history="1">
        <w:r w:rsidRPr="00FF1310">
          <w:rPr>
            <w:rStyle w:val="Hyperlink"/>
          </w:rPr>
          <w:t>www.fairwork.gov.au/Templatesformschecklists/Small-Business-Fair-Dismissal-Code-2011.rtf</w:t>
        </w:r>
      </w:hyperlink>
      <w:r w:rsidRPr="00FF1310">
        <w:t>.</w:t>
      </w:r>
    </w:p>
    <w:p w14:paraId="47FFBBCF" w14:textId="77777777" w:rsidR="005E331E" w:rsidRPr="00FF1310" w:rsidRDefault="005E331E" w:rsidP="005E331E">
      <w:r w:rsidRPr="00FF1310">
        <w:t xml:space="preserve">For further information about what to do if an employee makes a General Protections claim, see: </w:t>
      </w:r>
    </w:p>
    <w:p w14:paraId="38D4C725" w14:textId="77777777" w:rsidR="005E331E" w:rsidRPr="00A66CF4" w:rsidRDefault="005E331E" w:rsidP="008C5F9F">
      <w:pPr>
        <w:pStyle w:val="ListParagraph"/>
        <w:numPr>
          <w:ilvl w:val="0"/>
          <w:numId w:val="21"/>
        </w:numPr>
        <w:ind w:left="573" w:hanging="573"/>
        <w:contextualSpacing w:val="0"/>
        <w:rPr>
          <w:rStyle w:val="Hyperlink"/>
          <w:color w:val="auto"/>
          <w:u w:val="none"/>
        </w:rPr>
      </w:pPr>
      <w:r w:rsidRPr="00FF1310">
        <w:t xml:space="preserve">Fair Work Ombudsman, </w:t>
      </w:r>
      <w:r w:rsidRPr="00FF1310">
        <w:rPr>
          <w:i/>
        </w:rPr>
        <w:t>General Workplace Protections Factsheet</w:t>
      </w:r>
      <w:r w:rsidRPr="00FF1310">
        <w:t xml:space="preserve"> (2013)</w:t>
      </w:r>
      <w:r w:rsidRPr="00FF1310">
        <w:br/>
      </w:r>
      <w:hyperlink r:id="rId40" w:history="1">
        <w:r w:rsidRPr="00FF1310">
          <w:rPr>
            <w:rStyle w:val="Hyperlink"/>
          </w:rPr>
          <w:t>www.fairwork.gov.au/complaints/someones-made-a-complaint-about-my-business/pages/default.aspx</w:t>
        </w:r>
      </w:hyperlink>
    </w:p>
    <w:p w14:paraId="55E8B334" w14:textId="77777777" w:rsidR="005E331E" w:rsidRPr="00A66CF4" w:rsidRDefault="005E331E" w:rsidP="008C5F9F">
      <w:pPr>
        <w:pStyle w:val="ListParagraph"/>
        <w:numPr>
          <w:ilvl w:val="0"/>
          <w:numId w:val="21"/>
        </w:numPr>
        <w:ind w:left="573" w:hanging="573"/>
        <w:contextualSpacing w:val="0"/>
      </w:pPr>
      <w:r w:rsidRPr="00FF1310">
        <w:lastRenderedPageBreak/>
        <w:t xml:space="preserve">Fair Work Commission, </w:t>
      </w:r>
      <w:r w:rsidRPr="00A66CF4">
        <w:rPr>
          <w:i/>
        </w:rPr>
        <w:t xml:space="preserve">General Protections Guide </w:t>
      </w:r>
      <w:r w:rsidRPr="00FF1310">
        <w:t>(2013)</w:t>
      </w:r>
      <w:r w:rsidRPr="00FF1310">
        <w:br/>
      </w:r>
      <w:hyperlink r:id="rId41" w:history="1">
        <w:r w:rsidRPr="00FF1310">
          <w:rPr>
            <w:rStyle w:val="Hyperlink"/>
          </w:rPr>
          <w:t>www.fwc.gov.au/documents/factsheets/GeneralProtectionsGuide.pdf</w:t>
        </w:r>
      </w:hyperlink>
      <w:r w:rsidRPr="00FF1310">
        <w:t>.</w:t>
      </w:r>
    </w:p>
    <w:p w14:paraId="5B2FA6C8" w14:textId="77777777" w:rsidR="005E331E" w:rsidRPr="00A66CF4" w:rsidRDefault="005E331E" w:rsidP="005E331E">
      <w:r w:rsidRPr="00A66CF4">
        <w:t>For further information about work, health and safety requirements, see:</w:t>
      </w:r>
    </w:p>
    <w:p w14:paraId="4E1E3F24" w14:textId="77777777" w:rsidR="005E331E" w:rsidRPr="00A66CF4" w:rsidRDefault="005E331E" w:rsidP="008C5F9F">
      <w:pPr>
        <w:pStyle w:val="ListParagraph"/>
        <w:numPr>
          <w:ilvl w:val="0"/>
          <w:numId w:val="23"/>
        </w:numPr>
        <w:ind w:left="556" w:hanging="272"/>
        <w:contextualSpacing w:val="0"/>
        <w:rPr>
          <w:rStyle w:val="Hyperlink"/>
          <w:color w:val="auto"/>
          <w:u w:val="none"/>
        </w:rPr>
      </w:pPr>
      <w:r w:rsidRPr="00A66CF4">
        <w:t>Safe Work Australia</w:t>
      </w:r>
      <w:r w:rsidRPr="00A66CF4">
        <w:br/>
      </w:r>
      <w:hyperlink r:id="rId42" w:history="1">
        <w:r w:rsidRPr="00A66CF4">
          <w:rPr>
            <w:rStyle w:val="Hyperlink"/>
          </w:rPr>
          <w:t>www.safeworkaustralia.gov.au</w:t>
        </w:r>
      </w:hyperlink>
    </w:p>
    <w:p w14:paraId="796924E9" w14:textId="77777777" w:rsidR="005E331E" w:rsidRPr="00A66CF4" w:rsidRDefault="005E331E" w:rsidP="008C5F9F">
      <w:pPr>
        <w:pStyle w:val="ListParagraph"/>
        <w:numPr>
          <w:ilvl w:val="0"/>
          <w:numId w:val="23"/>
        </w:numPr>
        <w:ind w:left="556" w:hanging="272"/>
        <w:contextualSpacing w:val="0"/>
      </w:pPr>
      <w:r w:rsidRPr="00A66CF4">
        <w:rPr>
          <w:i/>
        </w:rPr>
        <w:t>Australian Work Health and Safety Strategy 2012–2022</w:t>
      </w:r>
      <w:r w:rsidRPr="00A66CF4">
        <w:rPr>
          <w:i/>
        </w:rPr>
        <w:br/>
      </w:r>
      <w:hyperlink r:id="rId43" w:history="1">
        <w:r w:rsidRPr="00A66CF4">
          <w:rPr>
            <w:rStyle w:val="Hyperlink"/>
          </w:rPr>
          <w:t>www.safeworkaustralia.gov.au/sites/SWA/about/Publications/Documents/719/Australian-WHS-Strategy-2012-2022.pdf</w:t>
        </w:r>
      </w:hyperlink>
      <w:r w:rsidRPr="00A66CF4">
        <w:t>.</w:t>
      </w:r>
    </w:p>
    <w:sectPr w:rsidR="005E331E" w:rsidRPr="00A66CF4" w:rsidSect="0003575F">
      <w:endnotePr>
        <w:numFmt w:val="decimal"/>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0DF6" w14:textId="77777777" w:rsidR="005B2E48" w:rsidRDefault="005B2E48" w:rsidP="00F14C6D">
      <w:r>
        <w:separator/>
      </w:r>
    </w:p>
  </w:endnote>
  <w:endnote w:type="continuationSeparator" w:id="0">
    <w:p w14:paraId="69BDEB1C" w14:textId="77777777" w:rsidR="005B2E48" w:rsidRDefault="005B2E48" w:rsidP="00F14C6D">
      <w:r>
        <w:continuationSeparator/>
      </w:r>
    </w:p>
  </w:endnote>
  <w:endnote w:id="1">
    <w:p w14:paraId="16CF5F8D" w14:textId="77777777" w:rsidR="00A4265D" w:rsidRPr="00DA6F21" w:rsidRDefault="00A4265D" w:rsidP="002F167A">
      <w:pPr>
        <w:pStyle w:val="EndnoteText"/>
        <w:spacing w:before="120" w:after="120"/>
        <w:rPr>
          <w:rFonts w:cs="Arial"/>
          <w:highlight w:val="yellow"/>
        </w:rPr>
      </w:pPr>
      <w:r w:rsidRPr="00DA6F21">
        <w:rPr>
          <w:rStyle w:val="EndnoteReference"/>
          <w:rFonts w:cs="Arial"/>
        </w:rPr>
        <w:endnoteRef/>
      </w:r>
      <w:r w:rsidRPr="00DA6F21">
        <w:rPr>
          <w:rFonts w:cs="Arial"/>
        </w:rPr>
        <w:t xml:space="preserve"> Australian Human Rights Commission, </w:t>
      </w:r>
      <w:r w:rsidRPr="00DA6F21">
        <w:rPr>
          <w:rFonts w:cs="Arial"/>
          <w:bCs/>
          <w:i/>
        </w:rPr>
        <w:t xml:space="preserve">Working without fear: </w:t>
      </w:r>
      <w:r w:rsidRPr="00DA6F21">
        <w:rPr>
          <w:rFonts w:cs="Arial"/>
          <w:i/>
        </w:rPr>
        <w:t>Results of the 2012 sexual harassment national telephone survey</w:t>
      </w:r>
      <w:r w:rsidRPr="00DA6F21">
        <w:rPr>
          <w:rFonts w:cs="Arial"/>
        </w:rPr>
        <w:t xml:space="preserve"> (2012). At </w:t>
      </w:r>
      <w:hyperlink r:id="rId1" w:history="1">
        <w:r w:rsidRPr="00DA6F21">
          <w:rPr>
            <w:rStyle w:val="Hyperlink"/>
            <w:rFonts w:cs="Arial"/>
          </w:rPr>
          <w:t>https://www.humanrights.gov.au/working-without-fear-results-sexual-harassment-national-telephone-survey-2012</w:t>
        </w:r>
      </w:hyperlink>
      <w:r w:rsidRPr="00DA6F21">
        <w:rPr>
          <w:rFonts w:cs="Arial"/>
        </w:rPr>
        <w:t xml:space="preserve"> (viewed 20 November 2013).</w:t>
      </w:r>
    </w:p>
  </w:endnote>
  <w:endnote w:id="2">
    <w:p w14:paraId="2C9170CD" w14:textId="77777777" w:rsidR="00A4265D" w:rsidRPr="00DA6F21" w:rsidRDefault="00A4265D" w:rsidP="002F167A">
      <w:pPr>
        <w:pStyle w:val="EndnoteText"/>
        <w:spacing w:before="120" w:after="120"/>
        <w:rPr>
          <w:rFonts w:cs="Arial"/>
        </w:rPr>
      </w:pPr>
      <w:r w:rsidRPr="00DA6F21">
        <w:rPr>
          <w:rStyle w:val="EndnoteReference"/>
          <w:rFonts w:cs="Arial"/>
        </w:rPr>
        <w:endnoteRef/>
      </w:r>
      <w:r w:rsidRPr="00DA6F21">
        <w:rPr>
          <w:rFonts w:cs="Arial"/>
        </w:rPr>
        <w:t xml:space="preserve"> Australian Human Rights Commission, </w:t>
      </w:r>
      <w:r w:rsidRPr="00DA6F21">
        <w:rPr>
          <w:rFonts w:cs="Arial"/>
          <w:bCs/>
          <w:i/>
        </w:rPr>
        <w:t xml:space="preserve">Working without fear: </w:t>
      </w:r>
      <w:r w:rsidRPr="00DA6F21">
        <w:rPr>
          <w:rFonts w:cs="Arial"/>
          <w:i/>
        </w:rPr>
        <w:t>Results of the 2012 sexual harassment national telephone survey</w:t>
      </w:r>
      <w:r w:rsidRPr="00DA6F21">
        <w:rPr>
          <w:rFonts w:cs="Arial"/>
        </w:rPr>
        <w:t xml:space="preserve"> (2012). At </w:t>
      </w:r>
      <w:hyperlink r:id="rId2" w:history="1">
        <w:r w:rsidRPr="00DA6F21">
          <w:rPr>
            <w:rStyle w:val="Hyperlink"/>
            <w:rFonts w:cs="Arial"/>
          </w:rPr>
          <w:t>https://www.humanrights.gov.au/working-without-fear-results-sexual-harassment-national-telephone-survey-2012</w:t>
        </w:r>
      </w:hyperlink>
      <w:r w:rsidRPr="00DA6F21">
        <w:rPr>
          <w:rFonts w:cs="Arial"/>
        </w:rPr>
        <w:t xml:space="preserve"> (viewed 20 November 2013).</w:t>
      </w:r>
    </w:p>
  </w:endnote>
  <w:endnote w:id="3">
    <w:p w14:paraId="62A13460" w14:textId="77777777" w:rsidR="00A4265D" w:rsidRPr="005F50A8" w:rsidRDefault="00A4265D" w:rsidP="009F3969">
      <w:pPr>
        <w:pStyle w:val="EndnoteText"/>
        <w:spacing w:before="120" w:after="120"/>
        <w:rPr>
          <w:rFonts w:cs="Arial"/>
        </w:rPr>
      </w:pPr>
      <w:r w:rsidRPr="005F50A8">
        <w:rPr>
          <w:rStyle w:val="EndnoteReference"/>
          <w:rFonts w:cs="Arial"/>
        </w:rPr>
        <w:endnoteRef/>
      </w:r>
      <w:r w:rsidRPr="005F50A8">
        <w:rPr>
          <w:rFonts w:cs="Arial"/>
        </w:rPr>
        <w:t xml:space="preserve"> Sex Discrimination Act, s 28A(1).  Section 28A(1) provides: </w:t>
      </w:r>
    </w:p>
    <w:p w14:paraId="5D6320CA" w14:textId="77777777" w:rsidR="00A4265D" w:rsidRPr="005841CE" w:rsidRDefault="00A4265D" w:rsidP="009F3969">
      <w:pPr>
        <w:pStyle w:val="EndnoteText"/>
        <w:spacing w:before="120" w:after="120"/>
        <w:ind w:left="284"/>
        <w:rPr>
          <w:rFonts w:cs="Arial"/>
        </w:rPr>
      </w:pPr>
      <w:r w:rsidRPr="005841CE">
        <w:rPr>
          <w:rFonts w:cs="Arial"/>
        </w:rPr>
        <w:t>For the purposes of this Division, a person sexually harasses another person (the person harassed) if:</w:t>
      </w:r>
    </w:p>
    <w:p w14:paraId="3EEDBE06" w14:textId="77777777" w:rsidR="00A4265D" w:rsidRPr="005841CE" w:rsidRDefault="00A4265D" w:rsidP="009F3969">
      <w:pPr>
        <w:pStyle w:val="EndnoteText"/>
        <w:spacing w:before="120" w:after="120"/>
        <w:ind w:left="567"/>
        <w:rPr>
          <w:rFonts w:cs="Arial"/>
        </w:rPr>
      </w:pPr>
      <w:r w:rsidRPr="005841CE">
        <w:rPr>
          <w:rFonts w:cs="Arial"/>
        </w:rPr>
        <w:t>(a)  the person makes an unwelcome sexual advance, or an unwelcome request for sexual favours, to the person harassed; or</w:t>
      </w:r>
    </w:p>
    <w:p w14:paraId="419FC173" w14:textId="77777777" w:rsidR="00A4265D" w:rsidRPr="005841CE" w:rsidRDefault="00A4265D" w:rsidP="009F3969">
      <w:pPr>
        <w:pStyle w:val="EndnoteText"/>
        <w:spacing w:before="120" w:after="120"/>
        <w:ind w:left="567"/>
        <w:rPr>
          <w:rFonts w:cs="Arial"/>
        </w:rPr>
      </w:pPr>
      <w:r w:rsidRPr="005841CE">
        <w:rPr>
          <w:rFonts w:cs="Arial"/>
        </w:rPr>
        <w:t>(b)  engages in other unwelcome conduct of a sexual nature in relation to the person harassed;</w:t>
      </w:r>
    </w:p>
    <w:p w14:paraId="28CD2761" w14:textId="77777777" w:rsidR="00A4265D" w:rsidRPr="005841CE" w:rsidRDefault="00A4265D" w:rsidP="009F3969">
      <w:pPr>
        <w:pStyle w:val="EndnoteText"/>
        <w:spacing w:before="120" w:after="120"/>
        <w:ind w:left="284"/>
        <w:rPr>
          <w:rFonts w:cs="Arial"/>
        </w:rPr>
      </w:pPr>
      <w:r w:rsidRPr="005841CE">
        <w:rPr>
          <w:rFonts w:cs="Arial"/>
        </w:rPr>
        <w:t xml:space="preserve">in circumstances in which a reasonable person, having regard to all the circumstances, would have anticipated the possibility that the person harassed would be offended, humiliated or intimidated.   </w:t>
      </w:r>
    </w:p>
  </w:endnote>
  <w:endnote w:id="4">
    <w:p w14:paraId="616C7C78" w14:textId="77777777" w:rsidR="00A4265D" w:rsidRPr="005841CE" w:rsidRDefault="00A4265D" w:rsidP="00E41966">
      <w:pPr>
        <w:pStyle w:val="EndnoteText"/>
        <w:spacing w:before="120" w:after="120"/>
        <w:rPr>
          <w:rFonts w:cs="Arial"/>
        </w:rPr>
      </w:pPr>
      <w:r w:rsidRPr="005F50A8">
        <w:rPr>
          <w:rStyle w:val="EndnoteReference"/>
          <w:rFonts w:cs="Arial"/>
        </w:rPr>
        <w:endnoteRef/>
      </w:r>
      <w:r w:rsidRPr="005F50A8">
        <w:rPr>
          <w:rFonts w:cs="Arial"/>
          <w:i/>
        </w:rPr>
        <w:t xml:space="preserve"> Aldridge v Booth </w:t>
      </w:r>
      <w:r w:rsidRPr="005841CE">
        <w:rPr>
          <w:rFonts w:cs="Arial"/>
        </w:rPr>
        <w:t xml:space="preserve">(1988) 80 ALR 1 at 5. </w:t>
      </w:r>
    </w:p>
  </w:endnote>
  <w:endnote w:id="5">
    <w:p w14:paraId="19EFE555" w14:textId="77777777" w:rsidR="00A4265D" w:rsidRPr="005841CE" w:rsidRDefault="00A4265D" w:rsidP="002472A0">
      <w:pPr>
        <w:pStyle w:val="EndnoteText"/>
        <w:spacing w:before="120" w:after="120"/>
        <w:rPr>
          <w:rFonts w:cs="Arial"/>
        </w:rPr>
      </w:pPr>
      <w:r w:rsidRPr="005F50A8">
        <w:rPr>
          <w:rStyle w:val="EndnoteReference"/>
          <w:rFonts w:cs="Arial"/>
        </w:rPr>
        <w:endnoteRef/>
      </w:r>
      <w:r w:rsidRPr="005F50A8">
        <w:rPr>
          <w:rFonts w:cs="Arial"/>
        </w:rPr>
        <w:t xml:space="preserve"> In </w:t>
      </w:r>
      <w:r w:rsidRPr="005841CE">
        <w:rPr>
          <w:rFonts w:cs="Arial"/>
          <w:i/>
        </w:rPr>
        <w:t>Hall &amp; Ors v A. A. Sheiban Pty Ltd &amp; Ors</w:t>
      </w:r>
      <w:r w:rsidRPr="005841CE">
        <w:rPr>
          <w:rFonts w:cs="Arial"/>
        </w:rPr>
        <w:t xml:space="preserve"> (1989) 85 ALR 503 at 526 Justice Lockhart stated that:</w:t>
      </w:r>
    </w:p>
    <w:p w14:paraId="233DAA46" w14:textId="77777777" w:rsidR="00A4265D" w:rsidRPr="005841CE" w:rsidRDefault="00A4265D" w:rsidP="002472A0">
      <w:pPr>
        <w:pStyle w:val="EndnoteText"/>
        <w:spacing w:before="120" w:after="120"/>
        <w:ind w:left="284"/>
        <w:rPr>
          <w:rFonts w:cs="Arial"/>
        </w:rPr>
      </w:pPr>
      <w:r w:rsidRPr="005841CE">
        <w:rPr>
          <w:rFonts w:cs="Arial"/>
        </w:rPr>
        <w:t>In principle, advances by an employer, particularly if there is a series of them, all of which may have been tolerated by an employee out of sympathy or out of lack of choice, and each of which or all of which may have been tolerated by the majority of women, may nevertheless contravene s. 28 [at the time the section of the Sex Discrimination Act prohibiting sexual harassment] if they otherwise “vex and annoy” so as to amount to sexual harassment.</w:t>
      </w:r>
    </w:p>
  </w:endnote>
  <w:endnote w:id="6">
    <w:p w14:paraId="0FBA0258" w14:textId="77777777" w:rsidR="00A4265D" w:rsidRPr="005F50A8"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Sex Discrimination Act, ss 28A(1), 28A(2).</w:t>
      </w:r>
    </w:p>
  </w:endnote>
  <w:endnote w:id="7">
    <w:p w14:paraId="6DF8A54F" w14:textId="77777777" w:rsidR="00A4265D" w:rsidRPr="005841CE"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w:t>
      </w:r>
      <w:r w:rsidRPr="005841CE">
        <w:rPr>
          <w:rFonts w:cs="Arial"/>
          <w:i/>
        </w:rPr>
        <w:t>G v R and Department of Health, Housing and Community Services</w:t>
      </w:r>
      <w:r w:rsidRPr="005841CE">
        <w:rPr>
          <w:rFonts w:cs="Arial"/>
        </w:rPr>
        <w:t xml:space="preserve"> [1993] HREOCA 20.  </w:t>
      </w:r>
    </w:p>
  </w:endnote>
  <w:endnote w:id="8">
    <w:p w14:paraId="76EAC281" w14:textId="77777777" w:rsidR="00A4265D" w:rsidRPr="00DA6F21"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w:t>
      </w:r>
      <w:r w:rsidRPr="005F50A8">
        <w:rPr>
          <w:rFonts w:cs="Arial"/>
          <w:i/>
        </w:rPr>
        <w:t xml:space="preserve">Freestone v Kozma </w:t>
      </w:r>
      <w:r w:rsidRPr="005F50A8">
        <w:rPr>
          <w:rFonts w:cs="Arial"/>
        </w:rPr>
        <w:t xml:space="preserve">(1989) EOC 92-249 at 77,377. See also: </w:t>
      </w:r>
      <w:r w:rsidRPr="005F50A8">
        <w:rPr>
          <w:rFonts w:eastAsia="Times New Roman" w:cs="Arial"/>
          <w:i/>
          <w:iCs/>
        </w:rPr>
        <w:t xml:space="preserve">Bennett v Everitt </w:t>
      </w:r>
      <w:r w:rsidRPr="005F50A8">
        <w:rPr>
          <w:rFonts w:eastAsia="Times New Roman" w:cs="Arial"/>
        </w:rPr>
        <w:t xml:space="preserve">(1988) EOC 92-244; </w:t>
      </w:r>
      <w:r w:rsidRPr="005F50A8">
        <w:rPr>
          <w:rFonts w:eastAsia="Times New Roman" w:cs="Arial"/>
          <w:i/>
          <w:iCs/>
        </w:rPr>
        <w:t xml:space="preserve">Kiel v Weeks </w:t>
      </w:r>
      <w:r w:rsidRPr="005F50A8">
        <w:rPr>
          <w:rFonts w:eastAsia="Times New Roman" w:cs="Arial"/>
        </w:rPr>
        <w:t xml:space="preserve">(1989) EOC 92-245; </w:t>
      </w:r>
      <w:r w:rsidRPr="005F50A8">
        <w:rPr>
          <w:rFonts w:eastAsia="Times New Roman" w:cs="Arial"/>
          <w:i/>
          <w:iCs/>
        </w:rPr>
        <w:t xml:space="preserve">Horne v Press Clough Joint Venture </w:t>
      </w:r>
      <w:r w:rsidRPr="005F50A8">
        <w:rPr>
          <w:rFonts w:eastAsia="Times New Roman" w:cs="Arial"/>
        </w:rPr>
        <w:t xml:space="preserve">(1994) EOC 92-556; </w:t>
      </w:r>
      <w:r w:rsidRPr="005F50A8">
        <w:rPr>
          <w:rFonts w:eastAsia="Times New Roman" w:cs="Arial"/>
          <w:i/>
          <w:iCs/>
        </w:rPr>
        <w:t xml:space="preserve">Hopper v Mt Isa Mines </w:t>
      </w:r>
      <w:r w:rsidRPr="005F50A8">
        <w:rPr>
          <w:rFonts w:eastAsia="Times New Roman" w:cs="Arial"/>
        </w:rPr>
        <w:t xml:space="preserve">(1997) EOC 92-879; </w:t>
      </w:r>
      <w:r w:rsidRPr="005F50A8">
        <w:rPr>
          <w:rFonts w:eastAsia="Times New Roman" w:cs="Arial"/>
          <w:i/>
          <w:iCs/>
        </w:rPr>
        <w:t xml:space="preserve">Doyle v Riley </w:t>
      </w:r>
      <w:r w:rsidRPr="005F50A8">
        <w:rPr>
          <w:rFonts w:eastAsia="Times New Roman" w:cs="Arial"/>
        </w:rPr>
        <w:t xml:space="preserve">(1995) EOC 92-748; </w:t>
      </w:r>
      <w:r w:rsidRPr="005F50A8">
        <w:rPr>
          <w:rFonts w:eastAsia="Times New Roman" w:cs="Arial"/>
          <w:i/>
          <w:iCs/>
        </w:rPr>
        <w:t xml:space="preserve">Bebbington v Dove </w:t>
      </w:r>
      <w:r w:rsidRPr="005F50A8">
        <w:rPr>
          <w:rFonts w:eastAsia="Times New Roman" w:cs="Arial"/>
        </w:rPr>
        <w:t xml:space="preserve">(1993) EOC 92-543; </w:t>
      </w:r>
      <w:r w:rsidRPr="005F50A8">
        <w:rPr>
          <w:rFonts w:eastAsia="Times New Roman" w:cs="Arial"/>
          <w:i/>
          <w:iCs/>
        </w:rPr>
        <w:t xml:space="preserve">Hawkins v Malnet Pty Ltd </w:t>
      </w:r>
      <w:r w:rsidRPr="005F50A8">
        <w:rPr>
          <w:rFonts w:eastAsia="Times New Roman" w:cs="Arial"/>
        </w:rPr>
        <w:t xml:space="preserve">(1995) EOC 92-767; </w:t>
      </w:r>
      <w:r w:rsidRPr="005F50A8">
        <w:rPr>
          <w:rFonts w:eastAsia="Times New Roman" w:cs="Arial"/>
          <w:i/>
          <w:iCs/>
        </w:rPr>
        <w:t xml:space="preserve">G v R &amp; Department of Health &amp; Community Services </w:t>
      </w:r>
      <w:r w:rsidRPr="005F50A8">
        <w:rPr>
          <w:rFonts w:eastAsia="Times New Roman" w:cs="Arial"/>
        </w:rPr>
        <w:t xml:space="preserve">[1993] HREOCA 20; </w:t>
      </w:r>
      <w:r w:rsidRPr="005F50A8">
        <w:rPr>
          <w:rFonts w:eastAsia="Times New Roman" w:cs="Arial"/>
          <w:i/>
          <w:iCs/>
        </w:rPr>
        <w:t xml:space="preserve">Djokic v Sinclair </w:t>
      </w:r>
      <w:r w:rsidRPr="005F50A8">
        <w:rPr>
          <w:rFonts w:eastAsia="Times New Roman" w:cs="Arial"/>
        </w:rPr>
        <w:t xml:space="preserve">(1994) EOC 92-643; </w:t>
      </w:r>
      <w:r w:rsidRPr="005F50A8">
        <w:rPr>
          <w:rFonts w:eastAsia="Times New Roman" w:cs="Arial"/>
          <w:i/>
          <w:iCs/>
        </w:rPr>
        <w:t xml:space="preserve">Hill v Water Resources Commission </w:t>
      </w:r>
      <w:r w:rsidRPr="005F50A8">
        <w:rPr>
          <w:rFonts w:eastAsia="Times New Roman" w:cs="Arial"/>
        </w:rPr>
        <w:t>(1985) EOC 92-127.</w:t>
      </w:r>
    </w:p>
  </w:endnote>
  <w:endnote w:id="9">
    <w:p w14:paraId="2734C3FA" w14:textId="77777777" w:rsidR="00A4265D" w:rsidRPr="00DA6F21" w:rsidRDefault="00A4265D">
      <w:pPr>
        <w:pStyle w:val="EndnoteText"/>
      </w:pPr>
      <w:r w:rsidRPr="00D02332">
        <w:rPr>
          <w:rStyle w:val="EndnoteReference"/>
        </w:rPr>
        <w:endnoteRef/>
      </w:r>
      <w:r w:rsidRPr="00D02332">
        <w:t xml:space="preserve"> </w:t>
      </w:r>
      <w:r w:rsidRPr="005F50A8">
        <w:rPr>
          <w:rFonts w:eastAsia="Times New Roman" w:cs="Arial"/>
          <w:i/>
          <w:iCs/>
        </w:rPr>
        <w:t xml:space="preserve">Johanson v Blackledge </w:t>
      </w:r>
      <w:r w:rsidRPr="005F50A8">
        <w:rPr>
          <w:rFonts w:eastAsia="Times New Roman" w:cs="Arial"/>
        </w:rPr>
        <w:t xml:space="preserve">(2001) 163 FLR 58, 75 [84]-[85]; </w:t>
      </w:r>
      <w:r w:rsidRPr="005F50A8">
        <w:rPr>
          <w:rFonts w:eastAsia="Times New Roman" w:cs="Arial"/>
          <w:i/>
          <w:iCs/>
        </w:rPr>
        <w:t xml:space="preserve">Cooke v Plauen Holdings Pty Ltd </w:t>
      </w:r>
      <w:r w:rsidRPr="005F50A8">
        <w:rPr>
          <w:rFonts w:eastAsia="Times New Roman" w:cs="Arial"/>
        </w:rPr>
        <w:t xml:space="preserve">[2001] FMCA 91, [24]-[25]; </w:t>
      </w:r>
      <w:r w:rsidRPr="005F50A8">
        <w:rPr>
          <w:rFonts w:eastAsia="Times New Roman" w:cs="Arial"/>
          <w:i/>
          <w:iCs/>
        </w:rPr>
        <w:t xml:space="preserve">Horman v Distribution Group Ltd </w:t>
      </w:r>
      <w:r w:rsidRPr="005F50A8">
        <w:rPr>
          <w:rFonts w:eastAsia="Times New Roman" w:cs="Arial"/>
        </w:rPr>
        <w:t xml:space="preserve">[2001] FMCA 52, [50]; </w:t>
      </w:r>
      <w:r w:rsidRPr="005F50A8">
        <w:rPr>
          <w:rFonts w:eastAsia="Times New Roman" w:cs="Arial"/>
          <w:i/>
          <w:iCs/>
        </w:rPr>
        <w:t xml:space="preserve">Wattle v Kirkland </w:t>
      </w:r>
      <w:r w:rsidRPr="005F50A8">
        <w:rPr>
          <w:rFonts w:eastAsia="Times New Roman" w:cs="Arial"/>
        </w:rPr>
        <w:t xml:space="preserve">[2001] FMCA 66, [46]; </w:t>
      </w:r>
      <w:r w:rsidRPr="005F50A8">
        <w:rPr>
          <w:rFonts w:eastAsia="Times New Roman" w:cs="Arial"/>
          <w:i/>
          <w:iCs/>
        </w:rPr>
        <w:t xml:space="preserve">Aleksovski v Australia Asia Aerospace Pty Ltd </w:t>
      </w:r>
      <w:r w:rsidRPr="005F50A8">
        <w:rPr>
          <w:rFonts w:eastAsia="Times New Roman" w:cs="Arial"/>
        </w:rPr>
        <w:t xml:space="preserve">[2002] FMCA 81, [83]; </w:t>
      </w:r>
      <w:r w:rsidRPr="005F50A8">
        <w:rPr>
          <w:rFonts w:eastAsia="Times New Roman" w:cs="Arial"/>
          <w:i/>
          <w:iCs/>
        </w:rPr>
        <w:t xml:space="preserve">Elliott v Nanda </w:t>
      </w:r>
      <w:r w:rsidRPr="005F50A8">
        <w:rPr>
          <w:rFonts w:eastAsia="Times New Roman" w:cs="Arial"/>
        </w:rPr>
        <w:t xml:space="preserve">(2001) 111 FCR 240, 277 [109]; </w:t>
      </w:r>
      <w:r w:rsidRPr="005F50A8">
        <w:rPr>
          <w:rFonts w:eastAsia="Times New Roman" w:cs="Arial"/>
          <w:i/>
          <w:iCs/>
        </w:rPr>
        <w:t xml:space="preserve">Kennedy v ADI Ltd </w:t>
      </w:r>
      <w:r w:rsidRPr="005F50A8">
        <w:rPr>
          <w:rFonts w:eastAsia="Times New Roman" w:cs="Arial"/>
        </w:rPr>
        <w:t xml:space="preserve">[2001] FCA 614; </w:t>
      </w:r>
      <w:r w:rsidRPr="005F50A8">
        <w:rPr>
          <w:rFonts w:eastAsia="Times New Roman" w:cs="Arial"/>
          <w:i/>
          <w:iCs/>
        </w:rPr>
        <w:t xml:space="preserve">Wattle v Kirkland (No 2) </w:t>
      </w:r>
      <w:r w:rsidRPr="005F50A8">
        <w:rPr>
          <w:rFonts w:eastAsia="Times New Roman" w:cs="Arial"/>
        </w:rPr>
        <w:t xml:space="preserve">[2002] FMCA 135, [67]; </w:t>
      </w:r>
      <w:r w:rsidRPr="005F50A8">
        <w:rPr>
          <w:rFonts w:eastAsia="Times New Roman" w:cs="Arial"/>
          <w:i/>
          <w:iCs/>
        </w:rPr>
        <w:t xml:space="preserve">Font v Paspaley Pearls Pty Ltd </w:t>
      </w:r>
      <w:r w:rsidRPr="005F50A8">
        <w:rPr>
          <w:rFonts w:eastAsia="Times New Roman" w:cs="Arial"/>
        </w:rPr>
        <w:t xml:space="preserve">[2002] FMCA 142, [134]; </w:t>
      </w:r>
      <w:r w:rsidRPr="005F50A8">
        <w:rPr>
          <w:rFonts w:eastAsia="Times New Roman" w:cs="Arial"/>
          <w:i/>
          <w:iCs/>
        </w:rPr>
        <w:t xml:space="preserve">San v Dirluck Pty Ltd </w:t>
      </w:r>
      <w:r w:rsidRPr="005F50A8">
        <w:rPr>
          <w:rFonts w:eastAsia="Times New Roman" w:cs="Arial"/>
        </w:rPr>
        <w:t>(2005) 222 ALR 91.</w:t>
      </w:r>
    </w:p>
  </w:endnote>
  <w:endnote w:id="10">
    <w:p w14:paraId="2E4F2410" w14:textId="77777777" w:rsidR="00A4265D" w:rsidRPr="00D02332" w:rsidRDefault="00A4265D" w:rsidP="00DA68BE">
      <w:pPr>
        <w:pStyle w:val="EndnoteText"/>
        <w:spacing w:before="120" w:after="120"/>
        <w:rPr>
          <w:rFonts w:cs="Arial"/>
        </w:rPr>
      </w:pPr>
      <w:r w:rsidRPr="00D02332">
        <w:rPr>
          <w:rStyle w:val="EndnoteReference"/>
          <w:rFonts w:cs="Arial"/>
        </w:rPr>
        <w:endnoteRef/>
      </w:r>
      <w:r w:rsidRPr="00D02332">
        <w:rPr>
          <w:rFonts w:cs="Arial"/>
        </w:rPr>
        <w:t xml:space="preserve"> Above, s 28B(7) (defining ‘workplace participant’ as (a) an employer or employee; (b) a commission agent or contract worker; (c) a partner in a partnership’.).</w:t>
      </w:r>
    </w:p>
  </w:endnote>
  <w:endnote w:id="11">
    <w:p w14:paraId="2D275647" w14:textId="77777777" w:rsidR="00A4265D" w:rsidRPr="005841CE" w:rsidRDefault="00A4265D">
      <w:pPr>
        <w:pStyle w:val="EndnoteText"/>
      </w:pPr>
      <w:r w:rsidRPr="005F50A8">
        <w:rPr>
          <w:rStyle w:val="EndnoteReference"/>
        </w:rPr>
        <w:endnoteRef/>
      </w:r>
      <w:r w:rsidRPr="005F50A8">
        <w:t xml:space="preserve"> </w:t>
      </w:r>
      <w:r w:rsidRPr="005841CE">
        <w:rPr>
          <w:rFonts w:cs="Arial"/>
        </w:rPr>
        <w:t>Sex Discrimination Act, s 28G.</w:t>
      </w:r>
    </w:p>
  </w:endnote>
  <w:endnote w:id="12">
    <w:p w14:paraId="59259AD0" w14:textId="77777777" w:rsidR="00A4265D" w:rsidRPr="005F50A8" w:rsidRDefault="00A4265D" w:rsidP="004855DC">
      <w:pPr>
        <w:pStyle w:val="EndnoteText"/>
        <w:spacing w:before="120" w:after="120"/>
        <w:rPr>
          <w:rFonts w:cs="Arial"/>
        </w:rPr>
      </w:pPr>
      <w:r w:rsidRPr="005F50A8">
        <w:rPr>
          <w:rStyle w:val="EndnoteReference"/>
          <w:rFonts w:cs="Arial"/>
        </w:rPr>
        <w:endnoteRef/>
      </w:r>
      <w:r w:rsidRPr="005F50A8">
        <w:rPr>
          <w:rFonts w:cs="Arial"/>
        </w:rPr>
        <w:t xml:space="preserve"> Sex Discrimination Act, s 28B(7).</w:t>
      </w:r>
    </w:p>
  </w:endnote>
  <w:endnote w:id="13">
    <w:p w14:paraId="12B1002C" w14:textId="77777777" w:rsidR="00A4265D" w:rsidRPr="005F50A8" w:rsidRDefault="00A4265D" w:rsidP="00776B88">
      <w:pPr>
        <w:pStyle w:val="EndnoteText"/>
        <w:spacing w:before="120" w:after="120"/>
        <w:rPr>
          <w:rFonts w:cs="Arial"/>
        </w:rPr>
      </w:pPr>
      <w:r w:rsidRPr="005F50A8">
        <w:rPr>
          <w:rStyle w:val="EndnoteReference"/>
          <w:rFonts w:cs="Arial"/>
        </w:rPr>
        <w:endnoteRef/>
      </w:r>
      <w:r w:rsidRPr="005F50A8">
        <w:rPr>
          <w:rFonts w:cs="Arial"/>
        </w:rPr>
        <w:t xml:space="preserve"> Sex Discrimination Act, s 94(1).</w:t>
      </w:r>
    </w:p>
  </w:endnote>
  <w:endnote w:id="14">
    <w:p w14:paraId="2B604CF6" w14:textId="77777777" w:rsidR="00A4265D" w:rsidRPr="00DA6F21" w:rsidRDefault="00A4265D" w:rsidP="00A5649B">
      <w:pPr>
        <w:pStyle w:val="EndnoteText"/>
      </w:pPr>
      <w:r w:rsidRPr="00D02332">
        <w:rPr>
          <w:rStyle w:val="EndnoteReference"/>
        </w:rPr>
        <w:endnoteRef/>
      </w:r>
      <w:r w:rsidRPr="00D02332">
        <w:t xml:space="preserve"> </w:t>
      </w:r>
      <w:r w:rsidRPr="00D02332">
        <w:rPr>
          <w:rFonts w:eastAsia="Times New Roman" w:cs="Arial"/>
          <w:i/>
          <w:iCs/>
        </w:rPr>
        <w:t>Cooke v Plauen Holdings Pty Ltd</w:t>
      </w:r>
      <w:r w:rsidRPr="005F50A8">
        <w:rPr>
          <w:rFonts w:eastAsia="Times New Roman" w:cs="Arial"/>
        </w:rPr>
        <w:t xml:space="preserve"> [2001] FMCA 91</w:t>
      </w:r>
    </w:p>
  </w:endnote>
  <w:endnote w:id="15">
    <w:p w14:paraId="28753CF4" w14:textId="77777777" w:rsidR="00A4265D" w:rsidRPr="005F50A8"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Sex Discrimination Act, s 28A(1). </w:t>
      </w:r>
    </w:p>
  </w:endnote>
  <w:endnote w:id="16">
    <w:p w14:paraId="34B03056" w14:textId="77777777" w:rsidR="00A4265D" w:rsidRPr="005841CE"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Sex Dis</w:t>
      </w:r>
      <w:r w:rsidRPr="005841CE">
        <w:rPr>
          <w:rFonts w:cs="Arial"/>
        </w:rPr>
        <w:t>crimination Act, s 105. Strictly speaking, section 105 only applies to liability for unlawful sex discrimination, not sexual harassment. However, the courts have accepted that sexual harassment is a form of sex discrimination. Accordingly, section 105 can still operate to render a person liable as an accessory to sexual harassment.</w:t>
      </w:r>
    </w:p>
  </w:endnote>
  <w:endnote w:id="17">
    <w:p w14:paraId="663B28F5" w14:textId="77777777" w:rsidR="00A4265D" w:rsidRPr="00D02332" w:rsidRDefault="00A4265D">
      <w:pPr>
        <w:pStyle w:val="EndnoteText"/>
        <w:rPr>
          <w:rFonts w:cs="Arial"/>
        </w:rPr>
      </w:pPr>
      <w:r w:rsidRPr="00D02332">
        <w:rPr>
          <w:rStyle w:val="EndnoteReference"/>
          <w:rFonts w:cs="Arial"/>
        </w:rPr>
        <w:endnoteRef/>
      </w:r>
      <w:r w:rsidRPr="00D02332">
        <w:rPr>
          <w:rFonts w:cs="Arial"/>
        </w:rPr>
        <w:t xml:space="preserve"> </w:t>
      </w:r>
      <w:r w:rsidRPr="00D02332">
        <w:rPr>
          <w:rFonts w:eastAsia="Times New Roman" w:cs="Arial"/>
          <w:i/>
          <w:iCs/>
        </w:rPr>
        <w:t xml:space="preserve">Lee v Smith </w:t>
      </w:r>
      <w:r w:rsidRPr="00D02332">
        <w:rPr>
          <w:rFonts w:eastAsia="Times New Roman" w:cs="Arial"/>
        </w:rPr>
        <w:t>[2007] FMCA 59, [205].</w:t>
      </w:r>
    </w:p>
  </w:endnote>
  <w:endnote w:id="18">
    <w:p w14:paraId="069F376B" w14:textId="77777777" w:rsidR="00A4265D" w:rsidRPr="00D02332" w:rsidRDefault="00A4265D" w:rsidP="005F50A8">
      <w:pPr>
        <w:pStyle w:val="EndnoteText"/>
        <w:spacing w:before="120" w:after="120"/>
        <w:rPr>
          <w:rFonts w:cs="Arial"/>
        </w:rPr>
      </w:pPr>
      <w:r w:rsidRPr="00D02332">
        <w:rPr>
          <w:rStyle w:val="EndnoteReference"/>
          <w:rFonts w:cs="Arial"/>
        </w:rPr>
        <w:endnoteRef/>
      </w:r>
      <w:r w:rsidRPr="00D02332">
        <w:rPr>
          <w:rFonts w:cs="Arial"/>
        </w:rPr>
        <w:t xml:space="preserve"> Sex Discrimination Act, s 106. </w:t>
      </w:r>
    </w:p>
  </w:endnote>
  <w:endnote w:id="19">
    <w:p w14:paraId="251DB361" w14:textId="77777777" w:rsidR="00A4265D" w:rsidRPr="00D02332" w:rsidRDefault="00A4265D" w:rsidP="005F50A8">
      <w:pPr>
        <w:pStyle w:val="NormalWeb"/>
        <w:spacing w:before="120" w:after="120"/>
        <w:rPr>
          <w:rFonts w:ascii="Arial" w:eastAsia="Times New Roman" w:hAnsi="Arial" w:cs="Arial"/>
          <w:sz w:val="20"/>
          <w:szCs w:val="20"/>
        </w:rPr>
      </w:pPr>
      <w:r w:rsidRPr="00D02332">
        <w:rPr>
          <w:rStyle w:val="EndnoteReference"/>
          <w:rFonts w:cs="Arial"/>
          <w:szCs w:val="20"/>
        </w:rPr>
        <w:endnoteRef/>
      </w:r>
      <w:r w:rsidRPr="00D02332">
        <w:rPr>
          <w:rFonts w:ascii="Arial" w:hAnsi="Arial" w:cs="Arial"/>
          <w:sz w:val="20"/>
          <w:szCs w:val="20"/>
        </w:rPr>
        <w:t xml:space="preserve"> </w:t>
      </w:r>
      <w:r w:rsidRPr="00D02332">
        <w:rPr>
          <w:rFonts w:ascii="Arial" w:eastAsia="Times New Roman" w:hAnsi="Arial" w:cs="Arial"/>
          <w:bCs/>
          <w:i/>
          <w:iCs/>
          <w:sz w:val="20"/>
          <w:szCs w:val="20"/>
        </w:rPr>
        <w:t>Cooke v Plauen Holdings</w:t>
      </w:r>
      <w:r w:rsidRPr="00D02332">
        <w:rPr>
          <w:rFonts w:ascii="Arial" w:eastAsia="Times New Roman" w:hAnsi="Arial" w:cs="Arial"/>
          <w:bCs/>
          <w:sz w:val="20"/>
          <w:szCs w:val="20"/>
        </w:rPr>
        <w:t xml:space="preserve"> [2001] FMCA 91</w:t>
      </w:r>
    </w:p>
  </w:endnote>
  <w:endnote w:id="20">
    <w:p w14:paraId="7F7749DB" w14:textId="77777777" w:rsidR="00A4265D" w:rsidRPr="00D02332" w:rsidRDefault="00A4265D">
      <w:pPr>
        <w:pStyle w:val="EndnoteText"/>
        <w:rPr>
          <w:rFonts w:cs="Arial"/>
        </w:rPr>
      </w:pPr>
      <w:r w:rsidRPr="00D02332">
        <w:rPr>
          <w:rStyle w:val="EndnoteReference"/>
          <w:rFonts w:cs="Arial"/>
        </w:rPr>
        <w:endnoteRef/>
      </w:r>
      <w:r w:rsidRPr="00D02332">
        <w:rPr>
          <w:rFonts w:cs="Arial"/>
        </w:rPr>
        <w:t xml:space="preserve"> </w:t>
      </w:r>
      <w:r w:rsidRPr="00D02332">
        <w:rPr>
          <w:rStyle w:val="Emphasis"/>
          <w:rFonts w:cs="Arial"/>
          <w:lang w:val="en"/>
        </w:rPr>
        <w:t>Gilroy v Angelov</w:t>
      </w:r>
      <w:r w:rsidRPr="00D02332">
        <w:rPr>
          <w:rFonts w:cs="Arial"/>
          <w:lang w:val="en"/>
        </w:rPr>
        <w:t xml:space="preserve"> (2000) 181 ALR 57, case study at pages 53-54.</w:t>
      </w:r>
    </w:p>
  </w:endnote>
  <w:endnote w:id="21">
    <w:p w14:paraId="1E594A8D" w14:textId="77777777" w:rsidR="00A4265D" w:rsidRPr="00D02332" w:rsidRDefault="00A4265D" w:rsidP="005F50A8">
      <w:pPr>
        <w:pStyle w:val="EndnoteText"/>
        <w:spacing w:before="120" w:after="120"/>
        <w:rPr>
          <w:rFonts w:cs="Arial"/>
        </w:rPr>
      </w:pPr>
      <w:r w:rsidRPr="00D02332">
        <w:rPr>
          <w:rStyle w:val="EndnoteReference"/>
          <w:rFonts w:cs="Arial"/>
        </w:rPr>
        <w:endnoteRef/>
      </w:r>
      <w:r w:rsidRPr="00D02332">
        <w:rPr>
          <w:rFonts w:cs="Arial"/>
        </w:rPr>
        <w:t xml:space="preserve"> </w:t>
      </w:r>
      <w:r w:rsidRPr="00D02332">
        <w:rPr>
          <w:rFonts w:cs="Arial"/>
          <w:i/>
        </w:rPr>
        <w:t>Fair Work Act 2009</w:t>
      </w:r>
      <w:r w:rsidRPr="00D02332">
        <w:rPr>
          <w:rFonts w:cs="Arial"/>
        </w:rPr>
        <w:t xml:space="preserve"> (Cth), s 340.</w:t>
      </w:r>
    </w:p>
  </w:endnote>
  <w:endnote w:id="22">
    <w:p w14:paraId="628DBD97" w14:textId="77777777" w:rsidR="00A4265D" w:rsidRPr="00D02332" w:rsidRDefault="00A4265D" w:rsidP="005F50A8">
      <w:pPr>
        <w:pStyle w:val="EndnoteText"/>
        <w:spacing w:before="120" w:after="120"/>
        <w:rPr>
          <w:rFonts w:cs="Arial"/>
        </w:rPr>
      </w:pPr>
      <w:r w:rsidRPr="00D02332">
        <w:rPr>
          <w:rStyle w:val="EndnoteReference"/>
          <w:rFonts w:cs="Arial"/>
        </w:rPr>
        <w:endnoteRef/>
      </w:r>
      <w:r w:rsidRPr="00D02332">
        <w:rPr>
          <w:rFonts w:cs="Arial"/>
        </w:rPr>
        <w:t xml:space="preserve"> See Fair Work Act, s 14.</w:t>
      </w:r>
    </w:p>
  </w:endnote>
  <w:endnote w:id="23">
    <w:p w14:paraId="72AF36CC" w14:textId="77777777" w:rsidR="00A4265D" w:rsidRPr="00D02332" w:rsidRDefault="00A4265D" w:rsidP="00EF62DA">
      <w:pPr>
        <w:pStyle w:val="EndnoteText"/>
        <w:rPr>
          <w:rFonts w:cs="Arial"/>
        </w:rPr>
      </w:pPr>
      <w:r w:rsidRPr="00D02332">
        <w:rPr>
          <w:rStyle w:val="EndnoteReference"/>
          <w:rFonts w:cs="Arial"/>
        </w:rPr>
        <w:endnoteRef/>
      </w:r>
      <w:r w:rsidRPr="00D02332">
        <w:rPr>
          <w:rFonts w:cs="Arial"/>
        </w:rPr>
        <w:t xml:space="preserve"> Fair Work Act, s 385.</w:t>
      </w:r>
    </w:p>
  </w:endnote>
  <w:endnote w:id="24">
    <w:p w14:paraId="46D6345C" w14:textId="77777777" w:rsidR="00A4265D" w:rsidRPr="0003575F" w:rsidRDefault="00A4265D" w:rsidP="00E41966">
      <w:pPr>
        <w:pStyle w:val="EndnoteText"/>
        <w:spacing w:before="120" w:after="120"/>
        <w:rPr>
          <w:rFonts w:cs="Arial"/>
        </w:rPr>
      </w:pPr>
      <w:r w:rsidRPr="005F50A8">
        <w:rPr>
          <w:rStyle w:val="EndnoteReference"/>
          <w:rFonts w:cs="Arial"/>
        </w:rPr>
        <w:endnoteRef/>
      </w:r>
      <w:r w:rsidRPr="005F50A8">
        <w:rPr>
          <w:rFonts w:cs="Arial"/>
        </w:rPr>
        <w:t xml:space="preserve"> </w:t>
      </w:r>
      <w:r w:rsidRPr="005841CE">
        <w:rPr>
          <w:rFonts w:cs="Arial"/>
          <w:i/>
        </w:rPr>
        <w:t>Work Health and Safety Act 2011</w:t>
      </w:r>
      <w:r w:rsidRPr="005841CE">
        <w:rPr>
          <w:rFonts w:cs="Arial"/>
        </w:rPr>
        <w:t xml:space="preserve"> (ACT); </w:t>
      </w:r>
      <w:r w:rsidRPr="005841CE">
        <w:rPr>
          <w:rFonts w:cs="Arial"/>
          <w:i/>
        </w:rPr>
        <w:t>Work Health and Safety Act 2011</w:t>
      </w:r>
      <w:r w:rsidRPr="005841CE">
        <w:rPr>
          <w:rFonts w:cs="Arial"/>
        </w:rPr>
        <w:t xml:space="preserve"> (NSW); </w:t>
      </w:r>
      <w:r w:rsidRPr="005841CE">
        <w:rPr>
          <w:rFonts w:cs="Arial"/>
          <w:i/>
        </w:rPr>
        <w:t>Work Health and Safety (National Uniform Legislation) Act</w:t>
      </w:r>
      <w:r w:rsidRPr="00A36DB0">
        <w:rPr>
          <w:rFonts w:cs="Arial"/>
        </w:rPr>
        <w:t xml:space="preserve"> </w:t>
      </w:r>
      <w:r w:rsidRPr="00A36DB0">
        <w:rPr>
          <w:rFonts w:cs="Arial"/>
          <w:i/>
        </w:rPr>
        <w:t>2011</w:t>
      </w:r>
      <w:r w:rsidRPr="0003575F">
        <w:rPr>
          <w:rFonts w:cs="Arial"/>
        </w:rPr>
        <w:t xml:space="preserve"> (NT); </w:t>
      </w:r>
      <w:r w:rsidRPr="0003575F">
        <w:rPr>
          <w:rFonts w:cs="Arial"/>
          <w:i/>
        </w:rPr>
        <w:t>Work Health and Safety Act 2011</w:t>
      </w:r>
      <w:r w:rsidRPr="0003575F">
        <w:rPr>
          <w:rFonts w:cs="Arial"/>
        </w:rPr>
        <w:t xml:space="preserve"> (QLD); </w:t>
      </w:r>
      <w:r w:rsidRPr="0003575F">
        <w:rPr>
          <w:rFonts w:cs="Arial"/>
          <w:i/>
        </w:rPr>
        <w:t>Work Health and Safety Act 2012</w:t>
      </w:r>
      <w:r w:rsidRPr="0003575F">
        <w:rPr>
          <w:rFonts w:cs="Arial"/>
        </w:rPr>
        <w:t xml:space="preserve"> (SA); </w:t>
      </w:r>
      <w:r w:rsidRPr="0003575F">
        <w:rPr>
          <w:rFonts w:cs="Arial"/>
          <w:i/>
        </w:rPr>
        <w:t>Work Health and Safety Act 2012</w:t>
      </w:r>
      <w:r w:rsidRPr="0003575F">
        <w:rPr>
          <w:rFonts w:cs="Arial"/>
        </w:rPr>
        <w:t xml:space="preserve"> (TAS); </w:t>
      </w:r>
      <w:r w:rsidRPr="0003575F">
        <w:rPr>
          <w:rFonts w:cs="Arial"/>
          <w:i/>
          <w:iCs/>
        </w:rPr>
        <w:t xml:space="preserve">Occupational Health and Safety Act 2004 </w:t>
      </w:r>
      <w:r w:rsidRPr="0003575F">
        <w:rPr>
          <w:rFonts w:cs="Arial"/>
          <w:iCs/>
        </w:rPr>
        <w:t xml:space="preserve">(VIC); </w:t>
      </w:r>
      <w:r w:rsidRPr="0003575F">
        <w:rPr>
          <w:rFonts w:cs="Arial"/>
          <w:i/>
          <w:iCs/>
        </w:rPr>
        <w:t xml:space="preserve">Occupational Safety and Health Act 1984 </w:t>
      </w:r>
      <w:r w:rsidRPr="0003575F">
        <w:rPr>
          <w:rFonts w:cs="Arial"/>
          <w:iCs/>
        </w:rPr>
        <w:t>(WA).</w:t>
      </w:r>
    </w:p>
  </w:endnote>
  <w:endnote w:id="25">
    <w:p w14:paraId="22A377D4" w14:textId="77777777" w:rsidR="00A4265D" w:rsidRPr="0003575F" w:rsidRDefault="00A4265D" w:rsidP="009764F7">
      <w:pPr>
        <w:spacing w:before="120" w:after="120"/>
        <w:rPr>
          <w:rFonts w:cs="Arial"/>
          <w:sz w:val="20"/>
          <w:szCs w:val="20"/>
        </w:rPr>
      </w:pPr>
      <w:r w:rsidRPr="0003575F">
        <w:rPr>
          <w:rStyle w:val="EndnoteReference"/>
          <w:rFonts w:cs="Arial"/>
          <w:szCs w:val="20"/>
        </w:rPr>
        <w:endnoteRef/>
      </w:r>
      <w:r w:rsidRPr="0003575F">
        <w:rPr>
          <w:rFonts w:cs="Arial"/>
          <w:sz w:val="20"/>
          <w:szCs w:val="20"/>
        </w:rPr>
        <w:t xml:space="preserve"> The interviewee should be provided with a copy of their own record of interview if requested.  To avoid any possibility of collusion, they should not be provided with anyone else’s statement or record of interview.  A complainant’s support person should not also be a witness as this may compromise their evidence. </w:t>
      </w:r>
    </w:p>
  </w:endnote>
  <w:endnote w:id="26">
    <w:p w14:paraId="7438C1A6" w14:textId="77777777" w:rsidR="00A4265D" w:rsidRPr="005841CE" w:rsidRDefault="00A4265D" w:rsidP="009764F7">
      <w:pPr>
        <w:pStyle w:val="EndnoteText"/>
        <w:rPr>
          <w:rFonts w:cs="Arial"/>
        </w:rPr>
      </w:pPr>
      <w:r w:rsidRPr="005F50A8">
        <w:rPr>
          <w:rStyle w:val="EndnoteReference"/>
          <w:rFonts w:cs="Arial"/>
        </w:rPr>
        <w:endnoteRef/>
      </w:r>
      <w:r w:rsidRPr="005F50A8">
        <w:rPr>
          <w:rFonts w:cs="Arial"/>
        </w:rPr>
        <w:t xml:space="preserve"> See </w:t>
      </w:r>
      <w:r w:rsidRPr="005841CE">
        <w:rPr>
          <w:rFonts w:cs="Arial"/>
          <w:i/>
        </w:rPr>
        <w:t>Richardson v Oracle Corporation Australia Pty Limited</w:t>
      </w:r>
      <w:r w:rsidRPr="005841CE">
        <w:rPr>
          <w:rFonts w:cs="Arial"/>
        </w:rPr>
        <w:t xml:space="preserve"> [2013] FCA 102 [169]-[172].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YPlain">
    <w:altName w:val="Times New Roman"/>
    <w:panose1 w:val="00000000000000000000"/>
    <w:charset w:val="CD"/>
    <w:family w:val="auto"/>
    <w:notTrueType/>
    <w:pitch w:val="default"/>
    <w:sig w:usb0="00000001" w:usb1="00000000" w:usb2="00000000" w:usb3="00000000" w:csb0="00000000" w:csb1="00000000"/>
  </w:font>
  <w:font w:name="HelveticaNeue">
    <w:panose1 w:val="00000000000000000000"/>
    <w:charset w:val="00"/>
    <w:family w:val="swiss"/>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cher Book">
    <w:altName w:val="Archer Book"/>
    <w:panose1 w:val="00000000000000000000"/>
    <w:charset w:val="00"/>
    <w:family w:val="roman"/>
    <w:notTrueType/>
    <w:pitch w:val="default"/>
    <w:sig w:usb0="00000003" w:usb1="00000000" w:usb2="00000000" w:usb3="00000000" w:csb0="00000001" w:csb1="00000000"/>
  </w:font>
  <w:font w:name="ELKZSS+HelveticaCYPlain">
    <w:altName w:val="Helvetica CY Plai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3F51" w14:textId="77777777" w:rsidR="00A4265D" w:rsidRPr="0090165F" w:rsidRDefault="00A4265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6718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CB82" w14:textId="77777777" w:rsidR="005B2E48" w:rsidRDefault="005B2E48" w:rsidP="00F14C6D">
      <w:r>
        <w:separator/>
      </w:r>
    </w:p>
  </w:footnote>
  <w:footnote w:type="continuationSeparator" w:id="0">
    <w:p w14:paraId="26609C9F" w14:textId="77777777" w:rsidR="005B2E48" w:rsidRDefault="005B2E48"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DFF6" w14:textId="77777777" w:rsidR="00A4265D" w:rsidRPr="00D27262" w:rsidRDefault="00A4265D" w:rsidP="00A4265D">
    <w:pPr>
      <w:spacing w:before="0" w:after="60"/>
      <w:jc w:val="right"/>
      <w:rPr>
        <w:sz w:val="22"/>
        <w:szCs w:val="22"/>
      </w:rPr>
    </w:pPr>
    <w:r w:rsidRPr="00D27262">
      <w:rPr>
        <w:sz w:val="22"/>
        <w:szCs w:val="22"/>
      </w:rPr>
      <w:t>Au</w:t>
    </w:r>
    <w:r>
      <w:rPr>
        <w:sz w:val="22"/>
        <w:szCs w:val="22"/>
      </w:rPr>
      <w:t>stralian Human Rights Commission</w:t>
    </w:r>
  </w:p>
  <w:p w14:paraId="4372B197" w14:textId="77777777" w:rsidR="00A4265D" w:rsidRPr="001E5676" w:rsidRDefault="00A4265D" w:rsidP="00A4265D">
    <w:pPr>
      <w:pStyle w:val="Footer"/>
      <w:spacing w:after="240"/>
      <w:jc w:val="right"/>
      <w:rPr>
        <w:i/>
        <w:sz w:val="18"/>
        <w:szCs w:val="18"/>
      </w:rPr>
    </w:pPr>
    <w:r>
      <w:rPr>
        <w:b/>
        <w:i/>
        <w:sz w:val="18"/>
        <w:szCs w:val="18"/>
      </w:rPr>
      <w:t xml:space="preserve">Sexual harassment free workplaces: A Guide for Small Business </w:t>
    </w:r>
    <w:r w:rsidRPr="001E5676">
      <w:rPr>
        <w:i/>
        <w:sz w:val="18"/>
        <w:szCs w:val="18"/>
      </w:rPr>
      <w:t xml:space="preserve">– </w:t>
    </w:r>
    <w:r>
      <w:rPr>
        <w:i/>
        <w:sz w:val="18"/>
        <w:szCs w:val="18"/>
      </w:rPr>
      <w:t>September 2014</w:t>
    </w:r>
  </w:p>
  <w:p w14:paraId="2213C3CD" w14:textId="77777777" w:rsidR="00A4265D" w:rsidRPr="00A4265D" w:rsidRDefault="00A4265D" w:rsidP="00A426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2D1E"/>
    <w:multiLevelType w:val="hybridMultilevel"/>
    <w:tmpl w:val="C3984A1E"/>
    <w:lvl w:ilvl="0" w:tplc="EB54A140">
      <w:start w:val="1"/>
      <w:numFmt w:val="bullet"/>
      <w:pStyle w:val="ListParaMargin"/>
      <w:lvlText w:val=""/>
      <w:lvlJc w:val="left"/>
      <w:pPr>
        <w:tabs>
          <w:tab w:val="num" w:pos="284"/>
        </w:tabs>
        <w:ind w:left="284" w:hanging="284"/>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18252D"/>
    <w:multiLevelType w:val="hybridMultilevel"/>
    <w:tmpl w:val="D6B0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0345BE"/>
    <w:multiLevelType w:val="hybridMultilevel"/>
    <w:tmpl w:val="5762C5A8"/>
    <w:lvl w:ilvl="0" w:tplc="539E23D4">
      <w:start w:val="1"/>
      <w:numFmt w:val="decimal"/>
      <w:pStyle w:val="TOC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629015C"/>
    <w:multiLevelType w:val="hybridMultilevel"/>
    <w:tmpl w:val="8CAE89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92D28A2"/>
    <w:multiLevelType w:val="hybridMultilevel"/>
    <w:tmpl w:val="67162EBA"/>
    <w:lvl w:ilvl="0" w:tplc="6B6098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5773ED"/>
    <w:multiLevelType w:val="hybridMultilevel"/>
    <w:tmpl w:val="B620624E"/>
    <w:lvl w:ilvl="0" w:tplc="78E8CB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90259A"/>
    <w:multiLevelType w:val="multilevel"/>
    <w:tmpl w:val="98FA1EB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9CD0C68"/>
    <w:multiLevelType w:val="hybridMultilevel"/>
    <w:tmpl w:val="3E20C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98D32BA"/>
    <w:multiLevelType w:val="hybridMultilevel"/>
    <w:tmpl w:val="A6B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B35574A"/>
    <w:multiLevelType w:val="multilevel"/>
    <w:tmpl w:val="FD00794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D5D0489"/>
    <w:multiLevelType w:val="hybridMultilevel"/>
    <w:tmpl w:val="7BB2E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E3D1375"/>
    <w:multiLevelType w:val="hybridMultilevel"/>
    <w:tmpl w:val="2F4A7B74"/>
    <w:lvl w:ilvl="0" w:tplc="58DE90D8">
      <w:start w:val="1"/>
      <w:numFmt w:val="bullet"/>
      <w:pStyle w:val="VEOHRCList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2287028"/>
    <w:multiLevelType w:val="hybridMultilevel"/>
    <w:tmpl w:val="1580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782EEB"/>
    <w:multiLevelType w:val="hybridMultilevel"/>
    <w:tmpl w:val="3A48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963566"/>
    <w:multiLevelType w:val="hybridMultilevel"/>
    <w:tmpl w:val="81A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7A72B7"/>
    <w:multiLevelType w:val="hybridMultilevel"/>
    <w:tmpl w:val="5B6E2612"/>
    <w:lvl w:ilvl="0" w:tplc="0C090005">
      <w:start w:val="1"/>
      <w:numFmt w:val="bullet"/>
      <w:lvlText w:val=""/>
      <w:lvlJc w:val="left"/>
      <w:pPr>
        <w:ind w:left="6" w:hanging="360"/>
      </w:pPr>
      <w:rPr>
        <w:rFonts w:ascii="Wingdings" w:hAnsi="Wingdings"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4AB7D7E"/>
    <w:multiLevelType w:val="hybridMultilevel"/>
    <w:tmpl w:val="553A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486171"/>
    <w:multiLevelType w:val="hybridMultilevel"/>
    <w:tmpl w:val="EC04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245FC9"/>
    <w:multiLevelType w:val="hybridMultilevel"/>
    <w:tmpl w:val="DBC6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3958E9"/>
    <w:multiLevelType w:val="hybridMultilevel"/>
    <w:tmpl w:val="6D92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63461A"/>
    <w:multiLevelType w:val="hybridMultilevel"/>
    <w:tmpl w:val="304E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075F4C"/>
    <w:multiLevelType w:val="hybridMultilevel"/>
    <w:tmpl w:val="4F08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98325F"/>
    <w:multiLevelType w:val="hybridMultilevel"/>
    <w:tmpl w:val="31E46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9F6D65"/>
    <w:multiLevelType w:val="hybridMultilevel"/>
    <w:tmpl w:val="2F54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A467FB"/>
    <w:multiLevelType w:val="hybridMultilevel"/>
    <w:tmpl w:val="861ED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3976AE"/>
    <w:multiLevelType w:val="hybridMultilevel"/>
    <w:tmpl w:val="8774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D014F3"/>
    <w:multiLevelType w:val="hybridMultilevel"/>
    <w:tmpl w:val="BF42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033A6C"/>
    <w:multiLevelType w:val="hybridMultilevel"/>
    <w:tmpl w:val="F77267C6"/>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4">
    <w:nsid w:val="6F183F13"/>
    <w:multiLevelType w:val="hybridMultilevel"/>
    <w:tmpl w:val="E07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7B37B5"/>
    <w:multiLevelType w:val="multilevel"/>
    <w:tmpl w:val="8FEE497E"/>
    <w:lvl w:ilvl="0">
      <w:start w:val="1"/>
      <w:numFmt w:val="bullet"/>
      <w:lvlText w:val=""/>
      <w:lvlJc w:val="left"/>
      <w:pPr>
        <w:ind w:left="405" w:hanging="405"/>
      </w:pPr>
      <w:rPr>
        <w:rFonts w:ascii="Symbol" w:hAnsi="Symbol"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6C6397"/>
    <w:multiLevelType w:val="hybridMultilevel"/>
    <w:tmpl w:val="DEB2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1717B3"/>
    <w:multiLevelType w:val="hybridMultilevel"/>
    <w:tmpl w:val="D7CE8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1"/>
  </w:num>
  <w:num w:numId="13">
    <w:abstractNumId w:val="28"/>
  </w:num>
  <w:num w:numId="14">
    <w:abstractNumId w:val="19"/>
  </w:num>
  <w:num w:numId="15">
    <w:abstractNumId w:val="18"/>
  </w:num>
  <w:num w:numId="16">
    <w:abstractNumId w:val="32"/>
  </w:num>
  <w:num w:numId="17">
    <w:abstractNumId w:val="10"/>
  </w:num>
  <w:num w:numId="18">
    <w:abstractNumId w:val="33"/>
  </w:num>
  <w:num w:numId="19">
    <w:abstractNumId w:val="26"/>
  </w:num>
  <w:num w:numId="20">
    <w:abstractNumId w:val="36"/>
  </w:num>
  <w:num w:numId="21">
    <w:abstractNumId w:val="41"/>
  </w:num>
  <w:num w:numId="22">
    <w:abstractNumId w:val="21"/>
  </w:num>
  <w:num w:numId="23">
    <w:abstractNumId w:val="23"/>
  </w:num>
  <w:num w:numId="24">
    <w:abstractNumId w:val="44"/>
  </w:num>
  <w:num w:numId="25">
    <w:abstractNumId w:val="38"/>
  </w:num>
  <w:num w:numId="26">
    <w:abstractNumId w:val="24"/>
  </w:num>
  <w:num w:numId="27">
    <w:abstractNumId w:val="13"/>
  </w:num>
  <w:num w:numId="28">
    <w:abstractNumId w:val="29"/>
  </w:num>
  <w:num w:numId="29">
    <w:abstractNumId w:val="43"/>
  </w:num>
  <w:num w:numId="30">
    <w:abstractNumId w:val="34"/>
  </w:num>
  <w:num w:numId="31">
    <w:abstractNumId w:val="17"/>
  </w:num>
  <w:num w:numId="32">
    <w:abstractNumId w:val="16"/>
  </w:num>
  <w:num w:numId="33">
    <w:abstractNumId w:val="22"/>
  </w:num>
  <w:num w:numId="34">
    <w:abstractNumId w:val="45"/>
  </w:num>
  <w:num w:numId="35">
    <w:abstractNumId w:val="15"/>
  </w:num>
  <w:num w:numId="36">
    <w:abstractNumId w:val="20"/>
  </w:num>
  <w:num w:numId="37">
    <w:abstractNumId w:val="25"/>
  </w:num>
  <w:num w:numId="38">
    <w:abstractNumId w:val="11"/>
  </w:num>
  <w:num w:numId="39">
    <w:abstractNumId w:val="37"/>
  </w:num>
  <w:num w:numId="40">
    <w:abstractNumId w:val="35"/>
  </w:num>
  <w:num w:numId="41">
    <w:abstractNumId w:val="47"/>
  </w:num>
  <w:num w:numId="42">
    <w:abstractNumId w:val="42"/>
  </w:num>
  <w:num w:numId="43">
    <w:abstractNumId w:val="46"/>
  </w:num>
  <w:num w:numId="44">
    <w:abstractNumId w:val="14"/>
  </w:num>
  <w:num w:numId="45">
    <w:abstractNumId w:val="12"/>
  </w:num>
  <w:num w:numId="46">
    <w:abstractNumId w:val="40"/>
  </w:num>
  <w:num w:numId="47">
    <w:abstractNumId w:val="39"/>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C3"/>
    <w:rsid w:val="00000938"/>
    <w:rsid w:val="00001304"/>
    <w:rsid w:val="000024B8"/>
    <w:rsid w:val="0000320C"/>
    <w:rsid w:val="0000343B"/>
    <w:rsid w:val="00003A80"/>
    <w:rsid w:val="00003B6A"/>
    <w:rsid w:val="00005219"/>
    <w:rsid w:val="00005E54"/>
    <w:rsid w:val="00006D92"/>
    <w:rsid w:val="00007E4F"/>
    <w:rsid w:val="00011119"/>
    <w:rsid w:val="0001148E"/>
    <w:rsid w:val="0001155D"/>
    <w:rsid w:val="00012850"/>
    <w:rsid w:val="000128D6"/>
    <w:rsid w:val="000132A4"/>
    <w:rsid w:val="000132FF"/>
    <w:rsid w:val="00013528"/>
    <w:rsid w:val="000139AF"/>
    <w:rsid w:val="00014448"/>
    <w:rsid w:val="0001518D"/>
    <w:rsid w:val="00015854"/>
    <w:rsid w:val="000167F9"/>
    <w:rsid w:val="00016807"/>
    <w:rsid w:val="00016A5B"/>
    <w:rsid w:val="00016F18"/>
    <w:rsid w:val="000174D8"/>
    <w:rsid w:val="00020B4F"/>
    <w:rsid w:val="00022507"/>
    <w:rsid w:val="0002301F"/>
    <w:rsid w:val="0002406A"/>
    <w:rsid w:val="000249CB"/>
    <w:rsid w:val="00024CC7"/>
    <w:rsid w:val="000251EA"/>
    <w:rsid w:val="00025992"/>
    <w:rsid w:val="0002677A"/>
    <w:rsid w:val="00026CDC"/>
    <w:rsid w:val="00027469"/>
    <w:rsid w:val="000275F7"/>
    <w:rsid w:val="00031482"/>
    <w:rsid w:val="00031FB2"/>
    <w:rsid w:val="00033264"/>
    <w:rsid w:val="0003326D"/>
    <w:rsid w:val="000348A4"/>
    <w:rsid w:val="00035526"/>
    <w:rsid w:val="0003575F"/>
    <w:rsid w:val="000358BF"/>
    <w:rsid w:val="000361E0"/>
    <w:rsid w:val="0003775E"/>
    <w:rsid w:val="00037AE9"/>
    <w:rsid w:val="00037E4A"/>
    <w:rsid w:val="000402FD"/>
    <w:rsid w:val="00040F56"/>
    <w:rsid w:val="00041902"/>
    <w:rsid w:val="0004240C"/>
    <w:rsid w:val="00042A5D"/>
    <w:rsid w:val="00042C2C"/>
    <w:rsid w:val="00043478"/>
    <w:rsid w:val="00043525"/>
    <w:rsid w:val="00043FCC"/>
    <w:rsid w:val="0004520B"/>
    <w:rsid w:val="000468F6"/>
    <w:rsid w:val="00050054"/>
    <w:rsid w:val="0005030A"/>
    <w:rsid w:val="0005087F"/>
    <w:rsid w:val="00051109"/>
    <w:rsid w:val="0005115C"/>
    <w:rsid w:val="0005171C"/>
    <w:rsid w:val="00051EDC"/>
    <w:rsid w:val="00052C4C"/>
    <w:rsid w:val="00052FBC"/>
    <w:rsid w:val="00053290"/>
    <w:rsid w:val="000533CE"/>
    <w:rsid w:val="000535FF"/>
    <w:rsid w:val="00053809"/>
    <w:rsid w:val="00053953"/>
    <w:rsid w:val="00053D58"/>
    <w:rsid w:val="00054DBE"/>
    <w:rsid w:val="00054FAD"/>
    <w:rsid w:val="000561D9"/>
    <w:rsid w:val="000577D1"/>
    <w:rsid w:val="000579B1"/>
    <w:rsid w:val="00060F8A"/>
    <w:rsid w:val="00061039"/>
    <w:rsid w:val="00061103"/>
    <w:rsid w:val="000612CF"/>
    <w:rsid w:val="000619E5"/>
    <w:rsid w:val="00061FC8"/>
    <w:rsid w:val="00062041"/>
    <w:rsid w:val="000624AB"/>
    <w:rsid w:val="0006293C"/>
    <w:rsid w:val="000629C5"/>
    <w:rsid w:val="00064DE2"/>
    <w:rsid w:val="00064F5B"/>
    <w:rsid w:val="00065799"/>
    <w:rsid w:val="00065DC7"/>
    <w:rsid w:val="000665E3"/>
    <w:rsid w:val="00067837"/>
    <w:rsid w:val="000678D7"/>
    <w:rsid w:val="00067AC7"/>
    <w:rsid w:val="00067BE6"/>
    <w:rsid w:val="000720F6"/>
    <w:rsid w:val="000724F0"/>
    <w:rsid w:val="00073049"/>
    <w:rsid w:val="0007372F"/>
    <w:rsid w:val="000739F0"/>
    <w:rsid w:val="00073CCB"/>
    <w:rsid w:val="00073EB1"/>
    <w:rsid w:val="00075A2C"/>
    <w:rsid w:val="00076D4A"/>
    <w:rsid w:val="00077BAB"/>
    <w:rsid w:val="00077DF1"/>
    <w:rsid w:val="000822FE"/>
    <w:rsid w:val="00082587"/>
    <w:rsid w:val="00082B88"/>
    <w:rsid w:val="00083347"/>
    <w:rsid w:val="000836B7"/>
    <w:rsid w:val="00083940"/>
    <w:rsid w:val="00084184"/>
    <w:rsid w:val="000859DB"/>
    <w:rsid w:val="00086057"/>
    <w:rsid w:val="000862C0"/>
    <w:rsid w:val="00086C68"/>
    <w:rsid w:val="00087853"/>
    <w:rsid w:val="00087CAD"/>
    <w:rsid w:val="00087F62"/>
    <w:rsid w:val="00087FA5"/>
    <w:rsid w:val="000900C3"/>
    <w:rsid w:val="00090272"/>
    <w:rsid w:val="00090468"/>
    <w:rsid w:val="00091A14"/>
    <w:rsid w:val="00091B54"/>
    <w:rsid w:val="00091E00"/>
    <w:rsid w:val="000926F1"/>
    <w:rsid w:val="00093E52"/>
    <w:rsid w:val="00093FE7"/>
    <w:rsid w:val="0009533D"/>
    <w:rsid w:val="0009627F"/>
    <w:rsid w:val="00096978"/>
    <w:rsid w:val="00096CA9"/>
    <w:rsid w:val="00096D9F"/>
    <w:rsid w:val="000970A6"/>
    <w:rsid w:val="0009738A"/>
    <w:rsid w:val="00097E02"/>
    <w:rsid w:val="000A05C6"/>
    <w:rsid w:val="000A1720"/>
    <w:rsid w:val="000A1DB8"/>
    <w:rsid w:val="000A20E2"/>
    <w:rsid w:val="000A233B"/>
    <w:rsid w:val="000A2ADD"/>
    <w:rsid w:val="000A3004"/>
    <w:rsid w:val="000A302B"/>
    <w:rsid w:val="000A3759"/>
    <w:rsid w:val="000A391D"/>
    <w:rsid w:val="000A43B9"/>
    <w:rsid w:val="000A48AC"/>
    <w:rsid w:val="000A60EA"/>
    <w:rsid w:val="000A68D4"/>
    <w:rsid w:val="000A694B"/>
    <w:rsid w:val="000A698C"/>
    <w:rsid w:val="000A73DA"/>
    <w:rsid w:val="000B0297"/>
    <w:rsid w:val="000B076E"/>
    <w:rsid w:val="000B0A5D"/>
    <w:rsid w:val="000B1D95"/>
    <w:rsid w:val="000B2162"/>
    <w:rsid w:val="000B276F"/>
    <w:rsid w:val="000B2861"/>
    <w:rsid w:val="000B2A29"/>
    <w:rsid w:val="000B3949"/>
    <w:rsid w:val="000B3D00"/>
    <w:rsid w:val="000B49B1"/>
    <w:rsid w:val="000B4D25"/>
    <w:rsid w:val="000B50C0"/>
    <w:rsid w:val="000B7352"/>
    <w:rsid w:val="000C0458"/>
    <w:rsid w:val="000C0F7A"/>
    <w:rsid w:val="000C1347"/>
    <w:rsid w:val="000C13F1"/>
    <w:rsid w:val="000C1A6A"/>
    <w:rsid w:val="000C1CFB"/>
    <w:rsid w:val="000C1DDF"/>
    <w:rsid w:val="000C276E"/>
    <w:rsid w:val="000C41DD"/>
    <w:rsid w:val="000C42E9"/>
    <w:rsid w:val="000C43E1"/>
    <w:rsid w:val="000C50DA"/>
    <w:rsid w:val="000C5C4E"/>
    <w:rsid w:val="000C6641"/>
    <w:rsid w:val="000C7E6D"/>
    <w:rsid w:val="000D005E"/>
    <w:rsid w:val="000D03D2"/>
    <w:rsid w:val="000D088F"/>
    <w:rsid w:val="000D1155"/>
    <w:rsid w:val="000D269F"/>
    <w:rsid w:val="000D2DF9"/>
    <w:rsid w:val="000D4939"/>
    <w:rsid w:val="000D6B48"/>
    <w:rsid w:val="000D6CCD"/>
    <w:rsid w:val="000D6EDF"/>
    <w:rsid w:val="000D7539"/>
    <w:rsid w:val="000E010F"/>
    <w:rsid w:val="000E0842"/>
    <w:rsid w:val="000E0E80"/>
    <w:rsid w:val="000E130A"/>
    <w:rsid w:val="000E1680"/>
    <w:rsid w:val="000E324B"/>
    <w:rsid w:val="000E38C3"/>
    <w:rsid w:val="000E42F8"/>
    <w:rsid w:val="000E521E"/>
    <w:rsid w:val="000E537E"/>
    <w:rsid w:val="000E5E17"/>
    <w:rsid w:val="000E7201"/>
    <w:rsid w:val="000E72A7"/>
    <w:rsid w:val="000E72B6"/>
    <w:rsid w:val="000E75FF"/>
    <w:rsid w:val="000F15C9"/>
    <w:rsid w:val="000F2436"/>
    <w:rsid w:val="000F407B"/>
    <w:rsid w:val="000F4A8B"/>
    <w:rsid w:val="000F5BC5"/>
    <w:rsid w:val="000F5E06"/>
    <w:rsid w:val="000F718D"/>
    <w:rsid w:val="000F7F60"/>
    <w:rsid w:val="00100AC2"/>
    <w:rsid w:val="001018BC"/>
    <w:rsid w:val="00101903"/>
    <w:rsid w:val="0010195A"/>
    <w:rsid w:val="001021CF"/>
    <w:rsid w:val="00102BBE"/>
    <w:rsid w:val="00104995"/>
    <w:rsid w:val="001065E8"/>
    <w:rsid w:val="0010723E"/>
    <w:rsid w:val="0010727E"/>
    <w:rsid w:val="0010760A"/>
    <w:rsid w:val="00112078"/>
    <w:rsid w:val="001126C8"/>
    <w:rsid w:val="001132C1"/>
    <w:rsid w:val="0011356D"/>
    <w:rsid w:val="00113A75"/>
    <w:rsid w:val="00113F25"/>
    <w:rsid w:val="001154ED"/>
    <w:rsid w:val="0011674E"/>
    <w:rsid w:val="00116A83"/>
    <w:rsid w:val="00116EBD"/>
    <w:rsid w:val="00117D68"/>
    <w:rsid w:val="0012027D"/>
    <w:rsid w:val="001208C6"/>
    <w:rsid w:val="00120972"/>
    <w:rsid w:val="00123E5A"/>
    <w:rsid w:val="001241EB"/>
    <w:rsid w:val="001245F3"/>
    <w:rsid w:val="0012476F"/>
    <w:rsid w:val="001248F4"/>
    <w:rsid w:val="00124C0B"/>
    <w:rsid w:val="001267FA"/>
    <w:rsid w:val="00126D30"/>
    <w:rsid w:val="001274EA"/>
    <w:rsid w:val="00127851"/>
    <w:rsid w:val="00127D88"/>
    <w:rsid w:val="00127E7E"/>
    <w:rsid w:val="00131F05"/>
    <w:rsid w:val="0013258B"/>
    <w:rsid w:val="0013372C"/>
    <w:rsid w:val="001339EC"/>
    <w:rsid w:val="00133F93"/>
    <w:rsid w:val="00134397"/>
    <w:rsid w:val="001346A6"/>
    <w:rsid w:val="00134774"/>
    <w:rsid w:val="00134875"/>
    <w:rsid w:val="0013521C"/>
    <w:rsid w:val="00135801"/>
    <w:rsid w:val="00135F33"/>
    <w:rsid w:val="00137103"/>
    <w:rsid w:val="0013739D"/>
    <w:rsid w:val="00137941"/>
    <w:rsid w:val="001400B7"/>
    <w:rsid w:val="00140274"/>
    <w:rsid w:val="00140FF4"/>
    <w:rsid w:val="00141C4C"/>
    <w:rsid w:val="00142D77"/>
    <w:rsid w:val="0014303F"/>
    <w:rsid w:val="00143AF9"/>
    <w:rsid w:val="00145979"/>
    <w:rsid w:val="0014611B"/>
    <w:rsid w:val="001470D7"/>
    <w:rsid w:val="00147769"/>
    <w:rsid w:val="00147EF2"/>
    <w:rsid w:val="00150841"/>
    <w:rsid w:val="001511B6"/>
    <w:rsid w:val="00151263"/>
    <w:rsid w:val="00151A1C"/>
    <w:rsid w:val="001524A7"/>
    <w:rsid w:val="001535AE"/>
    <w:rsid w:val="001538DC"/>
    <w:rsid w:val="0015459B"/>
    <w:rsid w:val="00155328"/>
    <w:rsid w:val="00155641"/>
    <w:rsid w:val="00155FE9"/>
    <w:rsid w:val="001565B2"/>
    <w:rsid w:val="001567EA"/>
    <w:rsid w:val="001579F8"/>
    <w:rsid w:val="00160181"/>
    <w:rsid w:val="00160ADF"/>
    <w:rsid w:val="001614D7"/>
    <w:rsid w:val="001615EA"/>
    <w:rsid w:val="00162A8D"/>
    <w:rsid w:val="00163429"/>
    <w:rsid w:val="00165E3C"/>
    <w:rsid w:val="00165ED4"/>
    <w:rsid w:val="00166096"/>
    <w:rsid w:val="00167585"/>
    <w:rsid w:val="00167F3A"/>
    <w:rsid w:val="0017158C"/>
    <w:rsid w:val="0017184A"/>
    <w:rsid w:val="001719CD"/>
    <w:rsid w:val="00171C3E"/>
    <w:rsid w:val="00171F60"/>
    <w:rsid w:val="00172C5F"/>
    <w:rsid w:val="00173FB5"/>
    <w:rsid w:val="001748AB"/>
    <w:rsid w:val="00176AB9"/>
    <w:rsid w:val="00176FCF"/>
    <w:rsid w:val="00177217"/>
    <w:rsid w:val="00177328"/>
    <w:rsid w:val="00177802"/>
    <w:rsid w:val="001779D1"/>
    <w:rsid w:val="001800E0"/>
    <w:rsid w:val="0018078F"/>
    <w:rsid w:val="00180A16"/>
    <w:rsid w:val="00180E79"/>
    <w:rsid w:val="0018222B"/>
    <w:rsid w:val="001829EA"/>
    <w:rsid w:val="00182A07"/>
    <w:rsid w:val="00182EA8"/>
    <w:rsid w:val="00183368"/>
    <w:rsid w:val="0018348C"/>
    <w:rsid w:val="00184A97"/>
    <w:rsid w:val="00184CBA"/>
    <w:rsid w:val="00185953"/>
    <w:rsid w:val="001862EF"/>
    <w:rsid w:val="0018679A"/>
    <w:rsid w:val="0018704A"/>
    <w:rsid w:val="0018730D"/>
    <w:rsid w:val="00190C7D"/>
    <w:rsid w:val="00191EE9"/>
    <w:rsid w:val="00192637"/>
    <w:rsid w:val="00193796"/>
    <w:rsid w:val="00194B36"/>
    <w:rsid w:val="00195156"/>
    <w:rsid w:val="00195728"/>
    <w:rsid w:val="0019633A"/>
    <w:rsid w:val="00197F95"/>
    <w:rsid w:val="001A0A77"/>
    <w:rsid w:val="001A0B4A"/>
    <w:rsid w:val="001A12CF"/>
    <w:rsid w:val="001A172D"/>
    <w:rsid w:val="001A2634"/>
    <w:rsid w:val="001A286A"/>
    <w:rsid w:val="001A41A5"/>
    <w:rsid w:val="001A4DA3"/>
    <w:rsid w:val="001A5343"/>
    <w:rsid w:val="001A5C63"/>
    <w:rsid w:val="001A5D23"/>
    <w:rsid w:val="001A5EA0"/>
    <w:rsid w:val="001A622E"/>
    <w:rsid w:val="001A6AC7"/>
    <w:rsid w:val="001A6E48"/>
    <w:rsid w:val="001A7935"/>
    <w:rsid w:val="001B0353"/>
    <w:rsid w:val="001B0754"/>
    <w:rsid w:val="001B3D1B"/>
    <w:rsid w:val="001B40DA"/>
    <w:rsid w:val="001B59AE"/>
    <w:rsid w:val="001B5B6E"/>
    <w:rsid w:val="001B5E5B"/>
    <w:rsid w:val="001B5FC3"/>
    <w:rsid w:val="001C05F4"/>
    <w:rsid w:val="001C0902"/>
    <w:rsid w:val="001C1F8B"/>
    <w:rsid w:val="001C28D0"/>
    <w:rsid w:val="001C2B5C"/>
    <w:rsid w:val="001C36AE"/>
    <w:rsid w:val="001C37BE"/>
    <w:rsid w:val="001C39E6"/>
    <w:rsid w:val="001C4299"/>
    <w:rsid w:val="001C49F2"/>
    <w:rsid w:val="001C4D71"/>
    <w:rsid w:val="001C5246"/>
    <w:rsid w:val="001C5BDF"/>
    <w:rsid w:val="001C734B"/>
    <w:rsid w:val="001C7427"/>
    <w:rsid w:val="001C757F"/>
    <w:rsid w:val="001D0363"/>
    <w:rsid w:val="001D1411"/>
    <w:rsid w:val="001D2A70"/>
    <w:rsid w:val="001D468B"/>
    <w:rsid w:val="001D6053"/>
    <w:rsid w:val="001D7292"/>
    <w:rsid w:val="001D79E0"/>
    <w:rsid w:val="001E04D4"/>
    <w:rsid w:val="001E09F8"/>
    <w:rsid w:val="001E0B22"/>
    <w:rsid w:val="001E14EA"/>
    <w:rsid w:val="001E17FC"/>
    <w:rsid w:val="001E1FD9"/>
    <w:rsid w:val="001E2E80"/>
    <w:rsid w:val="001E3B42"/>
    <w:rsid w:val="001E5676"/>
    <w:rsid w:val="001E62D3"/>
    <w:rsid w:val="001E6CC2"/>
    <w:rsid w:val="001E72AE"/>
    <w:rsid w:val="001E7765"/>
    <w:rsid w:val="001E7A18"/>
    <w:rsid w:val="001F011F"/>
    <w:rsid w:val="001F0E2C"/>
    <w:rsid w:val="001F143D"/>
    <w:rsid w:val="001F2B84"/>
    <w:rsid w:val="001F2BBB"/>
    <w:rsid w:val="001F2E8E"/>
    <w:rsid w:val="001F3C9C"/>
    <w:rsid w:val="001F3DBA"/>
    <w:rsid w:val="001F68EF"/>
    <w:rsid w:val="00200677"/>
    <w:rsid w:val="00200E2D"/>
    <w:rsid w:val="00201562"/>
    <w:rsid w:val="00201F06"/>
    <w:rsid w:val="00202D9B"/>
    <w:rsid w:val="00204D0F"/>
    <w:rsid w:val="00205301"/>
    <w:rsid w:val="00205536"/>
    <w:rsid w:val="0020608D"/>
    <w:rsid w:val="0020659F"/>
    <w:rsid w:val="0020759B"/>
    <w:rsid w:val="00210602"/>
    <w:rsid w:val="00210F45"/>
    <w:rsid w:val="002128B5"/>
    <w:rsid w:val="0021333A"/>
    <w:rsid w:val="00213506"/>
    <w:rsid w:val="00214B8C"/>
    <w:rsid w:val="00214D48"/>
    <w:rsid w:val="002175A9"/>
    <w:rsid w:val="0022014F"/>
    <w:rsid w:val="002208DE"/>
    <w:rsid w:val="00220FE2"/>
    <w:rsid w:val="0022259F"/>
    <w:rsid w:val="00222656"/>
    <w:rsid w:val="002227B2"/>
    <w:rsid w:val="00222BD9"/>
    <w:rsid w:val="002232FA"/>
    <w:rsid w:val="002239E2"/>
    <w:rsid w:val="00223F41"/>
    <w:rsid w:val="00224A44"/>
    <w:rsid w:val="00224EF5"/>
    <w:rsid w:val="002258C2"/>
    <w:rsid w:val="00226049"/>
    <w:rsid w:val="002264FF"/>
    <w:rsid w:val="00226F99"/>
    <w:rsid w:val="00227B70"/>
    <w:rsid w:val="002301F6"/>
    <w:rsid w:val="002308BE"/>
    <w:rsid w:val="0023114C"/>
    <w:rsid w:val="0023117A"/>
    <w:rsid w:val="002319C7"/>
    <w:rsid w:val="00231ED1"/>
    <w:rsid w:val="0023200D"/>
    <w:rsid w:val="002324CF"/>
    <w:rsid w:val="0023300A"/>
    <w:rsid w:val="0023307F"/>
    <w:rsid w:val="00234149"/>
    <w:rsid w:val="0023490F"/>
    <w:rsid w:val="0023495A"/>
    <w:rsid w:val="002358AF"/>
    <w:rsid w:val="00235ECF"/>
    <w:rsid w:val="00236116"/>
    <w:rsid w:val="00236FAD"/>
    <w:rsid w:val="00237258"/>
    <w:rsid w:val="00237B68"/>
    <w:rsid w:val="0024185F"/>
    <w:rsid w:val="00241A27"/>
    <w:rsid w:val="00242624"/>
    <w:rsid w:val="00243083"/>
    <w:rsid w:val="00243CC0"/>
    <w:rsid w:val="00244AE3"/>
    <w:rsid w:val="00244DF1"/>
    <w:rsid w:val="00245355"/>
    <w:rsid w:val="002453D2"/>
    <w:rsid w:val="0024557E"/>
    <w:rsid w:val="00245900"/>
    <w:rsid w:val="00245EC8"/>
    <w:rsid w:val="002465D6"/>
    <w:rsid w:val="0024673F"/>
    <w:rsid w:val="00246DC8"/>
    <w:rsid w:val="00246DCB"/>
    <w:rsid w:val="002472A0"/>
    <w:rsid w:val="00247F93"/>
    <w:rsid w:val="002506E4"/>
    <w:rsid w:val="00251218"/>
    <w:rsid w:val="0025474D"/>
    <w:rsid w:val="002553D6"/>
    <w:rsid w:val="002556C9"/>
    <w:rsid w:val="00255B40"/>
    <w:rsid w:val="00256099"/>
    <w:rsid w:val="002571D2"/>
    <w:rsid w:val="002579E0"/>
    <w:rsid w:val="00257ADE"/>
    <w:rsid w:val="002600DF"/>
    <w:rsid w:val="00261165"/>
    <w:rsid w:val="002611D4"/>
    <w:rsid w:val="00261B8E"/>
    <w:rsid w:val="00262CF8"/>
    <w:rsid w:val="00262F80"/>
    <w:rsid w:val="00263D86"/>
    <w:rsid w:val="00263FA2"/>
    <w:rsid w:val="00264C47"/>
    <w:rsid w:val="00266077"/>
    <w:rsid w:val="0026683E"/>
    <w:rsid w:val="00266D34"/>
    <w:rsid w:val="00272A18"/>
    <w:rsid w:val="00274AD9"/>
    <w:rsid w:val="00274C75"/>
    <w:rsid w:val="0027515A"/>
    <w:rsid w:val="00275E56"/>
    <w:rsid w:val="0027613D"/>
    <w:rsid w:val="00276763"/>
    <w:rsid w:val="00277A34"/>
    <w:rsid w:val="00277DB8"/>
    <w:rsid w:val="002806C9"/>
    <w:rsid w:val="00282352"/>
    <w:rsid w:val="002824CA"/>
    <w:rsid w:val="0028268E"/>
    <w:rsid w:val="002850A3"/>
    <w:rsid w:val="00285A56"/>
    <w:rsid w:val="002863D7"/>
    <w:rsid w:val="00286DD8"/>
    <w:rsid w:val="00286F50"/>
    <w:rsid w:val="002873B4"/>
    <w:rsid w:val="00287EC6"/>
    <w:rsid w:val="00290082"/>
    <w:rsid w:val="00290494"/>
    <w:rsid w:val="00290A6F"/>
    <w:rsid w:val="00290EDF"/>
    <w:rsid w:val="00291A03"/>
    <w:rsid w:val="00292127"/>
    <w:rsid w:val="00293314"/>
    <w:rsid w:val="00293F74"/>
    <w:rsid w:val="00294CDC"/>
    <w:rsid w:val="00294F1C"/>
    <w:rsid w:val="002964DF"/>
    <w:rsid w:val="00297E5E"/>
    <w:rsid w:val="002A0420"/>
    <w:rsid w:val="002A12D2"/>
    <w:rsid w:val="002A165A"/>
    <w:rsid w:val="002A188F"/>
    <w:rsid w:val="002A1C27"/>
    <w:rsid w:val="002A1FB2"/>
    <w:rsid w:val="002A20BC"/>
    <w:rsid w:val="002A286F"/>
    <w:rsid w:val="002A2A53"/>
    <w:rsid w:val="002A2F0C"/>
    <w:rsid w:val="002A2F21"/>
    <w:rsid w:val="002A3898"/>
    <w:rsid w:val="002A3938"/>
    <w:rsid w:val="002A48EF"/>
    <w:rsid w:val="002A4E6A"/>
    <w:rsid w:val="002A53DE"/>
    <w:rsid w:val="002A6064"/>
    <w:rsid w:val="002A67D1"/>
    <w:rsid w:val="002A6A6C"/>
    <w:rsid w:val="002A6AE3"/>
    <w:rsid w:val="002A6F97"/>
    <w:rsid w:val="002A6FA3"/>
    <w:rsid w:val="002B0C05"/>
    <w:rsid w:val="002B0D9F"/>
    <w:rsid w:val="002B1169"/>
    <w:rsid w:val="002B16B4"/>
    <w:rsid w:val="002B1716"/>
    <w:rsid w:val="002B1B65"/>
    <w:rsid w:val="002B263E"/>
    <w:rsid w:val="002B31A4"/>
    <w:rsid w:val="002B482E"/>
    <w:rsid w:val="002B4C70"/>
    <w:rsid w:val="002B5068"/>
    <w:rsid w:val="002B5143"/>
    <w:rsid w:val="002B541A"/>
    <w:rsid w:val="002B6A01"/>
    <w:rsid w:val="002B6A13"/>
    <w:rsid w:val="002B785C"/>
    <w:rsid w:val="002C113F"/>
    <w:rsid w:val="002C16D2"/>
    <w:rsid w:val="002C1866"/>
    <w:rsid w:val="002C1BEF"/>
    <w:rsid w:val="002C1C7D"/>
    <w:rsid w:val="002C204F"/>
    <w:rsid w:val="002C228D"/>
    <w:rsid w:val="002C341F"/>
    <w:rsid w:val="002C3AA5"/>
    <w:rsid w:val="002C4176"/>
    <w:rsid w:val="002C4628"/>
    <w:rsid w:val="002C4856"/>
    <w:rsid w:val="002C4F32"/>
    <w:rsid w:val="002C53B9"/>
    <w:rsid w:val="002C5A17"/>
    <w:rsid w:val="002C7824"/>
    <w:rsid w:val="002C7CF7"/>
    <w:rsid w:val="002D06B7"/>
    <w:rsid w:val="002D0F00"/>
    <w:rsid w:val="002D1DAD"/>
    <w:rsid w:val="002D234C"/>
    <w:rsid w:val="002D2A88"/>
    <w:rsid w:val="002D2B80"/>
    <w:rsid w:val="002D316B"/>
    <w:rsid w:val="002D35B7"/>
    <w:rsid w:val="002D3844"/>
    <w:rsid w:val="002D3A93"/>
    <w:rsid w:val="002D3F0E"/>
    <w:rsid w:val="002D4242"/>
    <w:rsid w:val="002D458A"/>
    <w:rsid w:val="002D4D0F"/>
    <w:rsid w:val="002D6288"/>
    <w:rsid w:val="002D7196"/>
    <w:rsid w:val="002D7400"/>
    <w:rsid w:val="002E2D16"/>
    <w:rsid w:val="002E4D92"/>
    <w:rsid w:val="002E531B"/>
    <w:rsid w:val="002E6167"/>
    <w:rsid w:val="002E6203"/>
    <w:rsid w:val="002E756E"/>
    <w:rsid w:val="002E76AA"/>
    <w:rsid w:val="002E780D"/>
    <w:rsid w:val="002F06DF"/>
    <w:rsid w:val="002F08DA"/>
    <w:rsid w:val="002F0BE1"/>
    <w:rsid w:val="002F167A"/>
    <w:rsid w:val="002F172F"/>
    <w:rsid w:val="002F1EE7"/>
    <w:rsid w:val="002F32D6"/>
    <w:rsid w:val="002F43FB"/>
    <w:rsid w:val="002F4AD3"/>
    <w:rsid w:val="002F4CE1"/>
    <w:rsid w:val="002F637A"/>
    <w:rsid w:val="002F6B5F"/>
    <w:rsid w:val="002F71F2"/>
    <w:rsid w:val="002F7560"/>
    <w:rsid w:val="0030069D"/>
    <w:rsid w:val="0030090E"/>
    <w:rsid w:val="00300B33"/>
    <w:rsid w:val="00300CFD"/>
    <w:rsid w:val="00300F22"/>
    <w:rsid w:val="003014EC"/>
    <w:rsid w:val="00301CFA"/>
    <w:rsid w:val="003028C9"/>
    <w:rsid w:val="003038F1"/>
    <w:rsid w:val="00303AAC"/>
    <w:rsid w:val="00304A37"/>
    <w:rsid w:val="003055D2"/>
    <w:rsid w:val="00305874"/>
    <w:rsid w:val="0030643A"/>
    <w:rsid w:val="00306D2B"/>
    <w:rsid w:val="00307967"/>
    <w:rsid w:val="00310368"/>
    <w:rsid w:val="00310419"/>
    <w:rsid w:val="00310BF9"/>
    <w:rsid w:val="00310ED4"/>
    <w:rsid w:val="00311266"/>
    <w:rsid w:val="00311547"/>
    <w:rsid w:val="00312301"/>
    <w:rsid w:val="0031253B"/>
    <w:rsid w:val="0031492A"/>
    <w:rsid w:val="00314C77"/>
    <w:rsid w:val="0031501F"/>
    <w:rsid w:val="00315971"/>
    <w:rsid w:val="003160C3"/>
    <w:rsid w:val="00316A08"/>
    <w:rsid w:val="00316C1A"/>
    <w:rsid w:val="00317352"/>
    <w:rsid w:val="003177E3"/>
    <w:rsid w:val="00317896"/>
    <w:rsid w:val="00322C31"/>
    <w:rsid w:val="00323C73"/>
    <w:rsid w:val="00324904"/>
    <w:rsid w:val="003257DB"/>
    <w:rsid w:val="00325F48"/>
    <w:rsid w:val="0032663B"/>
    <w:rsid w:val="0032688B"/>
    <w:rsid w:val="00326D69"/>
    <w:rsid w:val="00326E0B"/>
    <w:rsid w:val="00327DBA"/>
    <w:rsid w:val="00330727"/>
    <w:rsid w:val="00330A5F"/>
    <w:rsid w:val="00331141"/>
    <w:rsid w:val="00331450"/>
    <w:rsid w:val="00331484"/>
    <w:rsid w:val="00331575"/>
    <w:rsid w:val="00331721"/>
    <w:rsid w:val="00333047"/>
    <w:rsid w:val="00333312"/>
    <w:rsid w:val="00334E72"/>
    <w:rsid w:val="00336A13"/>
    <w:rsid w:val="00336A9C"/>
    <w:rsid w:val="00337427"/>
    <w:rsid w:val="0033757F"/>
    <w:rsid w:val="0033793A"/>
    <w:rsid w:val="0034052C"/>
    <w:rsid w:val="003419E7"/>
    <w:rsid w:val="00343A4F"/>
    <w:rsid w:val="00343E14"/>
    <w:rsid w:val="003444B3"/>
    <w:rsid w:val="00344758"/>
    <w:rsid w:val="00344CC8"/>
    <w:rsid w:val="003452D1"/>
    <w:rsid w:val="00346107"/>
    <w:rsid w:val="003464C4"/>
    <w:rsid w:val="003465A4"/>
    <w:rsid w:val="00346A25"/>
    <w:rsid w:val="00346BB2"/>
    <w:rsid w:val="00347142"/>
    <w:rsid w:val="00347650"/>
    <w:rsid w:val="00347AD4"/>
    <w:rsid w:val="00347C89"/>
    <w:rsid w:val="0035014E"/>
    <w:rsid w:val="00350623"/>
    <w:rsid w:val="00351C1C"/>
    <w:rsid w:val="00351ED3"/>
    <w:rsid w:val="00352C2E"/>
    <w:rsid w:val="00353BFB"/>
    <w:rsid w:val="00353C22"/>
    <w:rsid w:val="00353D1B"/>
    <w:rsid w:val="00354182"/>
    <w:rsid w:val="00354312"/>
    <w:rsid w:val="00354A35"/>
    <w:rsid w:val="0035517E"/>
    <w:rsid w:val="003565A8"/>
    <w:rsid w:val="003566EA"/>
    <w:rsid w:val="00357262"/>
    <w:rsid w:val="00360F8F"/>
    <w:rsid w:val="0036215E"/>
    <w:rsid w:val="003621C3"/>
    <w:rsid w:val="003624E0"/>
    <w:rsid w:val="00363071"/>
    <w:rsid w:val="0036342E"/>
    <w:rsid w:val="00365D29"/>
    <w:rsid w:val="003667DF"/>
    <w:rsid w:val="00367896"/>
    <w:rsid w:val="0036789D"/>
    <w:rsid w:val="00371AA7"/>
    <w:rsid w:val="00371B86"/>
    <w:rsid w:val="00372C79"/>
    <w:rsid w:val="00372F20"/>
    <w:rsid w:val="003731A9"/>
    <w:rsid w:val="00373BD8"/>
    <w:rsid w:val="0037422B"/>
    <w:rsid w:val="00374330"/>
    <w:rsid w:val="00374625"/>
    <w:rsid w:val="00374E76"/>
    <w:rsid w:val="00374FA7"/>
    <w:rsid w:val="0037561F"/>
    <w:rsid w:val="0037602C"/>
    <w:rsid w:val="00376595"/>
    <w:rsid w:val="00376C38"/>
    <w:rsid w:val="003772C4"/>
    <w:rsid w:val="00377603"/>
    <w:rsid w:val="00377F4D"/>
    <w:rsid w:val="00380391"/>
    <w:rsid w:val="0038128B"/>
    <w:rsid w:val="00382350"/>
    <w:rsid w:val="00382719"/>
    <w:rsid w:val="00383395"/>
    <w:rsid w:val="00383401"/>
    <w:rsid w:val="00384423"/>
    <w:rsid w:val="003847EC"/>
    <w:rsid w:val="00384A5A"/>
    <w:rsid w:val="00384ADE"/>
    <w:rsid w:val="0038728A"/>
    <w:rsid w:val="003879EE"/>
    <w:rsid w:val="00390A4C"/>
    <w:rsid w:val="003915E3"/>
    <w:rsid w:val="003916BA"/>
    <w:rsid w:val="00391CDF"/>
    <w:rsid w:val="003931B3"/>
    <w:rsid w:val="003938C6"/>
    <w:rsid w:val="00393D69"/>
    <w:rsid w:val="00393F64"/>
    <w:rsid w:val="003946B8"/>
    <w:rsid w:val="0039471E"/>
    <w:rsid w:val="00394957"/>
    <w:rsid w:val="00394E5D"/>
    <w:rsid w:val="00395E3D"/>
    <w:rsid w:val="00396101"/>
    <w:rsid w:val="003969CF"/>
    <w:rsid w:val="0039700F"/>
    <w:rsid w:val="00397224"/>
    <w:rsid w:val="003978BF"/>
    <w:rsid w:val="003979CB"/>
    <w:rsid w:val="003A09D3"/>
    <w:rsid w:val="003A1D25"/>
    <w:rsid w:val="003A2BCF"/>
    <w:rsid w:val="003A3A1D"/>
    <w:rsid w:val="003A64B6"/>
    <w:rsid w:val="003A663F"/>
    <w:rsid w:val="003A71F7"/>
    <w:rsid w:val="003B191D"/>
    <w:rsid w:val="003B1F71"/>
    <w:rsid w:val="003B2B48"/>
    <w:rsid w:val="003B3AE7"/>
    <w:rsid w:val="003B3ED3"/>
    <w:rsid w:val="003B4063"/>
    <w:rsid w:val="003B4374"/>
    <w:rsid w:val="003B4C4B"/>
    <w:rsid w:val="003B53BA"/>
    <w:rsid w:val="003B5C11"/>
    <w:rsid w:val="003B5CAB"/>
    <w:rsid w:val="003C0D3E"/>
    <w:rsid w:val="003C1824"/>
    <w:rsid w:val="003C1E94"/>
    <w:rsid w:val="003C25E3"/>
    <w:rsid w:val="003C29CF"/>
    <w:rsid w:val="003C33CA"/>
    <w:rsid w:val="003C3B15"/>
    <w:rsid w:val="003C3C0A"/>
    <w:rsid w:val="003C40E9"/>
    <w:rsid w:val="003C46F7"/>
    <w:rsid w:val="003C479E"/>
    <w:rsid w:val="003C4984"/>
    <w:rsid w:val="003C619D"/>
    <w:rsid w:val="003C644C"/>
    <w:rsid w:val="003C6895"/>
    <w:rsid w:val="003C77F8"/>
    <w:rsid w:val="003D04EF"/>
    <w:rsid w:val="003D0CA8"/>
    <w:rsid w:val="003D0D50"/>
    <w:rsid w:val="003D12D2"/>
    <w:rsid w:val="003D18B1"/>
    <w:rsid w:val="003D18F7"/>
    <w:rsid w:val="003D30EA"/>
    <w:rsid w:val="003D4D55"/>
    <w:rsid w:val="003D5654"/>
    <w:rsid w:val="003D612A"/>
    <w:rsid w:val="003E03CC"/>
    <w:rsid w:val="003E16FC"/>
    <w:rsid w:val="003E1BA6"/>
    <w:rsid w:val="003E3F35"/>
    <w:rsid w:val="003E41AF"/>
    <w:rsid w:val="003E48CE"/>
    <w:rsid w:val="003E548B"/>
    <w:rsid w:val="003E635D"/>
    <w:rsid w:val="003E66C2"/>
    <w:rsid w:val="003E6BE4"/>
    <w:rsid w:val="003E722A"/>
    <w:rsid w:val="003E7823"/>
    <w:rsid w:val="003E7B67"/>
    <w:rsid w:val="003E7C05"/>
    <w:rsid w:val="003F0AE4"/>
    <w:rsid w:val="003F1C37"/>
    <w:rsid w:val="003F33F9"/>
    <w:rsid w:val="003F58B1"/>
    <w:rsid w:val="003F7378"/>
    <w:rsid w:val="003F7B31"/>
    <w:rsid w:val="00400044"/>
    <w:rsid w:val="00400812"/>
    <w:rsid w:val="00400F3F"/>
    <w:rsid w:val="00401A62"/>
    <w:rsid w:val="00401AEA"/>
    <w:rsid w:val="00401FA6"/>
    <w:rsid w:val="0040225F"/>
    <w:rsid w:val="00403164"/>
    <w:rsid w:val="00403DC6"/>
    <w:rsid w:val="00406141"/>
    <w:rsid w:val="00406439"/>
    <w:rsid w:val="00407E63"/>
    <w:rsid w:val="00410505"/>
    <w:rsid w:val="00410E19"/>
    <w:rsid w:val="004113A5"/>
    <w:rsid w:val="0041155E"/>
    <w:rsid w:val="004130D9"/>
    <w:rsid w:val="004138B1"/>
    <w:rsid w:val="004162C2"/>
    <w:rsid w:val="0041672C"/>
    <w:rsid w:val="004167AF"/>
    <w:rsid w:val="00420B91"/>
    <w:rsid w:val="00421389"/>
    <w:rsid w:val="0042164B"/>
    <w:rsid w:val="00421CCF"/>
    <w:rsid w:val="00421DFB"/>
    <w:rsid w:val="00422162"/>
    <w:rsid w:val="00422417"/>
    <w:rsid w:val="0042263E"/>
    <w:rsid w:val="00422EBD"/>
    <w:rsid w:val="00423058"/>
    <w:rsid w:val="0042311A"/>
    <w:rsid w:val="0042322F"/>
    <w:rsid w:val="00424233"/>
    <w:rsid w:val="004264C7"/>
    <w:rsid w:val="00426740"/>
    <w:rsid w:val="00426AA2"/>
    <w:rsid w:val="00427310"/>
    <w:rsid w:val="004276F2"/>
    <w:rsid w:val="004277E0"/>
    <w:rsid w:val="00427D9F"/>
    <w:rsid w:val="0043230F"/>
    <w:rsid w:val="00433348"/>
    <w:rsid w:val="00433DA1"/>
    <w:rsid w:val="00433FDC"/>
    <w:rsid w:val="0043482C"/>
    <w:rsid w:val="0043487E"/>
    <w:rsid w:val="00434AFA"/>
    <w:rsid w:val="004355A0"/>
    <w:rsid w:val="00436121"/>
    <w:rsid w:val="004361AB"/>
    <w:rsid w:val="004365C1"/>
    <w:rsid w:val="004365C3"/>
    <w:rsid w:val="00436BD3"/>
    <w:rsid w:val="00437740"/>
    <w:rsid w:val="0043797B"/>
    <w:rsid w:val="00437EF2"/>
    <w:rsid w:val="0044086C"/>
    <w:rsid w:val="00441562"/>
    <w:rsid w:val="0044167C"/>
    <w:rsid w:val="00441B61"/>
    <w:rsid w:val="00441C5B"/>
    <w:rsid w:val="00441E90"/>
    <w:rsid w:val="004425DF"/>
    <w:rsid w:val="00443FBD"/>
    <w:rsid w:val="004461FB"/>
    <w:rsid w:val="0044754B"/>
    <w:rsid w:val="004475A0"/>
    <w:rsid w:val="00447709"/>
    <w:rsid w:val="00450186"/>
    <w:rsid w:val="004517FC"/>
    <w:rsid w:val="00451810"/>
    <w:rsid w:val="00452B28"/>
    <w:rsid w:val="00453942"/>
    <w:rsid w:val="0045420F"/>
    <w:rsid w:val="00454EBE"/>
    <w:rsid w:val="0045512C"/>
    <w:rsid w:val="004556C4"/>
    <w:rsid w:val="004565A5"/>
    <w:rsid w:val="00456D25"/>
    <w:rsid w:val="004570A3"/>
    <w:rsid w:val="004608C9"/>
    <w:rsid w:val="00461060"/>
    <w:rsid w:val="004617D2"/>
    <w:rsid w:val="00461C3A"/>
    <w:rsid w:val="004621BC"/>
    <w:rsid w:val="004635AE"/>
    <w:rsid w:val="00464984"/>
    <w:rsid w:val="004653B4"/>
    <w:rsid w:val="00465533"/>
    <w:rsid w:val="00465E6F"/>
    <w:rsid w:val="00466B44"/>
    <w:rsid w:val="00467098"/>
    <w:rsid w:val="00467145"/>
    <w:rsid w:val="0046734D"/>
    <w:rsid w:val="00470553"/>
    <w:rsid w:val="004707DF"/>
    <w:rsid w:val="004712FB"/>
    <w:rsid w:val="00471879"/>
    <w:rsid w:val="004721FC"/>
    <w:rsid w:val="004728E0"/>
    <w:rsid w:val="0047292B"/>
    <w:rsid w:val="00472EFF"/>
    <w:rsid w:val="0047303E"/>
    <w:rsid w:val="0047350D"/>
    <w:rsid w:val="00474063"/>
    <w:rsid w:val="004746A8"/>
    <w:rsid w:val="00474E42"/>
    <w:rsid w:val="00475383"/>
    <w:rsid w:val="00475A93"/>
    <w:rsid w:val="004761A9"/>
    <w:rsid w:val="00476793"/>
    <w:rsid w:val="00476C69"/>
    <w:rsid w:val="00480971"/>
    <w:rsid w:val="00481297"/>
    <w:rsid w:val="004829EC"/>
    <w:rsid w:val="00482E71"/>
    <w:rsid w:val="00483759"/>
    <w:rsid w:val="00483893"/>
    <w:rsid w:val="004841B5"/>
    <w:rsid w:val="004854B0"/>
    <w:rsid w:val="004855DC"/>
    <w:rsid w:val="00485EE2"/>
    <w:rsid w:val="00486477"/>
    <w:rsid w:val="00487FD5"/>
    <w:rsid w:val="00490BD0"/>
    <w:rsid w:val="00490F80"/>
    <w:rsid w:val="004936FA"/>
    <w:rsid w:val="00493C06"/>
    <w:rsid w:val="00493D69"/>
    <w:rsid w:val="0049438C"/>
    <w:rsid w:val="0049580B"/>
    <w:rsid w:val="00495AA1"/>
    <w:rsid w:val="004965BC"/>
    <w:rsid w:val="00496A92"/>
    <w:rsid w:val="004971FA"/>
    <w:rsid w:val="004A07A6"/>
    <w:rsid w:val="004A0CA9"/>
    <w:rsid w:val="004A187B"/>
    <w:rsid w:val="004A1AFF"/>
    <w:rsid w:val="004A1F36"/>
    <w:rsid w:val="004A2295"/>
    <w:rsid w:val="004A2615"/>
    <w:rsid w:val="004A29E1"/>
    <w:rsid w:val="004A2D3C"/>
    <w:rsid w:val="004A302D"/>
    <w:rsid w:val="004A5B04"/>
    <w:rsid w:val="004A5FBE"/>
    <w:rsid w:val="004A6245"/>
    <w:rsid w:val="004B009D"/>
    <w:rsid w:val="004B1ECD"/>
    <w:rsid w:val="004B26A0"/>
    <w:rsid w:val="004B32A3"/>
    <w:rsid w:val="004B3603"/>
    <w:rsid w:val="004B4A5A"/>
    <w:rsid w:val="004B5B11"/>
    <w:rsid w:val="004B6C45"/>
    <w:rsid w:val="004B72F7"/>
    <w:rsid w:val="004B7F93"/>
    <w:rsid w:val="004C0CAE"/>
    <w:rsid w:val="004C0EE2"/>
    <w:rsid w:val="004C1958"/>
    <w:rsid w:val="004C2E89"/>
    <w:rsid w:val="004C2E94"/>
    <w:rsid w:val="004C303B"/>
    <w:rsid w:val="004C363B"/>
    <w:rsid w:val="004C4FA8"/>
    <w:rsid w:val="004C594E"/>
    <w:rsid w:val="004C5AA9"/>
    <w:rsid w:val="004C5F91"/>
    <w:rsid w:val="004C7062"/>
    <w:rsid w:val="004C7412"/>
    <w:rsid w:val="004C76B7"/>
    <w:rsid w:val="004C76C4"/>
    <w:rsid w:val="004C79C2"/>
    <w:rsid w:val="004D00AD"/>
    <w:rsid w:val="004D04BF"/>
    <w:rsid w:val="004D06A3"/>
    <w:rsid w:val="004D07E0"/>
    <w:rsid w:val="004D1AE5"/>
    <w:rsid w:val="004D38D6"/>
    <w:rsid w:val="004D561E"/>
    <w:rsid w:val="004D56E0"/>
    <w:rsid w:val="004D5DD2"/>
    <w:rsid w:val="004D7EE8"/>
    <w:rsid w:val="004E0DFF"/>
    <w:rsid w:val="004E1228"/>
    <w:rsid w:val="004E157F"/>
    <w:rsid w:val="004E21D0"/>
    <w:rsid w:val="004E4581"/>
    <w:rsid w:val="004E4684"/>
    <w:rsid w:val="004E4927"/>
    <w:rsid w:val="004E4CA1"/>
    <w:rsid w:val="004E5932"/>
    <w:rsid w:val="004E5F1D"/>
    <w:rsid w:val="004E754F"/>
    <w:rsid w:val="004F0B1C"/>
    <w:rsid w:val="004F1381"/>
    <w:rsid w:val="004F1C7C"/>
    <w:rsid w:val="004F4B66"/>
    <w:rsid w:val="004F4C76"/>
    <w:rsid w:val="004F5378"/>
    <w:rsid w:val="004F54ED"/>
    <w:rsid w:val="004F5909"/>
    <w:rsid w:val="004F59CF"/>
    <w:rsid w:val="004F6C6C"/>
    <w:rsid w:val="004F6FFA"/>
    <w:rsid w:val="004F765A"/>
    <w:rsid w:val="00501D1D"/>
    <w:rsid w:val="005021DA"/>
    <w:rsid w:val="005023B3"/>
    <w:rsid w:val="0050245B"/>
    <w:rsid w:val="00502994"/>
    <w:rsid w:val="0050361B"/>
    <w:rsid w:val="00503F31"/>
    <w:rsid w:val="005046E8"/>
    <w:rsid w:val="00504AB8"/>
    <w:rsid w:val="00505A17"/>
    <w:rsid w:val="00505E46"/>
    <w:rsid w:val="00506A6E"/>
    <w:rsid w:val="00507D92"/>
    <w:rsid w:val="00507D9A"/>
    <w:rsid w:val="00510522"/>
    <w:rsid w:val="00511BAE"/>
    <w:rsid w:val="00511D42"/>
    <w:rsid w:val="00511F1A"/>
    <w:rsid w:val="005123F0"/>
    <w:rsid w:val="00512950"/>
    <w:rsid w:val="005132FE"/>
    <w:rsid w:val="00513540"/>
    <w:rsid w:val="00513941"/>
    <w:rsid w:val="00513A3F"/>
    <w:rsid w:val="00514C4C"/>
    <w:rsid w:val="00514F83"/>
    <w:rsid w:val="00515537"/>
    <w:rsid w:val="00521856"/>
    <w:rsid w:val="00521B5A"/>
    <w:rsid w:val="0052233A"/>
    <w:rsid w:val="0052277E"/>
    <w:rsid w:val="00523940"/>
    <w:rsid w:val="005240C6"/>
    <w:rsid w:val="00525831"/>
    <w:rsid w:val="005261F3"/>
    <w:rsid w:val="005267E0"/>
    <w:rsid w:val="0052773F"/>
    <w:rsid w:val="005277E4"/>
    <w:rsid w:val="0053051D"/>
    <w:rsid w:val="00530585"/>
    <w:rsid w:val="00531208"/>
    <w:rsid w:val="005334CD"/>
    <w:rsid w:val="005337BF"/>
    <w:rsid w:val="00533DDB"/>
    <w:rsid w:val="005344FD"/>
    <w:rsid w:val="00534640"/>
    <w:rsid w:val="00534F04"/>
    <w:rsid w:val="0053520C"/>
    <w:rsid w:val="005357B9"/>
    <w:rsid w:val="00535AE9"/>
    <w:rsid w:val="00535DF5"/>
    <w:rsid w:val="00536F21"/>
    <w:rsid w:val="00537214"/>
    <w:rsid w:val="00537278"/>
    <w:rsid w:val="005377C6"/>
    <w:rsid w:val="00537A81"/>
    <w:rsid w:val="0054076D"/>
    <w:rsid w:val="0054327E"/>
    <w:rsid w:val="005438A8"/>
    <w:rsid w:val="0054397D"/>
    <w:rsid w:val="00544310"/>
    <w:rsid w:val="0054484E"/>
    <w:rsid w:val="00544C55"/>
    <w:rsid w:val="00545001"/>
    <w:rsid w:val="005465CA"/>
    <w:rsid w:val="00546708"/>
    <w:rsid w:val="0054681D"/>
    <w:rsid w:val="0054731A"/>
    <w:rsid w:val="00547D5F"/>
    <w:rsid w:val="00551E60"/>
    <w:rsid w:val="005523F6"/>
    <w:rsid w:val="0055249E"/>
    <w:rsid w:val="005526D0"/>
    <w:rsid w:val="0055363A"/>
    <w:rsid w:val="005541F8"/>
    <w:rsid w:val="00554C58"/>
    <w:rsid w:val="00554DA1"/>
    <w:rsid w:val="00556929"/>
    <w:rsid w:val="0056023F"/>
    <w:rsid w:val="005605BE"/>
    <w:rsid w:val="00561811"/>
    <w:rsid w:val="005620D1"/>
    <w:rsid w:val="0056249D"/>
    <w:rsid w:val="0056374F"/>
    <w:rsid w:val="00564208"/>
    <w:rsid w:val="005643EF"/>
    <w:rsid w:val="00564A96"/>
    <w:rsid w:val="005665B0"/>
    <w:rsid w:val="0056680F"/>
    <w:rsid w:val="005704C5"/>
    <w:rsid w:val="00571CEB"/>
    <w:rsid w:val="00573F75"/>
    <w:rsid w:val="005751A2"/>
    <w:rsid w:val="00575478"/>
    <w:rsid w:val="00575499"/>
    <w:rsid w:val="00575546"/>
    <w:rsid w:val="00575923"/>
    <w:rsid w:val="00575F0E"/>
    <w:rsid w:val="00575F94"/>
    <w:rsid w:val="00576083"/>
    <w:rsid w:val="005762BE"/>
    <w:rsid w:val="00576FB9"/>
    <w:rsid w:val="00580012"/>
    <w:rsid w:val="005810D7"/>
    <w:rsid w:val="0058168F"/>
    <w:rsid w:val="00581D0B"/>
    <w:rsid w:val="005825EC"/>
    <w:rsid w:val="005827BF"/>
    <w:rsid w:val="005830DE"/>
    <w:rsid w:val="00583693"/>
    <w:rsid w:val="00583B06"/>
    <w:rsid w:val="005841CE"/>
    <w:rsid w:val="00584760"/>
    <w:rsid w:val="00584D00"/>
    <w:rsid w:val="005857D5"/>
    <w:rsid w:val="00586EEC"/>
    <w:rsid w:val="0059139E"/>
    <w:rsid w:val="00591628"/>
    <w:rsid w:val="00591951"/>
    <w:rsid w:val="00592435"/>
    <w:rsid w:val="00592FB3"/>
    <w:rsid w:val="00592FB9"/>
    <w:rsid w:val="005933A2"/>
    <w:rsid w:val="00594045"/>
    <w:rsid w:val="00594D63"/>
    <w:rsid w:val="00596E0A"/>
    <w:rsid w:val="00596FA9"/>
    <w:rsid w:val="00596FE9"/>
    <w:rsid w:val="005A0F85"/>
    <w:rsid w:val="005A23D1"/>
    <w:rsid w:val="005A2408"/>
    <w:rsid w:val="005A28B9"/>
    <w:rsid w:val="005A2A83"/>
    <w:rsid w:val="005A3491"/>
    <w:rsid w:val="005A35ED"/>
    <w:rsid w:val="005A56CD"/>
    <w:rsid w:val="005A5C0F"/>
    <w:rsid w:val="005A712D"/>
    <w:rsid w:val="005A7AA0"/>
    <w:rsid w:val="005B035F"/>
    <w:rsid w:val="005B10E4"/>
    <w:rsid w:val="005B16B6"/>
    <w:rsid w:val="005B17D3"/>
    <w:rsid w:val="005B18A9"/>
    <w:rsid w:val="005B27D4"/>
    <w:rsid w:val="005B2B8F"/>
    <w:rsid w:val="005B2E48"/>
    <w:rsid w:val="005B322B"/>
    <w:rsid w:val="005B45B3"/>
    <w:rsid w:val="005B4A67"/>
    <w:rsid w:val="005B4CDE"/>
    <w:rsid w:val="005B5003"/>
    <w:rsid w:val="005B54A5"/>
    <w:rsid w:val="005B54F9"/>
    <w:rsid w:val="005B76AA"/>
    <w:rsid w:val="005C0134"/>
    <w:rsid w:val="005C0B1D"/>
    <w:rsid w:val="005C0BD0"/>
    <w:rsid w:val="005C0E1F"/>
    <w:rsid w:val="005C106A"/>
    <w:rsid w:val="005C15E2"/>
    <w:rsid w:val="005C15EC"/>
    <w:rsid w:val="005C282B"/>
    <w:rsid w:val="005C3760"/>
    <w:rsid w:val="005C4574"/>
    <w:rsid w:val="005C4901"/>
    <w:rsid w:val="005C5742"/>
    <w:rsid w:val="005C5D41"/>
    <w:rsid w:val="005C5D7C"/>
    <w:rsid w:val="005C759D"/>
    <w:rsid w:val="005C7688"/>
    <w:rsid w:val="005C7A39"/>
    <w:rsid w:val="005D196A"/>
    <w:rsid w:val="005D1F34"/>
    <w:rsid w:val="005D2261"/>
    <w:rsid w:val="005D383D"/>
    <w:rsid w:val="005D69AB"/>
    <w:rsid w:val="005D6C36"/>
    <w:rsid w:val="005D742C"/>
    <w:rsid w:val="005D7FFD"/>
    <w:rsid w:val="005E2A21"/>
    <w:rsid w:val="005E2B15"/>
    <w:rsid w:val="005E331E"/>
    <w:rsid w:val="005E341D"/>
    <w:rsid w:val="005E39F2"/>
    <w:rsid w:val="005E4446"/>
    <w:rsid w:val="005E6096"/>
    <w:rsid w:val="005E6243"/>
    <w:rsid w:val="005E642C"/>
    <w:rsid w:val="005E7A46"/>
    <w:rsid w:val="005E7FC4"/>
    <w:rsid w:val="005F027D"/>
    <w:rsid w:val="005F03C6"/>
    <w:rsid w:val="005F0B43"/>
    <w:rsid w:val="005F0D89"/>
    <w:rsid w:val="005F11A0"/>
    <w:rsid w:val="005F1757"/>
    <w:rsid w:val="005F1BFF"/>
    <w:rsid w:val="005F2F46"/>
    <w:rsid w:val="005F3A09"/>
    <w:rsid w:val="005F3B72"/>
    <w:rsid w:val="005F3FB3"/>
    <w:rsid w:val="005F4403"/>
    <w:rsid w:val="005F46CD"/>
    <w:rsid w:val="005F4F80"/>
    <w:rsid w:val="005F50A8"/>
    <w:rsid w:val="005F52F9"/>
    <w:rsid w:val="005F5A81"/>
    <w:rsid w:val="005F5AE0"/>
    <w:rsid w:val="005F5B0B"/>
    <w:rsid w:val="005F61B1"/>
    <w:rsid w:val="005F759D"/>
    <w:rsid w:val="005F7B15"/>
    <w:rsid w:val="0060079B"/>
    <w:rsid w:val="006009DC"/>
    <w:rsid w:val="006015C5"/>
    <w:rsid w:val="00601B1A"/>
    <w:rsid w:val="0060374C"/>
    <w:rsid w:val="0060622D"/>
    <w:rsid w:val="00607243"/>
    <w:rsid w:val="00607640"/>
    <w:rsid w:val="00607D18"/>
    <w:rsid w:val="00610336"/>
    <w:rsid w:val="0061229E"/>
    <w:rsid w:val="0061279D"/>
    <w:rsid w:val="006128A5"/>
    <w:rsid w:val="006130C0"/>
    <w:rsid w:val="00615599"/>
    <w:rsid w:val="00615E6F"/>
    <w:rsid w:val="0061669B"/>
    <w:rsid w:val="00616F11"/>
    <w:rsid w:val="006175D7"/>
    <w:rsid w:val="00620598"/>
    <w:rsid w:val="006205EA"/>
    <w:rsid w:val="006205F0"/>
    <w:rsid w:val="0062104F"/>
    <w:rsid w:val="00622225"/>
    <w:rsid w:val="006222BF"/>
    <w:rsid w:val="006225ED"/>
    <w:rsid w:val="00622757"/>
    <w:rsid w:val="0062278C"/>
    <w:rsid w:val="0062529C"/>
    <w:rsid w:val="00626C2C"/>
    <w:rsid w:val="00627C70"/>
    <w:rsid w:val="00630076"/>
    <w:rsid w:val="00630867"/>
    <w:rsid w:val="00630F8E"/>
    <w:rsid w:val="006318A4"/>
    <w:rsid w:val="00631C97"/>
    <w:rsid w:val="00631E8F"/>
    <w:rsid w:val="00631FA5"/>
    <w:rsid w:val="00631FAE"/>
    <w:rsid w:val="00633009"/>
    <w:rsid w:val="00633314"/>
    <w:rsid w:val="00634386"/>
    <w:rsid w:val="00634629"/>
    <w:rsid w:val="00635F54"/>
    <w:rsid w:val="0063737C"/>
    <w:rsid w:val="00637941"/>
    <w:rsid w:val="00637C0A"/>
    <w:rsid w:val="00637ECB"/>
    <w:rsid w:val="00640C0A"/>
    <w:rsid w:val="00642671"/>
    <w:rsid w:val="00642A2B"/>
    <w:rsid w:val="006442B7"/>
    <w:rsid w:val="00645417"/>
    <w:rsid w:val="006456AE"/>
    <w:rsid w:val="006461BA"/>
    <w:rsid w:val="00647290"/>
    <w:rsid w:val="006504CA"/>
    <w:rsid w:val="00650547"/>
    <w:rsid w:val="00650586"/>
    <w:rsid w:val="00651195"/>
    <w:rsid w:val="00652454"/>
    <w:rsid w:val="00652CAD"/>
    <w:rsid w:val="00653E3F"/>
    <w:rsid w:val="00654793"/>
    <w:rsid w:val="00654A68"/>
    <w:rsid w:val="0065662A"/>
    <w:rsid w:val="00656B0D"/>
    <w:rsid w:val="00656C64"/>
    <w:rsid w:val="006573B5"/>
    <w:rsid w:val="00657657"/>
    <w:rsid w:val="00660202"/>
    <w:rsid w:val="0066046D"/>
    <w:rsid w:val="006606C3"/>
    <w:rsid w:val="00660976"/>
    <w:rsid w:val="00660B4A"/>
    <w:rsid w:val="00662249"/>
    <w:rsid w:val="0066282E"/>
    <w:rsid w:val="00662CFC"/>
    <w:rsid w:val="00662E8E"/>
    <w:rsid w:val="00663A2B"/>
    <w:rsid w:val="0066651A"/>
    <w:rsid w:val="00666900"/>
    <w:rsid w:val="00666C18"/>
    <w:rsid w:val="00666D0A"/>
    <w:rsid w:val="00667DFD"/>
    <w:rsid w:val="0067033E"/>
    <w:rsid w:val="006703CB"/>
    <w:rsid w:val="00670685"/>
    <w:rsid w:val="006721D3"/>
    <w:rsid w:val="00673853"/>
    <w:rsid w:val="00674613"/>
    <w:rsid w:val="0067580B"/>
    <w:rsid w:val="00675C99"/>
    <w:rsid w:val="006828DD"/>
    <w:rsid w:val="00683140"/>
    <w:rsid w:val="00683951"/>
    <w:rsid w:val="00684E66"/>
    <w:rsid w:val="00685609"/>
    <w:rsid w:val="00685614"/>
    <w:rsid w:val="00685C42"/>
    <w:rsid w:val="00686C6B"/>
    <w:rsid w:val="00686D8B"/>
    <w:rsid w:val="00687180"/>
    <w:rsid w:val="006873DB"/>
    <w:rsid w:val="0069006C"/>
    <w:rsid w:val="00690097"/>
    <w:rsid w:val="00690176"/>
    <w:rsid w:val="00692EF8"/>
    <w:rsid w:val="006931A9"/>
    <w:rsid w:val="00693B7C"/>
    <w:rsid w:val="0069517E"/>
    <w:rsid w:val="00696743"/>
    <w:rsid w:val="00696A85"/>
    <w:rsid w:val="00696B44"/>
    <w:rsid w:val="00696BCD"/>
    <w:rsid w:val="0069706F"/>
    <w:rsid w:val="0069779B"/>
    <w:rsid w:val="00697D96"/>
    <w:rsid w:val="00697EB7"/>
    <w:rsid w:val="006A0208"/>
    <w:rsid w:val="006A0692"/>
    <w:rsid w:val="006A0996"/>
    <w:rsid w:val="006A0BBB"/>
    <w:rsid w:val="006A126A"/>
    <w:rsid w:val="006A16C9"/>
    <w:rsid w:val="006A411D"/>
    <w:rsid w:val="006A4F67"/>
    <w:rsid w:val="006A57CE"/>
    <w:rsid w:val="006A611F"/>
    <w:rsid w:val="006A6BB3"/>
    <w:rsid w:val="006A6BBD"/>
    <w:rsid w:val="006A714A"/>
    <w:rsid w:val="006A721B"/>
    <w:rsid w:val="006B1A9B"/>
    <w:rsid w:val="006B257B"/>
    <w:rsid w:val="006B259A"/>
    <w:rsid w:val="006B30AF"/>
    <w:rsid w:val="006B3B00"/>
    <w:rsid w:val="006B4412"/>
    <w:rsid w:val="006B57C0"/>
    <w:rsid w:val="006B6520"/>
    <w:rsid w:val="006B68BE"/>
    <w:rsid w:val="006B709C"/>
    <w:rsid w:val="006B74A5"/>
    <w:rsid w:val="006B75E7"/>
    <w:rsid w:val="006B7DC0"/>
    <w:rsid w:val="006C06EE"/>
    <w:rsid w:val="006C13F3"/>
    <w:rsid w:val="006C264C"/>
    <w:rsid w:val="006C2811"/>
    <w:rsid w:val="006C2A53"/>
    <w:rsid w:val="006C2B61"/>
    <w:rsid w:val="006C2DCE"/>
    <w:rsid w:val="006C3296"/>
    <w:rsid w:val="006C4123"/>
    <w:rsid w:val="006C520F"/>
    <w:rsid w:val="006C5E38"/>
    <w:rsid w:val="006C6C74"/>
    <w:rsid w:val="006D01D1"/>
    <w:rsid w:val="006D0E45"/>
    <w:rsid w:val="006D1F07"/>
    <w:rsid w:val="006D1FE7"/>
    <w:rsid w:val="006D2A99"/>
    <w:rsid w:val="006D2BD9"/>
    <w:rsid w:val="006D2C23"/>
    <w:rsid w:val="006D2C6E"/>
    <w:rsid w:val="006D399D"/>
    <w:rsid w:val="006D4988"/>
    <w:rsid w:val="006D4D31"/>
    <w:rsid w:val="006D4F1A"/>
    <w:rsid w:val="006D5C63"/>
    <w:rsid w:val="006D5EE5"/>
    <w:rsid w:val="006D63BC"/>
    <w:rsid w:val="006E0745"/>
    <w:rsid w:val="006E0CA4"/>
    <w:rsid w:val="006E1918"/>
    <w:rsid w:val="006E24B4"/>
    <w:rsid w:val="006E33B9"/>
    <w:rsid w:val="006E3BC4"/>
    <w:rsid w:val="006E4A0A"/>
    <w:rsid w:val="006E514C"/>
    <w:rsid w:val="006E6D3B"/>
    <w:rsid w:val="006E6EDB"/>
    <w:rsid w:val="006E6F4E"/>
    <w:rsid w:val="006E7850"/>
    <w:rsid w:val="006F0390"/>
    <w:rsid w:val="006F06FE"/>
    <w:rsid w:val="006F0F6A"/>
    <w:rsid w:val="006F166A"/>
    <w:rsid w:val="006F1AC0"/>
    <w:rsid w:val="006F1D69"/>
    <w:rsid w:val="006F1DC6"/>
    <w:rsid w:val="006F2AE2"/>
    <w:rsid w:val="006F2CBD"/>
    <w:rsid w:val="006F3017"/>
    <w:rsid w:val="006F3189"/>
    <w:rsid w:val="006F3359"/>
    <w:rsid w:val="006F387B"/>
    <w:rsid w:val="006F3AFF"/>
    <w:rsid w:val="006F3C99"/>
    <w:rsid w:val="006F4510"/>
    <w:rsid w:val="006F47BC"/>
    <w:rsid w:val="006F5029"/>
    <w:rsid w:val="006F57F2"/>
    <w:rsid w:val="006F61FC"/>
    <w:rsid w:val="006F70EA"/>
    <w:rsid w:val="006F7B8F"/>
    <w:rsid w:val="006F7CA5"/>
    <w:rsid w:val="00700024"/>
    <w:rsid w:val="007012E8"/>
    <w:rsid w:val="00701494"/>
    <w:rsid w:val="007018AD"/>
    <w:rsid w:val="007021BD"/>
    <w:rsid w:val="00702200"/>
    <w:rsid w:val="00702765"/>
    <w:rsid w:val="00703646"/>
    <w:rsid w:val="00705526"/>
    <w:rsid w:val="0070552C"/>
    <w:rsid w:val="00705857"/>
    <w:rsid w:val="007060A3"/>
    <w:rsid w:val="0070673A"/>
    <w:rsid w:val="0070712A"/>
    <w:rsid w:val="007071AC"/>
    <w:rsid w:val="00707351"/>
    <w:rsid w:val="0070766E"/>
    <w:rsid w:val="00707E4B"/>
    <w:rsid w:val="00707F80"/>
    <w:rsid w:val="007109E5"/>
    <w:rsid w:val="00710E29"/>
    <w:rsid w:val="0071217E"/>
    <w:rsid w:val="0071276D"/>
    <w:rsid w:val="00714D0D"/>
    <w:rsid w:val="00714D7A"/>
    <w:rsid w:val="0071511B"/>
    <w:rsid w:val="00715F75"/>
    <w:rsid w:val="0071623D"/>
    <w:rsid w:val="00721527"/>
    <w:rsid w:val="00722840"/>
    <w:rsid w:val="00722891"/>
    <w:rsid w:val="00723338"/>
    <w:rsid w:val="00723751"/>
    <w:rsid w:val="00723C0A"/>
    <w:rsid w:val="00724D5D"/>
    <w:rsid w:val="007263AB"/>
    <w:rsid w:val="00726489"/>
    <w:rsid w:val="00726F8E"/>
    <w:rsid w:val="00727436"/>
    <w:rsid w:val="00730BD2"/>
    <w:rsid w:val="00731595"/>
    <w:rsid w:val="0073184A"/>
    <w:rsid w:val="0073245F"/>
    <w:rsid w:val="00732C5B"/>
    <w:rsid w:val="007333F0"/>
    <w:rsid w:val="00733B2D"/>
    <w:rsid w:val="00734E85"/>
    <w:rsid w:val="00736053"/>
    <w:rsid w:val="00736688"/>
    <w:rsid w:val="00737F3A"/>
    <w:rsid w:val="00741FCF"/>
    <w:rsid w:val="0074402D"/>
    <w:rsid w:val="007456B2"/>
    <w:rsid w:val="00745D15"/>
    <w:rsid w:val="00746077"/>
    <w:rsid w:val="0074638B"/>
    <w:rsid w:val="00747105"/>
    <w:rsid w:val="00747B14"/>
    <w:rsid w:val="0075078D"/>
    <w:rsid w:val="007523D7"/>
    <w:rsid w:val="007524C5"/>
    <w:rsid w:val="00752825"/>
    <w:rsid w:val="00753021"/>
    <w:rsid w:val="00753811"/>
    <w:rsid w:val="007540BF"/>
    <w:rsid w:val="007541BF"/>
    <w:rsid w:val="007547D9"/>
    <w:rsid w:val="0075572E"/>
    <w:rsid w:val="007557D4"/>
    <w:rsid w:val="00755F93"/>
    <w:rsid w:val="00757499"/>
    <w:rsid w:val="007579E4"/>
    <w:rsid w:val="00757D8C"/>
    <w:rsid w:val="00760E00"/>
    <w:rsid w:val="00761099"/>
    <w:rsid w:val="007610ED"/>
    <w:rsid w:val="00761484"/>
    <w:rsid w:val="007614E1"/>
    <w:rsid w:val="00761C1E"/>
    <w:rsid w:val="0076207F"/>
    <w:rsid w:val="007622EB"/>
    <w:rsid w:val="00762380"/>
    <w:rsid w:val="00762AB9"/>
    <w:rsid w:val="00762BDD"/>
    <w:rsid w:val="0076328E"/>
    <w:rsid w:val="00763569"/>
    <w:rsid w:val="0076380E"/>
    <w:rsid w:val="00763EF6"/>
    <w:rsid w:val="00764C9F"/>
    <w:rsid w:val="00770DCB"/>
    <w:rsid w:val="00771C6C"/>
    <w:rsid w:val="00771CAB"/>
    <w:rsid w:val="0077217B"/>
    <w:rsid w:val="00772960"/>
    <w:rsid w:val="00772C6A"/>
    <w:rsid w:val="0077427A"/>
    <w:rsid w:val="00774B65"/>
    <w:rsid w:val="00775485"/>
    <w:rsid w:val="00776B88"/>
    <w:rsid w:val="00777FF9"/>
    <w:rsid w:val="007803DB"/>
    <w:rsid w:val="0078067E"/>
    <w:rsid w:val="00780F2E"/>
    <w:rsid w:val="007823C6"/>
    <w:rsid w:val="00782460"/>
    <w:rsid w:val="007833C0"/>
    <w:rsid w:val="00783F6C"/>
    <w:rsid w:val="00784D88"/>
    <w:rsid w:val="00785824"/>
    <w:rsid w:val="0078586B"/>
    <w:rsid w:val="00785CED"/>
    <w:rsid w:val="00785CF5"/>
    <w:rsid w:val="00785EF5"/>
    <w:rsid w:val="00786C9E"/>
    <w:rsid w:val="00787331"/>
    <w:rsid w:val="0078753E"/>
    <w:rsid w:val="00787553"/>
    <w:rsid w:val="00787701"/>
    <w:rsid w:val="00791159"/>
    <w:rsid w:val="007912F3"/>
    <w:rsid w:val="00792AE5"/>
    <w:rsid w:val="00792B32"/>
    <w:rsid w:val="00792BC6"/>
    <w:rsid w:val="00793ABC"/>
    <w:rsid w:val="0079515B"/>
    <w:rsid w:val="007961A3"/>
    <w:rsid w:val="007969C9"/>
    <w:rsid w:val="00796B50"/>
    <w:rsid w:val="007A0B93"/>
    <w:rsid w:val="007A0E13"/>
    <w:rsid w:val="007A11B2"/>
    <w:rsid w:val="007A1367"/>
    <w:rsid w:val="007A1874"/>
    <w:rsid w:val="007A1D1D"/>
    <w:rsid w:val="007A44AA"/>
    <w:rsid w:val="007A44F9"/>
    <w:rsid w:val="007A5114"/>
    <w:rsid w:val="007A5150"/>
    <w:rsid w:val="007A5798"/>
    <w:rsid w:val="007A5C67"/>
    <w:rsid w:val="007A602C"/>
    <w:rsid w:val="007A62A1"/>
    <w:rsid w:val="007A69C3"/>
    <w:rsid w:val="007B003E"/>
    <w:rsid w:val="007B044C"/>
    <w:rsid w:val="007B07F4"/>
    <w:rsid w:val="007B114E"/>
    <w:rsid w:val="007B183B"/>
    <w:rsid w:val="007B20C5"/>
    <w:rsid w:val="007B2303"/>
    <w:rsid w:val="007B26C3"/>
    <w:rsid w:val="007B294D"/>
    <w:rsid w:val="007B4B32"/>
    <w:rsid w:val="007B50FD"/>
    <w:rsid w:val="007B6ADB"/>
    <w:rsid w:val="007B786B"/>
    <w:rsid w:val="007B79BD"/>
    <w:rsid w:val="007B7B37"/>
    <w:rsid w:val="007C0042"/>
    <w:rsid w:val="007C269C"/>
    <w:rsid w:val="007C2EAB"/>
    <w:rsid w:val="007C2F27"/>
    <w:rsid w:val="007C30BD"/>
    <w:rsid w:val="007C4460"/>
    <w:rsid w:val="007C4BFA"/>
    <w:rsid w:val="007C52FE"/>
    <w:rsid w:val="007C5401"/>
    <w:rsid w:val="007C5531"/>
    <w:rsid w:val="007C57F6"/>
    <w:rsid w:val="007C5F3B"/>
    <w:rsid w:val="007C67E7"/>
    <w:rsid w:val="007C769D"/>
    <w:rsid w:val="007D0644"/>
    <w:rsid w:val="007D18E5"/>
    <w:rsid w:val="007D4395"/>
    <w:rsid w:val="007D44BB"/>
    <w:rsid w:val="007D4CC8"/>
    <w:rsid w:val="007D4CDD"/>
    <w:rsid w:val="007D50FB"/>
    <w:rsid w:val="007D602F"/>
    <w:rsid w:val="007D656F"/>
    <w:rsid w:val="007D718A"/>
    <w:rsid w:val="007D7A9A"/>
    <w:rsid w:val="007D7AAB"/>
    <w:rsid w:val="007D7E32"/>
    <w:rsid w:val="007E107C"/>
    <w:rsid w:val="007E1430"/>
    <w:rsid w:val="007E220D"/>
    <w:rsid w:val="007E229D"/>
    <w:rsid w:val="007E23AD"/>
    <w:rsid w:val="007E245E"/>
    <w:rsid w:val="007E30D6"/>
    <w:rsid w:val="007E44C7"/>
    <w:rsid w:val="007E49DD"/>
    <w:rsid w:val="007E5B88"/>
    <w:rsid w:val="007E7521"/>
    <w:rsid w:val="007E7684"/>
    <w:rsid w:val="007F018C"/>
    <w:rsid w:val="007F03C3"/>
    <w:rsid w:val="007F03F1"/>
    <w:rsid w:val="007F0690"/>
    <w:rsid w:val="007F0D0B"/>
    <w:rsid w:val="007F2316"/>
    <w:rsid w:val="007F23F2"/>
    <w:rsid w:val="007F298D"/>
    <w:rsid w:val="007F37FB"/>
    <w:rsid w:val="007F3B72"/>
    <w:rsid w:val="007F45A7"/>
    <w:rsid w:val="007F51FD"/>
    <w:rsid w:val="007F53F4"/>
    <w:rsid w:val="007F71F7"/>
    <w:rsid w:val="008007A8"/>
    <w:rsid w:val="00800F04"/>
    <w:rsid w:val="00802123"/>
    <w:rsid w:val="008029AA"/>
    <w:rsid w:val="00802BA4"/>
    <w:rsid w:val="00803058"/>
    <w:rsid w:val="0080362A"/>
    <w:rsid w:val="00803B6B"/>
    <w:rsid w:val="00804174"/>
    <w:rsid w:val="00804218"/>
    <w:rsid w:val="008042D9"/>
    <w:rsid w:val="008048D7"/>
    <w:rsid w:val="00804959"/>
    <w:rsid w:val="00804F47"/>
    <w:rsid w:val="00804FBC"/>
    <w:rsid w:val="008052CE"/>
    <w:rsid w:val="008056E7"/>
    <w:rsid w:val="008060DF"/>
    <w:rsid w:val="00806191"/>
    <w:rsid w:val="0080638B"/>
    <w:rsid w:val="0080736A"/>
    <w:rsid w:val="00810306"/>
    <w:rsid w:val="00810319"/>
    <w:rsid w:val="00811D6C"/>
    <w:rsid w:val="00813D15"/>
    <w:rsid w:val="00813E44"/>
    <w:rsid w:val="00814FC0"/>
    <w:rsid w:val="008153BD"/>
    <w:rsid w:val="008166C1"/>
    <w:rsid w:val="00821479"/>
    <w:rsid w:val="0082182B"/>
    <w:rsid w:val="00821850"/>
    <w:rsid w:val="00822156"/>
    <w:rsid w:val="008229C4"/>
    <w:rsid w:val="008229E8"/>
    <w:rsid w:val="0082391B"/>
    <w:rsid w:val="00823FCA"/>
    <w:rsid w:val="00824F05"/>
    <w:rsid w:val="00827190"/>
    <w:rsid w:val="008302A9"/>
    <w:rsid w:val="00830844"/>
    <w:rsid w:val="00830947"/>
    <w:rsid w:val="008316D6"/>
    <w:rsid w:val="008317C4"/>
    <w:rsid w:val="008317FE"/>
    <w:rsid w:val="00832AFF"/>
    <w:rsid w:val="00834073"/>
    <w:rsid w:val="00835759"/>
    <w:rsid w:val="00835B64"/>
    <w:rsid w:val="00835EF5"/>
    <w:rsid w:val="0083692E"/>
    <w:rsid w:val="00836EDB"/>
    <w:rsid w:val="00837690"/>
    <w:rsid w:val="00841085"/>
    <w:rsid w:val="0084197C"/>
    <w:rsid w:val="0084274F"/>
    <w:rsid w:val="00842860"/>
    <w:rsid w:val="00842EB2"/>
    <w:rsid w:val="00842F8D"/>
    <w:rsid w:val="00843562"/>
    <w:rsid w:val="0084394C"/>
    <w:rsid w:val="00843E0B"/>
    <w:rsid w:val="00843F5A"/>
    <w:rsid w:val="00844855"/>
    <w:rsid w:val="00846867"/>
    <w:rsid w:val="0084762B"/>
    <w:rsid w:val="00851070"/>
    <w:rsid w:val="008516A0"/>
    <w:rsid w:val="00851C1A"/>
    <w:rsid w:val="00852421"/>
    <w:rsid w:val="00852AFB"/>
    <w:rsid w:val="00852FFF"/>
    <w:rsid w:val="00853059"/>
    <w:rsid w:val="0085599D"/>
    <w:rsid w:val="00855F19"/>
    <w:rsid w:val="00855F45"/>
    <w:rsid w:val="00860871"/>
    <w:rsid w:val="008614FB"/>
    <w:rsid w:val="00863923"/>
    <w:rsid w:val="008641F6"/>
    <w:rsid w:val="0086555A"/>
    <w:rsid w:val="00865E81"/>
    <w:rsid w:val="00866806"/>
    <w:rsid w:val="00867DB7"/>
    <w:rsid w:val="00870005"/>
    <w:rsid w:val="00870AF1"/>
    <w:rsid w:val="00870B87"/>
    <w:rsid w:val="00871338"/>
    <w:rsid w:val="008722A8"/>
    <w:rsid w:val="008724DE"/>
    <w:rsid w:val="0087300E"/>
    <w:rsid w:val="008731D7"/>
    <w:rsid w:val="008736EE"/>
    <w:rsid w:val="00874311"/>
    <w:rsid w:val="00881C0A"/>
    <w:rsid w:val="00881F2F"/>
    <w:rsid w:val="00882E8A"/>
    <w:rsid w:val="00883786"/>
    <w:rsid w:val="0088405C"/>
    <w:rsid w:val="00884595"/>
    <w:rsid w:val="00884B41"/>
    <w:rsid w:val="00884EED"/>
    <w:rsid w:val="00890705"/>
    <w:rsid w:val="008909DF"/>
    <w:rsid w:val="00890B23"/>
    <w:rsid w:val="008922C7"/>
    <w:rsid w:val="00892854"/>
    <w:rsid w:val="00892AB0"/>
    <w:rsid w:val="00893C70"/>
    <w:rsid w:val="00893C91"/>
    <w:rsid w:val="008945FF"/>
    <w:rsid w:val="00894D0D"/>
    <w:rsid w:val="0089598C"/>
    <w:rsid w:val="00896B3F"/>
    <w:rsid w:val="00897649"/>
    <w:rsid w:val="008A067D"/>
    <w:rsid w:val="008A1249"/>
    <w:rsid w:val="008A1665"/>
    <w:rsid w:val="008A2195"/>
    <w:rsid w:val="008A2338"/>
    <w:rsid w:val="008A2C01"/>
    <w:rsid w:val="008A30DE"/>
    <w:rsid w:val="008A3B3D"/>
    <w:rsid w:val="008A3D57"/>
    <w:rsid w:val="008A3FB9"/>
    <w:rsid w:val="008A56B2"/>
    <w:rsid w:val="008A69EC"/>
    <w:rsid w:val="008A745B"/>
    <w:rsid w:val="008A7EFF"/>
    <w:rsid w:val="008B104C"/>
    <w:rsid w:val="008B1B72"/>
    <w:rsid w:val="008B1C51"/>
    <w:rsid w:val="008B2314"/>
    <w:rsid w:val="008B23BC"/>
    <w:rsid w:val="008B2657"/>
    <w:rsid w:val="008B2AA2"/>
    <w:rsid w:val="008B2C4E"/>
    <w:rsid w:val="008B2E06"/>
    <w:rsid w:val="008B2F08"/>
    <w:rsid w:val="008B3831"/>
    <w:rsid w:val="008B3FD3"/>
    <w:rsid w:val="008B41D7"/>
    <w:rsid w:val="008B6B30"/>
    <w:rsid w:val="008B6F19"/>
    <w:rsid w:val="008B75CB"/>
    <w:rsid w:val="008B7C03"/>
    <w:rsid w:val="008C1163"/>
    <w:rsid w:val="008C1324"/>
    <w:rsid w:val="008C176B"/>
    <w:rsid w:val="008C22F3"/>
    <w:rsid w:val="008C24A0"/>
    <w:rsid w:val="008C357B"/>
    <w:rsid w:val="008C3860"/>
    <w:rsid w:val="008C4FEA"/>
    <w:rsid w:val="008C5025"/>
    <w:rsid w:val="008C570D"/>
    <w:rsid w:val="008C59C9"/>
    <w:rsid w:val="008C5F9F"/>
    <w:rsid w:val="008C6594"/>
    <w:rsid w:val="008C6ECB"/>
    <w:rsid w:val="008D1081"/>
    <w:rsid w:val="008D215B"/>
    <w:rsid w:val="008D27EA"/>
    <w:rsid w:val="008D31D2"/>
    <w:rsid w:val="008D3989"/>
    <w:rsid w:val="008D5D23"/>
    <w:rsid w:val="008D5DEF"/>
    <w:rsid w:val="008D61D2"/>
    <w:rsid w:val="008D7161"/>
    <w:rsid w:val="008D7C51"/>
    <w:rsid w:val="008E0E42"/>
    <w:rsid w:val="008E191C"/>
    <w:rsid w:val="008E2953"/>
    <w:rsid w:val="008E2A0C"/>
    <w:rsid w:val="008E316D"/>
    <w:rsid w:val="008E3D60"/>
    <w:rsid w:val="008E3F4C"/>
    <w:rsid w:val="008E5516"/>
    <w:rsid w:val="008E5699"/>
    <w:rsid w:val="008E5C63"/>
    <w:rsid w:val="008E5F47"/>
    <w:rsid w:val="008E7BC9"/>
    <w:rsid w:val="008F1C5F"/>
    <w:rsid w:val="008F4CEA"/>
    <w:rsid w:val="008F5349"/>
    <w:rsid w:val="008F569D"/>
    <w:rsid w:val="008F66B7"/>
    <w:rsid w:val="008F78D7"/>
    <w:rsid w:val="009002BE"/>
    <w:rsid w:val="00900435"/>
    <w:rsid w:val="00900F78"/>
    <w:rsid w:val="0090165F"/>
    <w:rsid w:val="00901B82"/>
    <w:rsid w:val="009020DF"/>
    <w:rsid w:val="00902143"/>
    <w:rsid w:val="00902266"/>
    <w:rsid w:val="00902376"/>
    <w:rsid w:val="00904352"/>
    <w:rsid w:val="0090437A"/>
    <w:rsid w:val="00904470"/>
    <w:rsid w:val="00904778"/>
    <w:rsid w:val="0090497F"/>
    <w:rsid w:val="00904BE9"/>
    <w:rsid w:val="00904F71"/>
    <w:rsid w:val="00906C7E"/>
    <w:rsid w:val="00906DAC"/>
    <w:rsid w:val="009070CF"/>
    <w:rsid w:val="0090720D"/>
    <w:rsid w:val="00907DD9"/>
    <w:rsid w:val="00910A91"/>
    <w:rsid w:val="009110EA"/>
    <w:rsid w:val="009112B6"/>
    <w:rsid w:val="00911548"/>
    <w:rsid w:val="00912278"/>
    <w:rsid w:val="00912B09"/>
    <w:rsid w:val="00912B25"/>
    <w:rsid w:val="009139C0"/>
    <w:rsid w:val="00913AD0"/>
    <w:rsid w:val="00913F16"/>
    <w:rsid w:val="00916154"/>
    <w:rsid w:val="00916E24"/>
    <w:rsid w:val="00917824"/>
    <w:rsid w:val="00917CCF"/>
    <w:rsid w:val="00917EFC"/>
    <w:rsid w:val="0092109F"/>
    <w:rsid w:val="0092115D"/>
    <w:rsid w:val="009211AC"/>
    <w:rsid w:val="009218E0"/>
    <w:rsid w:val="0092223C"/>
    <w:rsid w:val="009223C1"/>
    <w:rsid w:val="00922A72"/>
    <w:rsid w:val="009230E4"/>
    <w:rsid w:val="00924038"/>
    <w:rsid w:val="00924F7C"/>
    <w:rsid w:val="00925335"/>
    <w:rsid w:val="00925B58"/>
    <w:rsid w:val="0092616C"/>
    <w:rsid w:val="009263D8"/>
    <w:rsid w:val="0092680A"/>
    <w:rsid w:val="00926BD0"/>
    <w:rsid w:val="00927571"/>
    <w:rsid w:val="009279C9"/>
    <w:rsid w:val="00927AFB"/>
    <w:rsid w:val="0093057A"/>
    <w:rsid w:val="009337FF"/>
    <w:rsid w:val="00933A5B"/>
    <w:rsid w:val="00934922"/>
    <w:rsid w:val="00935007"/>
    <w:rsid w:val="009359AA"/>
    <w:rsid w:val="00935FD9"/>
    <w:rsid w:val="0093665C"/>
    <w:rsid w:val="00936C69"/>
    <w:rsid w:val="00937107"/>
    <w:rsid w:val="00937310"/>
    <w:rsid w:val="00937CDF"/>
    <w:rsid w:val="00941D57"/>
    <w:rsid w:val="00943C8C"/>
    <w:rsid w:val="009446D6"/>
    <w:rsid w:val="009456E7"/>
    <w:rsid w:val="00946632"/>
    <w:rsid w:val="00946CE6"/>
    <w:rsid w:val="009476E1"/>
    <w:rsid w:val="00947CEA"/>
    <w:rsid w:val="00950A43"/>
    <w:rsid w:val="00950DA8"/>
    <w:rsid w:val="00951118"/>
    <w:rsid w:val="00952D98"/>
    <w:rsid w:val="00953866"/>
    <w:rsid w:val="00953C4C"/>
    <w:rsid w:val="00953EEE"/>
    <w:rsid w:val="009542E8"/>
    <w:rsid w:val="00955D10"/>
    <w:rsid w:val="00956279"/>
    <w:rsid w:val="009563F2"/>
    <w:rsid w:val="009572FD"/>
    <w:rsid w:val="00960FC0"/>
    <w:rsid w:val="00961592"/>
    <w:rsid w:val="009622C6"/>
    <w:rsid w:val="009631C1"/>
    <w:rsid w:val="00963BC0"/>
    <w:rsid w:val="00963E28"/>
    <w:rsid w:val="00964569"/>
    <w:rsid w:val="009664F1"/>
    <w:rsid w:val="00966BDB"/>
    <w:rsid w:val="00966C2F"/>
    <w:rsid w:val="00967066"/>
    <w:rsid w:val="00967392"/>
    <w:rsid w:val="009679C5"/>
    <w:rsid w:val="00967BD2"/>
    <w:rsid w:val="00967DDD"/>
    <w:rsid w:val="00970507"/>
    <w:rsid w:val="0097059E"/>
    <w:rsid w:val="009706B8"/>
    <w:rsid w:val="00970913"/>
    <w:rsid w:val="00970D67"/>
    <w:rsid w:val="0097152F"/>
    <w:rsid w:val="0097218F"/>
    <w:rsid w:val="00972F77"/>
    <w:rsid w:val="00973796"/>
    <w:rsid w:val="00975106"/>
    <w:rsid w:val="00975125"/>
    <w:rsid w:val="0097512B"/>
    <w:rsid w:val="00975450"/>
    <w:rsid w:val="00975718"/>
    <w:rsid w:val="00975FF1"/>
    <w:rsid w:val="009764F7"/>
    <w:rsid w:val="00976E12"/>
    <w:rsid w:val="0097712F"/>
    <w:rsid w:val="00980037"/>
    <w:rsid w:val="00982115"/>
    <w:rsid w:val="009825E4"/>
    <w:rsid w:val="00983E61"/>
    <w:rsid w:val="00986D95"/>
    <w:rsid w:val="00986F05"/>
    <w:rsid w:val="00987112"/>
    <w:rsid w:val="0098717F"/>
    <w:rsid w:val="0099105C"/>
    <w:rsid w:val="0099180B"/>
    <w:rsid w:val="009926DC"/>
    <w:rsid w:val="009926E9"/>
    <w:rsid w:val="0099374A"/>
    <w:rsid w:val="00993A9B"/>
    <w:rsid w:val="00993B37"/>
    <w:rsid w:val="00993B72"/>
    <w:rsid w:val="00994997"/>
    <w:rsid w:val="009957C1"/>
    <w:rsid w:val="00996756"/>
    <w:rsid w:val="009967BA"/>
    <w:rsid w:val="009974CF"/>
    <w:rsid w:val="00997E40"/>
    <w:rsid w:val="009A03A4"/>
    <w:rsid w:val="009A08D9"/>
    <w:rsid w:val="009A0B49"/>
    <w:rsid w:val="009A10B9"/>
    <w:rsid w:val="009A16F8"/>
    <w:rsid w:val="009A190A"/>
    <w:rsid w:val="009A1C7C"/>
    <w:rsid w:val="009A2062"/>
    <w:rsid w:val="009A235A"/>
    <w:rsid w:val="009A23F1"/>
    <w:rsid w:val="009A26A9"/>
    <w:rsid w:val="009A369C"/>
    <w:rsid w:val="009A48AC"/>
    <w:rsid w:val="009A522E"/>
    <w:rsid w:val="009A5ABC"/>
    <w:rsid w:val="009A6BFA"/>
    <w:rsid w:val="009A6C61"/>
    <w:rsid w:val="009A6DB3"/>
    <w:rsid w:val="009A7389"/>
    <w:rsid w:val="009B0472"/>
    <w:rsid w:val="009B0EA0"/>
    <w:rsid w:val="009B10D0"/>
    <w:rsid w:val="009B2267"/>
    <w:rsid w:val="009B29E5"/>
    <w:rsid w:val="009B3F69"/>
    <w:rsid w:val="009B41C3"/>
    <w:rsid w:val="009B4BB6"/>
    <w:rsid w:val="009B50B8"/>
    <w:rsid w:val="009B5808"/>
    <w:rsid w:val="009B619F"/>
    <w:rsid w:val="009B634C"/>
    <w:rsid w:val="009B67EE"/>
    <w:rsid w:val="009B6CC2"/>
    <w:rsid w:val="009B6DED"/>
    <w:rsid w:val="009C16A9"/>
    <w:rsid w:val="009C22AD"/>
    <w:rsid w:val="009C3783"/>
    <w:rsid w:val="009C58AE"/>
    <w:rsid w:val="009C5ECE"/>
    <w:rsid w:val="009C62F6"/>
    <w:rsid w:val="009C6685"/>
    <w:rsid w:val="009D0A8D"/>
    <w:rsid w:val="009D0DAE"/>
    <w:rsid w:val="009D19C5"/>
    <w:rsid w:val="009D3C80"/>
    <w:rsid w:val="009D3FCA"/>
    <w:rsid w:val="009D40A7"/>
    <w:rsid w:val="009D434F"/>
    <w:rsid w:val="009D4D54"/>
    <w:rsid w:val="009D5A24"/>
    <w:rsid w:val="009D5D9C"/>
    <w:rsid w:val="009D5FBF"/>
    <w:rsid w:val="009D61F6"/>
    <w:rsid w:val="009D633B"/>
    <w:rsid w:val="009D639E"/>
    <w:rsid w:val="009D67F6"/>
    <w:rsid w:val="009D69B7"/>
    <w:rsid w:val="009D6EB0"/>
    <w:rsid w:val="009D7199"/>
    <w:rsid w:val="009D7AD0"/>
    <w:rsid w:val="009D7B18"/>
    <w:rsid w:val="009E098C"/>
    <w:rsid w:val="009E0FE1"/>
    <w:rsid w:val="009E2A09"/>
    <w:rsid w:val="009E3615"/>
    <w:rsid w:val="009E3B20"/>
    <w:rsid w:val="009E5492"/>
    <w:rsid w:val="009E6071"/>
    <w:rsid w:val="009E64D3"/>
    <w:rsid w:val="009F275E"/>
    <w:rsid w:val="009F2764"/>
    <w:rsid w:val="009F3969"/>
    <w:rsid w:val="009F4558"/>
    <w:rsid w:val="009F5490"/>
    <w:rsid w:val="009F5AAF"/>
    <w:rsid w:val="009F5FC7"/>
    <w:rsid w:val="009F68F4"/>
    <w:rsid w:val="009F6A40"/>
    <w:rsid w:val="009F79E3"/>
    <w:rsid w:val="00A005BC"/>
    <w:rsid w:val="00A00AC6"/>
    <w:rsid w:val="00A01F9E"/>
    <w:rsid w:val="00A0273B"/>
    <w:rsid w:val="00A02BA4"/>
    <w:rsid w:val="00A03B30"/>
    <w:rsid w:val="00A0406E"/>
    <w:rsid w:val="00A048F1"/>
    <w:rsid w:val="00A049CD"/>
    <w:rsid w:val="00A04A5F"/>
    <w:rsid w:val="00A04DED"/>
    <w:rsid w:val="00A05B31"/>
    <w:rsid w:val="00A066E4"/>
    <w:rsid w:val="00A0710E"/>
    <w:rsid w:val="00A104EC"/>
    <w:rsid w:val="00A10799"/>
    <w:rsid w:val="00A11307"/>
    <w:rsid w:val="00A1194D"/>
    <w:rsid w:val="00A122EA"/>
    <w:rsid w:val="00A13AF3"/>
    <w:rsid w:val="00A13E59"/>
    <w:rsid w:val="00A140D4"/>
    <w:rsid w:val="00A146FA"/>
    <w:rsid w:val="00A163F9"/>
    <w:rsid w:val="00A16C47"/>
    <w:rsid w:val="00A204D4"/>
    <w:rsid w:val="00A208DC"/>
    <w:rsid w:val="00A20CEE"/>
    <w:rsid w:val="00A20CF8"/>
    <w:rsid w:val="00A21388"/>
    <w:rsid w:val="00A22C2A"/>
    <w:rsid w:val="00A24310"/>
    <w:rsid w:val="00A24FE5"/>
    <w:rsid w:val="00A251FC"/>
    <w:rsid w:val="00A252BB"/>
    <w:rsid w:val="00A253AD"/>
    <w:rsid w:val="00A274CD"/>
    <w:rsid w:val="00A27791"/>
    <w:rsid w:val="00A30449"/>
    <w:rsid w:val="00A30500"/>
    <w:rsid w:val="00A308FE"/>
    <w:rsid w:val="00A31456"/>
    <w:rsid w:val="00A3178E"/>
    <w:rsid w:val="00A338CD"/>
    <w:rsid w:val="00A339F0"/>
    <w:rsid w:val="00A35C88"/>
    <w:rsid w:val="00A36003"/>
    <w:rsid w:val="00A3618C"/>
    <w:rsid w:val="00A36DB0"/>
    <w:rsid w:val="00A36F23"/>
    <w:rsid w:val="00A37AE9"/>
    <w:rsid w:val="00A4070D"/>
    <w:rsid w:val="00A40953"/>
    <w:rsid w:val="00A40EC8"/>
    <w:rsid w:val="00A40F2A"/>
    <w:rsid w:val="00A4117E"/>
    <w:rsid w:val="00A41355"/>
    <w:rsid w:val="00A420C9"/>
    <w:rsid w:val="00A4265D"/>
    <w:rsid w:val="00A43362"/>
    <w:rsid w:val="00A43B92"/>
    <w:rsid w:val="00A447E6"/>
    <w:rsid w:val="00A448B5"/>
    <w:rsid w:val="00A44AC1"/>
    <w:rsid w:val="00A453BD"/>
    <w:rsid w:val="00A45740"/>
    <w:rsid w:val="00A46E5A"/>
    <w:rsid w:val="00A500A1"/>
    <w:rsid w:val="00A501F6"/>
    <w:rsid w:val="00A50B23"/>
    <w:rsid w:val="00A520B3"/>
    <w:rsid w:val="00A522C1"/>
    <w:rsid w:val="00A524B3"/>
    <w:rsid w:val="00A52D99"/>
    <w:rsid w:val="00A53241"/>
    <w:rsid w:val="00A54251"/>
    <w:rsid w:val="00A54281"/>
    <w:rsid w:val="00A548D1"/>
    <w:rsid w:val="00A54E5F"/>
    <w:rsid w:val="00A5520C"/>
    <w:rsid w:val="00A55B98"/>
    <w:rsid w:val="00A5643B"/>
    <w:rsid w:val="00A5649B"/>
    <w:rsid w:val="00A567FA"/>
    <w:rsid w:val="00A601F6"/>
    <w:rsid w:val="00A60EE2"/>
    <w:rsid w:val="00A6179E"/>
    <w:rsid w:val="00A6181B"/>
    <w:rsid w:val="00A61853"/>
    <w:rsid w:val="00A61B1A"/>
    <w:rsid w:val="00A63026"/>
    <w:rsid w:val="00A63A40"/>
    <w:rsid w:val="00A64316"/>
    <w:rsid w:val="00A64872"/>
    <w:rsid w:val="00A64966"/>
    <w:rsid w:val="00A64AA8"/>
    <w:rsid w:val="00A64F4B"/>
    <w:rsid w:val="00A65D6B"/>
    <w:rsid w:val="00A65EB3"/>
    <w:rsid w:val="00A667FE"/>
    <w:rsid w:val="00A66C4A"/>
    <w:rsid w:val="00A66CF4"/>
    <w:rsid w:val="00A67A18"/>
    <w:rsid w:val="00A70493"/>
    <w:rsid w:val="00A71771"/>
    <w:rsid w:val="00A719FF"/>
    <w:rsid w:val="00A72065"/>
    <w:rsid w:val="00A7334D"/>
    <w:rsid w:val="00A73508"/>
    <w:rsid w:val="00A73D66"/>
    <w:rsid w:val="00A73F77"/>
    <w:rsid w:val="00A761E8"/>
    <w:rsid w:val="00A76448"/>
    <w:rsid w:val="00A766C2"/>
    <w:rsid w:val="00A7670B"/>
    <w:rsid w:val="00A804D9"/>
    <w:rsid w:val="00A80AA7"/>
    <w:rsid w:val="00A80DE1"/>
    <w:rsid w:val="00A80DF7"/>
    <w:rsid w:val="00A811F0"/>
    <w:rsid w:val="00A83431"/>
    <w:rsid w:val="00A83B60"/>
    <w:rsid w:val="00A84FB4"/>
    <w:rsid w:val="00A8505D"/>
    <w:rsid w:val="00A85496"/>
    <w:rsid w:val="00A85762"/>
    <w:rsid w:val="00A85D87"/>
    <w:rsid w:val="00A875E7"/>
    <w:rsid w:val="00A87611"/>
    <w:rsid w:val="00A879DC"/>
    <w:rsid w:val="00A87A00"/>
    <w:rsid w:val="00A904C0"/>
    <w:rsid w:val="00A90986"/>
    <w:rsid w:val="00A90EBB"/>
    <w:rsid w:val="00A90FBB"/>
    <w:rsid w:val="00A92915"/>
    <w:rsid w:val="00A9297B"/>
    <w:rsid w:val="00A92F92"/>
    <w:rsid w:val="00A93B08"/>
    <w:rsid w:val="00A93DE2"/>
    <w:rsid w:val="00A94395"/>
    <w:rsid w:val="00A94560"/>
    <w:rsid w:val="00A94989"/>
    <w:rsid w:val="00A95828"/>
    <w:rsid w:val="00A95DB8"/>
    <w:rsid w:val="00A96150"/>
    <w:rsid w:val="00A967DB"/>
    <w:rsid w:val="00A9683A"/>
    <w:rsid w:val="00A96892"/>
    <w:rsid w:val="00A97373"/>
    <w:rsid w:val="00AA0302"/>
    <w:rsid w:val="00AA1A7B"/>
    <w:rsid w:val="00AA2051"/>
    <w:rsid w:val="00AA2494"/>
    <w:rsid w:val="00AA25A3"/>
    <w:rsid w:val="00AA31C2"/>
    <w:rsid w:val="00AA3DE1"/>
    <w:rsid w:val="00AA3DE2"/>
    <w:rsid w:val="00AA569B"/>
    <w:rsid w:val="00AA589D"/>
    <w:rsid w:val="00AA5993"/>
    <w:rsid w:val="00AA691E"/>
    <w:rsid w:val="00AA73D0"/>
    <w:rsid w:val="00AA7B3B"/>
    <w:rsid w:val="00AB035C"/>
    <w:rsid w:val="00AB07FD"/>
    <w:rsid w:val="00AB0910"/>
    <w:rsid w:val="00AB1227"/>
    <w:rsid w:val="00AB2658"/>
    <w:rsid w:val="00AB28D8"/>
    <w:rsid w:val="00AB2F82"/>
    <w:rsid w:val="00AB3875"/>
    <w:rsid w:val="00AB3E59"/>
    <w:rsid w:val="00AB40D0"/>
    <w:rsid w:val="00AB5578"/>
    <w:rsid w:val="00AB6EFA"/>
    <w:rsid w:val="00AB6F54"/>
    <w:rsid w:val="00AB763D"/>
    <w:rsid w:val="00AC2EEB"/>
    <w:rsid w:val="00AC306B"/>
    <w:rsid w:val="00AC34F5"/>
    <w:rsid w:val="00AC3998"/>
    <w:rsid w:val="00AC4797"/>
    <w:rsid w:val="00AC59BA"/>
    <w:rsid w:val="00AC6F61"/>
    <w:rsid w:val="00AC78E5"/>
    <w:rsid w:val="00AC7E31"/>
    <w:rsid w:val="00AD12D8"/>
    <w:rsid w:val="00AD1B37"/>
    <w:rsid w:val="00AD1FB0"/>
    <w:rsid w:val="00AD3CA2"/>
    <w:rsid w:val="00AD3DAA"/>
    <w:rsid w:val="00AD475F"/>
    <w:rsid w:val="00AD4F81"/>
    <w:rsid w:val="00AD5A72"/>
    <w:rsid w:val="00AD5E2D"/>
    <w:rsid w:val="00AD6628"/>
    <w:rsid w:val="00AE10C6"/>
    <w:rsid w:val="00AE1E09"/>
    <w:rsid w:val="00AE2C1C"/>
    <w:rsid w:val="00AE3A33"/>
    <w:rsid w:val="00AE415A"/>
    <w:rsid w:val="00AE46B9"/>
    <w:rsid w:val="00AE4931"/>
    <w:rsid w:val="00AE6DD8"/>
    <w:rsid w:val="00AE7554"/>
    <w:rsid w:val="00AE7F10"/>
    <w:rsid w:val="00AF0471"/>
    <w:rsid w:val="00AF088A"/>
    <w:rsid w:val="00AF16DB"/>
    <w:rsid w:val="00AF2C30"/>
    <w:rsid w:val="00AF2F9E"/>
    <w:rsid w:val="00AF39CC"/>
    <w:rsid w:val="00AF3BE6"/>
    <w:rsid w:val="00AF4C75"/>
    <w:rsid w:val="00AF4D0A"/>
    <w:rsid w:val="00AF5C1E"/>
    <w:rsid w:val="00AF6FA3"/>
    <w:rsid w:val="00AF70F3"/>
    <w:rsid w:val="00B01733"/>
    <w:rsid w:val="00B01D61"/>
    <w:rsid w:val="00B02028"/>
    <w:rsid w:val="00B02091"/>
    <w:rsid w:val="00B02545"/>
    <w:rsid w:val="00B02A19"/>
    <w:rsid w:val="00B05341"/>
    <w:rsid w:val="00B05A2B"/>
    <w:rsid w:val="00B060DE"/>
    <w:rsid w:val="00B06482"/>
    <w:rsid w:val="00B068BB"/>
    <w:rsid w:val="00B06DC7"/>
    <w:rsid w:val="00B06E28"/>
    <w:rsid w:val="00B07D7A"/>
    <w:rsid w:val="00B10120"/>
    <w:rsid w:val="00B107B2"/>
    <w:rsid w:val="00B10ACE"/>
    <w:rsid w:val="00B126EF"/>
    <w:rsid w:val="00B129B6"/>
    <w:rsid w:val="00B131CE"/>
    <w:rsid w:val="00B13854"/>
    <w:rsid w:val="00B146A7"/>
    <w:rsid w:val="00B14E59"/>
    <w:rsid w:val="00B14F84"/>
    <w:rsid w:val="00B158A3"/>
    <w:rsid w:val="00B15C6B"/>
    <w:rsid w:val="00B16BE2"/>
    <w:rsid w:val="00B17021"/>
    <w:rsid w:val="00B17945"/>
    <w:rsid w:val="00B20709"/>
    <w:rsid w:val="00B21144"/>
    <w:rsid w:val="00B21892"/>
    <w:rsid w:val="00B22B84"/>
    <w:rsid w:val="00B22EF3"/>
    <w:rsid w:val="00B23494"/>
    <w:rsid w:val="00B23A5D"/>
    <w:rsid w:val="00B24B1D"/>
    <w:rsid w:val="00B24FF7"/>
    <w:rsid w:val="00B25501"/>
    <w:rsid w:val="00B277E0"/>
    <w:rsid w:val="00B303BF"/>
    <w:rsid w:val="00B30F4A"/>
    <w:rsid w:val="00B310A0"/>
    <w:rsid w:val="00B310A6"/>
    <w:rsid w:val="00B312FF"/>
    <w:rsid w:val="00B319CA"/>
    <w:rsid w:val="00B31AB3"/>
    <w:rsid w:val="00B31B65"/>
    <w:rsid w:val="00B32A8C"/>
    <w:rsid w:val="00B339F6"/>
    <w:rsid w:val="00B33AD5"/>
    <w:rsid w:val="00B3446B"/>
    <w:rsid w:val="00B34946"/>
    <w:rsid w:val="00B34CB9"/>
    <w:rsid w:val="00B35D1F"/>
    <w:rsid w:val="00B35EBA"/>
    <w:rsid w:val="00B415A3"/>
    <w:rsid w:val="00B424B9"/>
    <w:rsid w:val="00B43707"/>
    <w:rsid w:val="00B443F9"/>
    <w:rsid w:val="00B44B69"/>
    <w:rsid w:val="00B45198"/>
    <w:rsid w:val="00B46CCF"/>
    <w:rsid w:val="00B474BC"/>
    <w:rsid w:val="00B47F9E"/>
    <w:rsid w:val="00B51101"/>
    <w:rsid w:val="00B512A9"/>
    <w:rsid w:val="00B519FD"/>
    <w:rsid w:val="00B520BC"/>
    <w:rsid w:val="00B5322A"/>
    <w:rsid w:val="00B5361C"/>
    <w:rsid w:val="00B537F7"/>
    <w:rsid w:val="00B54383"/>
    <w:rsid w:val="00B543B6"/>
    <w:rsid w:val="00B54A79"/>
    <w:rsid w:val="00B54FE8"/>
    <w:rsid w:val="00B55DF8"/>
    <w:rsid w:val="00B56EE5"/>
    <w:rsid w:val="00B57101"/>
    <w:rsid w:val="00B57234"/>
    <w:rsid w:val="00B57290"/>
    <w:rsid w:val="00B575E5"/>
    <w:rsid w:val="00B579F5"/>
    <w:rsid w:val="00B60A2A"/>
    <w:rsid w:val="00B611D7"/>
    <w:rsid w:val="00B62034"/>
    <w:rsid w:val="00B62108"/>
    <w:rsid w:val="00B626E5"/>
    <w:rsid w:val="00B627DF"/>
    <w:rsid w:val="00B63603"/>
    <w:rsid w:val="00B63D24"/>
    <w:rsid w:val="00B64266"/>
    <w:rsid w:val="00B6438B"/>
    <w:rsid w:val="00B64886"/>
    <w:rsid w:val="00B64B16"/>
    <w:rsid w:val="00B653A3"/>
    <w:rsid w:val="00B66014"/>
    <w:rsid w:val="00B66650"/>
    <w:rsid w:val="00B66BFB"/>
    <w:rsid w:val="00B71707"/>
    <w:rsid w:val="00B72418"/>
    <w:rsid w:val="00B73D27"/>
    <w:rsid w:val="00B7550B"/>
    <w:rsid w:val="00B75DC2"/>
    <w:rsid w:val="00B75EF3"/>
    <w:rsid w:val="00B77024"/>
    <w:rsid w:val="00B770BB"/>
    <w:rsid w:val="00B775A5"/>
    <w:rsid w:val="00B77866"/>
    <w:rsid w:val="00B77DE7"/>
    <w:rsid w:val="00B80219"/>
    <w:rsid w:val="00B80417"/>
    <w:rsid w:val="00B8137B"/>
    <w:rsid w:val="00B8259F"/>
    <w:rsid w:val="00B828EA"/>
    <w:rsid w:val="00B83FD7"/>
    <w:rsid w:val="00B84142"/>
    <w:rsid w:val="00B84EA3"/>
    <w:rsid w:val="00B86321"/>
    <w:rsid w:val="00B90EC1"/>
    <w:rsid w:val="00B923C2"/>
    <w:rsid w:val="00B924E6"/>
    <w:rsid w:val="00B929A8"/>
    <w:rsid w:val="00B9330A"/>
    <w:rsid w:val="00B93372"/>
    <w:rsid w:val="00B936CF"/>
    <w:rsid w:val="00B943C7"/>
    <w:rsid w:val="00B94B6A"/>
    <w:rsid w:val="00B94F77"/>
    <w:rsid w:val="00B954BE"/>
    <w:rsid w:val="00B95C98"/>
    <w:rsid w:val="00B96B3B"/>
    <w:rsid w:val="00BA0810"/>
    <w:rsid w:val="00BA09A0"/>
    <w:rsid w:val="00BA1BB9"/>
    <w:rsid w:val="00BA1D11"/>
    <w:rsid w:val="00BA2564"/>
    <w:rsid w:val="00BA25D7"/>
    <w:rsid w:val="00BA262D"/>
    <w:rsid w:val="00BA2DA8"/>
    <w:rsid w:val="00BA36C5"/>
    <w:rsid w:val="00BA4CD8"/>
    <w:rsid w:val="00BA54EB"/>
    <w:rsid w:val="00BA5698"/>
    <w:rsid w:val="00BA5985"/>
    <w:rsid w:val="00BA5A63"/>
    <w:rsid w:val="00BA71D1"/>
    <w:rsid w:val="00BA7F84"/>
    <w:rsid w:val="00BB033C"/>
    <w:rsid w:val="00BB04E7"/>
    <w:rsid w:val="00BB06F2"/>
    <w:rsid w:val="00BB0727"/>
    <w:rsid w:val="00BB1097"/>
    <w:rsid w:val="00BB1753"/>
    <w:rsid w:val="00BB1F76"/>
    <w:rsid w:val="00BB3EC8"/>
    <w:rsid w:val="00BB447F"/>
    <w:rsid w:val="00BB5067"/>
    <w:rsid w:val="00BB5633"/>
    <w:rsid w:val="00BB60B2"/>
    <w:rsid w:val="00BB6192"/>
    <w:rsid w:val="00BB6974"/>
    <w:rsid w:val="00BB6F23"/>
    <w:rsid w:val="00BB74DC"/>
    <w:rsid w:val="00BB7F96"/>
    <w:rsid w:val="00BC0FE3"/>
    <w:rsid w:val="00BC2B12"/>
    <w:rsid w:val="00BC33C1"/>
    <w:rsid w:val="00BC4726"/>
    <w:rsid w:val="00BC4B7D"/>
    <w:rsid w:val="00BC4BEF"/>
    <w:rsid w:val="00BC5008"/>
    <w:rsid w:val="00BC50AF"/>
    <w:rsid w:val="00BC6F6F"/>
    <w:rsid w:val="00BC6FEC"/>
    <w:rsid w:val="00BC7769"/>
    <w:rsid w:val="00BC79EB"/>
    <w:rsid w:val="00BD01B3"/>
    <w:rsid w:val="00BD0B81"/>
    <w:rsid w:val="00BD0D88"/>
    <w:rsid w:val="00BD0F60"/>
    <w:rsid w:val="00BD1121"/>
    <w:rsid w:val="00BD1D85"/>
    <w:rsid w:val="00BD36D0"/>
    <w:rsid w:val="00BD400B"/>
    <w:rsid w:val="00BD51D4"/>
    <w:rsid w:val="00BD5917"/>
    <w:rsid w:val="00BD5A3C"/>
    <w:rsid w:val="00BD6503"/>
    <w:rsid w:val="00BD658F"/>
    <w:rsid w:val="00BD74D7"/>
    <w:rsid w:val="00BD767E"/>
    <w:rsid w:val="00BD7C37"/>
    <w:rsid w:val="00BD7C5A"/>
    <w:rsid w:val="00BD7CD3"/>
    <w:rsid w:val="00BD7FCF"/>
    <w:rsid w:val="00BE0064"/>
    <w:rsid w:val="00BE0453"/>
    <w:rsid w:val="00BE1BAF"/>
    <w:rsid w:val="00BE1E08"/>
    <w:rsid w:val="00BE26FD"/>
    <w:rsid w:val="00BE2A73"/>
    <w:rsid w:val="00BE5054"/>
    <w:rsid w:val="00BE5A3E"/>
    <w:rsid w:val="00BE5CCC"/>
    <w:rsid w:val="00BE68C6"/>
    <w:rsid w:val="00BE6F86"/>
    <w:rsid w:val="00BE777E"/>
    <w:rsid w:val="00BE7F1E"/>
    <w:rsid w:val="00BF0211"/>
    <w:rsid w:val="00BF07F3"/>
    <w:rsid w:val="00BF0A3D"/>
    <w:rsid w:val="00BF0DD8"/>
    <w:rsid w:val="00BF10E7"/>
    <w:rsid w:val="00BF1EFD"/>
    <w:rsid w:val="00BF2F31"/>
    <w:rsid w:val="00BF3264"/>
    <w:rsid w:val="00BF44C7"/>
    <w:rsid w:val="00BF4FA4"/>
    <w:rsid w:val="00BF5D42"/>
    <w:rsid w:val="00BF5D8F"/>
    <w:rsid w:val="00BF7CCC"/>
    <w:rsid w:val="00BF7DD4"/>
    <w:rsid w:val="00C015A6"/>
    <w:rsid w:val="00C0170F"/>
    <w:rsid w:val="00C0231D"/>
    <w:rsid w:val="00C030C4"/>
    <w:rsid w:val="00C03714"/>
    <w:rsid w:val="00C0477A"/>
    <w:rsid w:val="00C0568F"/>
    <w:rsid w:val="00C064DC"/>
    <w:rsid w:val="00C10CB7"/>
    <w:rsid w:val="00C110D1"/>
    <w:rsid w:val="00C123C3"/>
    <w:rsid w:val="00C14807"/>
    <w:rsid w:val="00C14FE4"/>
    <w:rsid w:val="00C1535D"/>
    <w:rsid w:val="00C1563D"/>
    <w:rsid w:val="00C15781"/>
    <w:rsid w:val="00C1630C"/>
    <w:rsid w:val="00C165D4"/>
    <w:rsid w:val="00C16CFB"/>
    <w:rsid w:val="00C175DA"/>
    <w:rsid w:val="00C177E8"/>
    <w:rsid w:val="00C205CD"/>
    <w:rsid w:val="00C21220"/>
    <w:rsid w:val="00C219A3"/>
    <w:rsid w:val="00C222D7"/>
    <w:rsid w:val="00C2243D"/>
    <w:rsid w:val="00C23701"/>
    <w:rsid w:val="00C23DE9"/>
    <w:rsid w:val="00C24ADD"/>
    <w:rsid w:val="00C24FD5"/>
    <w:rsid w:val="00C250C0"/>
    <w:rsid w:val="00C255C3"/>
    <w:rsid w:val="00C25BDA"/>
    <w:rsid w:val="00C263F1"/>
    <w:rsid w:val="00C26C90"/>
    <w:rsid w:val="00C2722D"/>
    <w:rsid w:val="00C27AF5"/>
    <w:rsid w:val="00C320D6"/>
    <w:rsid w:val="00C3285F"/>
    <w:rsid w:val="00C33104"/>
    <w:rsid w:val="00C332D4"/>
    <w:rsid w:val="00C334DE"/>
    <w:rsid w:val="00C35403"/>
    <w:rsid w:val="00C35686"/>
    <w:rsid w:val="00C36DAC"/>
    <w:rsid w:val="00C370E3"/>
    <w:rsid w:val="00C37A6C"/>
    <w:rsid w:val="00C402DA"/>
    <w:rsid w:val="00C409BF"/>
    <w:rsid w:val="00C41B7D"/>
    <w:rsid w:val="00C43157"/>
    <w:rsid w:val="00C446D8"/>
    <w:rsid w:val="00C44E3A"/>
    <w:rsid w:val="00C44EA9"/>
    <w:rsid w:val="00C4674E"/>
    <w:rsid w:val="00C46D44"/>
    <w:rsid w:val="00C4731C"/>
    <w:rsid w:val="00C47F6E"/>
    <w:rsid w:val="00C51BEE"/>
    <w:rsid w:val="00C533FB"/>
    <w:rsid w:val="00C536E6"/>
    <w:rsid w:val="00C53839"/>
    <w:rsid w:val="00C53AD9"/>
    <w:rsid w:val="00C53CA0"/>
    <w:rsid w:val="00C5449A"/>
    <w:rsid w:val="00C54860"/>
    <w:rsid w:val="00C55D44"/>
    <w:rsid w:val="00C567CA"/>
    <w:rsid w:val="00C567E7"/>
    <w:rsid w:val="00C568AA"/>
    <w:rsid w:val="00C56A86"/>
    <w:rsid w:val="00C57E45"/>
    <w:rsid w:val="00C6007F"/>
    <w:rsid w:val="00C6170B"/>
    <w:rsid w:val="00C62653"/>
    <w:rsid w:val="00C62DFB"/>
    <w:rsid w:val="00C635AD"/>
    <w:rsid w:val="00C63983"/>
    <w:rsid w:val="00C644E3"/>
    <w:rsid w:val="00C64651"/>
    <w:rsid w:val="00C649CC"/>
    <w:rsid w:val="00C6607F"/>
    <w:rsid w:val="00C66719"/>
    <w:rsid w:val="00C66C2F"/>
    <w:rsid w:val="00C675AB"/>
    <w:rsid w:val="00C67B83"/>
    <w:rsid w:val="00C70557"/>
    <w:rsid w:val="00C72B27"/>
    <w:rsid w:val="00C73761"/>
    <w:rsid w:val="00C7421E"/>
    <w:rsid w:val="00C742C7"/>
    <w:rsid w:val="00C74BC9"/>
    <w:rsid w:val="00C75E0F"/>
    <w:rsid w:val="00C75E33"/>
    <w:rsid w:val="00C76999"/>
    <w:rsid w:val="00C76B1F"/>
    <w:rsid w:val="00C802B8"/>
    <w:rsid w:val="00C814C3"/>
    <w:rsid w:val="00C815D0"/>
    <w:rsid w:val="00C8175C"/>
    <w:rsid w:val="00C820FD"/>
    <w:rsid w:val="00C82A64"/>
    <w:rsid w:val="00C8361A"/>
    <w:rsid w:val="00C83BC9"/>
    <w:rsid w:val="00C84990"/>
    <w:rsid w:val="00C854D4"/>
    <w:rsid w:val="00C860C8"/>
    <w:rsid w:val="00C9039E"/>
    <w:rsid w:val="00C90556"/>
    <w:rsid w:val="00C9075D"/>
    <w:rsid w:val="00C90ED9"/>
    <w:rsid w:val="00C90F1F"/>
    <w:rsid w:val="00C91D4D"/>
    <w:rsid w:val="00C92602"/>
    <w:rsid w:val="00C9267C"/>
    <w:rsid w:val="00C950B8"/>
    <w:rsid w:val="00C957C2"/>
    <w:rsid w:val="00C9595C"/>
    <w:rsid w:val="00C97F42"/>
    <w:rsid w:val="00CA0D78"/>
    <w:rsid w:val="00CA130F"/>
    <w:rsid w:val="00CA20C9"/>
    <w:rsid w:val="00CA319B"/>
    <w:rsid w:val="00CA3303"/>
    <w:rsid w:val="00CA3513"/>
    <w:rsid w:val="00CA3E32"/>
    <w:rsid w:val="00CA4855"/>
    <w:rsid w:val="00CB08BF"/>
    <w:rsid w:val="00CB095C"/>
    <w:rsid w:val="00CB0C2E"/>
    <w:rsid w:val="00CB1060"/>
    <w:rsid w:val="00CB177E"/>
    <w:rsid w:val="00CB201F"/>
    <w:rsid w:val="00CB24FE"/>
    <w:rsid w:val="00CB2C2C"/>
    <w:rsid w:val="00CB3209"/>
    <w:rsid w:val="00CB39D8"/>
    <w:rsid w:val="00CB4C8F"/>
    <w:rsid w:val="00CB4ED0"/>
    <w:rsid w:val="00CB59A2"/>
    <w:rsid w:val="00CB6F05"/>
    <w:rsid w:val="00CC027B"/>
    <w:rsid w:val="00CC1268"/>
    <w:rsid w:val="00CC279D"/>
    <w:rsid w:val="00CC40F6"/>
    <w:rsid w:val="00CC455D"/>
    <w:rsid w:val="00CC69B1"/>
    <w:rsid w:val="00CC6EF1"/>
    <w:rsid w:val="00CC7BE4"/>
    <w:rsid w:val="00CD01A0"/>
    <w:rsid w:val="00CD12CF"/>
    <w:rsid w:val="00CD1CD0"/>
    <w:rsid w:val="00CD2966"/>
    <w:rsid w:val="00CD349E"/>
    <w:rsid w:val="00CD5144"/>
    <w:rsid w:val="00CD58FD"/>
    <w:rsid w:val="00CD6188"/>
    <w:rsid w:val="00CD7B04"/>
    <w:rsid w:val="00CE02AD"/>
    <w:rsid w:val="00CE02AF"/>
    <w:rsid w:val="00CE13C5"/>
    <w:rsid w:val="00CE1425"/>
    <w:rsid w:val="00CE16F2"/>
    <w:rsid w:val="00CE1F06"/>
    <w:rsid w:val="00CE1FB5"/>
    <w:rsid w:val="00CE2014"/>
    <w:rsid w:val="00CE35B8"/>
    <w:rsid w:val="00CE37E2"/>
    <w:rsid w:val="00CE3FD0"/>
    <w:rsid w:val="00CF07F4"/>
    <w:rsid w:val="00CF23E0"/>
    <w:rsid w:val="00CF2EE7"/>
    <w:rsid w:val="00CF4CC3"/>
    <w:rsid w:val="00CF50B3"/>
    <w:rsid w:val="00CF5AD1"/>
    <w:rsid w:val="00CF5C1D"/>
    <w:rsid w:val="00CF64BC"/>
    <w:rsid w:val="00CF6C3F"/>
    <w:rsid w:val="00CF754D"/>
    <w:rsid w:val="00CF7FB3"/>
    <w:rsid w:val="00D01738"/>
    <w:rsid w:val="00D01982"/>
    <w:rsid w:val="00D01B43"/>
    <w:rsid w:val="00D02332"/>
    <w:rsid w:val="00D0271B"/>
    <w:rsid w:val="00D02C9B"/>
    <w:rsid w:val="00D035ED"/>
    <w:rsid w:val="00D03ADE"/>
    <w:rsid w:val="00D041F6"/>
    <w:rsid w:val="00D04C86"/>
    <w:rsid w:val="00D05813"/>
    <w:rsid w:val="00D072E6"/>
    <w:rsid w:val="00D079DD"/>
    <w:rsid w:val="00D105BE"/>
    <w:rsid w:val="00D1065A"/>
    <w:rsid w:val="00D107A0"/>
    <w:rsid w:val="00D11B51"/>
    <w:rsid w:val="00D11BD4"/>
    <w:rsid w:val="00D135B4"/>
    <w:rsid w:val="00D13C6E"/>
    <w:rsid w:val="00D15029"/>
    <w:rsid w:val="00D16CA2"/>
    <w:rsid w:val="00D1702F"/>
    <w:rsid w:val="00D172DA"/>
    <w:rsid w:val="00D17584"/>
    <w:rsid w:val="00D20A9C"/>
    <w:rsid w:val="00D23012"/>
    <w:rsid w:val="00D232AC"/>
    <w:rsid w:val="00D23DE0"/>
    <w:rsid w:val="00D24020"/>
    <w:rsid w:val="00D244C0"/>
    <w:rsid w:val="00D24EAF"/>
    <w:rsid w:val="00D25470"/>
    <w:rsid w:val="00D26994"/>
    <w:rsid w:val="00D26A8F"/>
    <w:rsid w:val="00D315F9"/>
    <w:rsid w:val="00D32914"/>
    <w:rsid w:val="00D32D19"/>
    <w:rsid w:val="00D32FE0"/>
    <w:rsid w:val="00D33080"/>
    <w:rsid w:val="00D34366"/>
    <w:rsid w:val="00D343FA"/>
    <w:rsid w:val="00D34AD4"/>
    <w:rsid w:val="00D34F0D"/>
    <w:rsid w:val="00D35032"/>
    <w:rsid w:val="00D35135"/>
    <w:rsid w:val="00D36B86"/>
    <w:rsid w:val="00D374FC"/>
    <w:rsid w:val="00D37EAD"/>
    <w:rsid w:val="00D40827"/>
    <w:rsid w:val="00D40B62"/>
    <w:rsid w:val="00D418CA"/>
    <w:rsid w:val="00D418FF"/>
    <w:rsid w:val="00D422AA"/>
    <w:rsid w:val="00D42B71"/>
    <w:rsid w:val="00D43298"/>
    <w:rsid w:val="00D44139"/>
    <w:rsid w:val="00D45822"/>
    <w:rsid w:val="00D4683A"/>
    <w:rsid w:val="00D46E3A"/>
    <w:rsid w:val="00D46F82"/>
    <w:rsid w:val="00D4732B"/>
    <w:rsid w:val="00D47CAF"/>
    <w:rsid w:val="00D50688"/>
    <w:rsid w:val="00D510F0"/>
    <w:rsid w:val="00D51E66"/>
    <w:rsid w:val="00D5257C"/>
    <w:rsid w:val="00D52FFE"/>
    <w:rsid w:val="00D532E1"/>
    <w:rsid w:val="00D53DA4"/>
    <w:rsid w:val="00D53F24"/>
    <w:rsid w:val="00D54B1F"/>
    <w:rsid w:val="00D55843"/>
    <w:rsid w:val="00D55E59"/>
    <w:rsid w:val="00D5652E"/>
    <w:rsid w:val="00D57391"/>
    <w:rsid w:val="00D57E39"/>
    <w:rsid w:val="00D611AB"/>
    <w:rsid w:val="00D61BF7"/>
    <w:rsid w:val="00D626C8"/>
    <w:rsid w:val="00D62A60"/>
    <w:rsid w:val="00D63B4B"/>
    <w:rsid w:val="00D648F2"/>
    <w:rsid w:val="00D65786"/>
    <w:rsid w:val="00D65C43"/>
    <w:rsid w:val="00D65C73"/>
    <w:rsid w:val="00D65C76"/>
    <w:rsid w:val="00D6684F"/>
    <w:rsid w:val="00D668C2"/>
    <w:rsid w:val="00D66CFE"/>
    <w:rsid w:val="00D67187"/>
    <w:rsid w:val="00D67AB9"/>
    <w:rsid w:val="00D70076"/>
    <w:rsid w:val="00D702AE"/>
    <w:rsid w:val="00D70DC3"/>
    <w:rsid w:val="00D71826"/>
    <w:rsid w:val="00D71B37"/>
    <w:rsid w:val="00D729C9"/>
    <w:rsid w:val="00D72C6C"/>
    <w:rsid w:val="00D734C7"/>
    <w:rsid w:val="00D747BD"/>
    <w:rsid w:val="00D7502F"/>
    <w:rsid w:val="00D75328"/>
    <w:rsid w:val="00D760FD"/>
    <w:rsid w:val="00D7653A"/>
    <w:rsid w:val="00D76B90"/>
    <w:rsid w:val="00D772FD"/>
    <w:rsid w:val="00D77353"/>
    <w:rsid w:val="00D77589"/>
    <w:rsid w:val="00D77ECF"/>
    <w:rsid w:val="00D77F92"/>
    <w:rsid w:val="00D81FCE"/>
    <w:rsid w:val="00D82D25"/>
    <w:rsid w:val="00D83A87"/>
    <w:rsid w:val="00D84330"/>
    <w:rsid w:val="00D85160"/>
    <w:rsid w:val="00D855F7"/>
    <w:rsid w:val="00D86D0D"/>
    <w:rsid w:val="00D86E26"/>
    <w:rsid w:val="00D92E3C"/>
    <w:rsid w:val="00D93194"/>
    <w:rsid w:val="00D93C05"/>
    <w:rsid w:val="00D9404E"/>
    <w:rsid w:val="00D96DF3"/>
    <w:rsid w:val="00D977C8"/>
    <w:rsid w:val="00D97FC1"/>
    <w:rsid w:val="00DA107F"/>
    <w:rsid w:val="00DA1991"/>
    <w:rsid w:val="00DA24CF"/>
    <w:rsid w:val="00DA2A22"/>
    <w:rsid w:val="00DA2F73"/>
    <w:rsid w:val="00DA31A5"/>
    <w:rsid w:val="00DA34C5"/>
    <w:rsid w:val="00DA41EC"/>
    <w:rsid w:val="00DA5A3C"/>
    <w:rsid w:val="00DA5FAE"/>
    <w:rsid w:val="00DA67EA"/>
    <w:rsid w:val="00DA68BE"/>
    <w:rsid w:val="00DA6AC8"/>
    <w:rsid w:val="00DA6F21"/>
    <w:rsid w:val="00DA714C"/>
    <w:rsid w:val="00DB0645"/>
    <w:rsid w:val="00DB18C4"/>
    <w:rsid w:val="00DB1F87"/>
    <w:rsid w:val="00DB2D58"/>
    <w:rsid w:val="00DB3F2A"/>
    <w:rsid w:val="00DB41D9"/>
    <w:rsid w:val="00DB4DAB"/>
    <w:rsid w:val="00DB5C3A"/>
    <w:rsid w:val="00DB5C42"/>
    <w:rsid w:val="00DB6B8E"/>
    <w:rsid w:val="00DB7706"/>
    <w:rsid w:val="00DC1A18"/>
    <w:rsid w:val="00DC2E22"/>
    <w:rsid w:val="00DC462F"/>
    <w:rsid w:val="00DC65DC"/>
    <w:rsid w:val="00DC681F"/>
    <w:rsid w:val="00DC6895"/>
    <w:rsid w:val="00DC69B3"/>
    <w:rsid w:val="00DC6B2F"/>
    <w:rsid w:val="00DC7623"/>
    <w:rsid w:val="00DD05E8"/>
    <w:rsid w:val="00DD0830"/>
    <w:rsid w:val="00DD09FF"/>
    <w:rsid w:val="00DD126C"/>
    <w:rsid w:val="00DD1D10"/>
    <w:rsid w:val="00DD1FC1"/>
    <w:rsid w:val="00DD223F"/>
    <w:rsid w:val="00DD297F"/>
    <w:rsid w:val="00DD2CEF"/>
    <w:rsid w:val="00DD4562"/>
    <w:rsid w:val="00DD4B7C"/>
    <w:rsid w:val="00DD5DFC"/>
    <w:rsid w:val="00DD5E43"/>
    <w:rsid w:val="00DD6A21"/>
    <w:rsid w:val="00DD7D91"/>
    <w:rsid w:val="00DE0F2B"/>
    <w:rsid w:val="00DE16C0"/>
    <w:rsid w:val="00DE34F9"/>
    <w:rsid w:val="00DE3541"/>
    <w:rsid w:val="00DE3745"/>
    <w:rsid w:val="00DE47A3"/>
    <w:rsid w:val="00DE4B34"/>
    <w:rsid w:val="00DE54E0"/>
    <w:rsid w:val="00DE5CB6"/>
    <w:rsid w:val="00DE60CA"/>
    <w:rsid w:val="00DE620B"/>
    <w:rsid w:val="00DE6D93"/>
    <w:rsid w:val="00DE7F0D"/>
    <w:rsid w:val="00DF0F1C"/>
    <w:rsid w:val="00DF17CC"/>
    <w:rsid w:val="00DF1928"/>
    <w:rsid w:val="00DF1C6A"/>
    <w:rsid w:val="00DF26DD"/>
    <w:rsid w:val="00DF3E9F"/>
    <w:rsid w:val="00DF424B"/>
    <w:rsid w:val="00DF4B8B"/>
    <w:rsid w:val="00DF4FCB"/>
    <w:rsid w:val="00DF5087"/>
    <w:rsid w:val="00DF61FB"/>
    <w:rsid w:val="00DF636F"/>
    <w:rsid w:val="00DF644C"/>
    <w:rsid w:val="00DF6A8F"/>
    <w:rsid w:val="00DF6C74"/>
    <w:rsid w:val="00DF733F"/>
    <w:rsid w:val="00DF7BFD"/>
    <w:rsid w:val="00E00879"/>
    <w:rsid w:val="00E01320"/>
    <w:rsid w:val="00E026D9"/>
    <w:rsid w:val="00E0372E"/>
    <w:rsid w:val="00E04DA5"/>
    <w:rsid w:val="00E0593A"/>
    <w:rsid w:val="00E0653B"/>
    <w:rsid w:val="00E06730"/>
    <w:rsid w:val="00E06FEE"/>
    <w:rsid w:val="00E104B2"/>
    <w:rsid w:val="00E10AD9"/>
    <w:rsid w:val="00E11128"/>
    <w:rsid w:val="00E12B7A"/>
    <w:rsid w:val="00E12EFC"/>
    <w:rsid w:val="00E12FF7"/>
    <w:rsid w:val="00E1333C"/>
    <w:rsid w:val="00E13952"/>
    <w:rsid w:val="00E15631"/>
    <w:rsid w:val="00E15761"/>
    <w:rsid w:val="00E16489"/>
    <w:rsid w:val="00E16662"/>
    <w:rsid w:val="00E1677B"/>
    <w:rsid w:val="00E16A4F"/>
    <w:rsid w:val="00E16B54"/>
    <w:rsid w:val="00E16C5F"/>
    <w:rsid w:val="00E17334"/>
    <w:rsid w:val="00E17BFE"/>
    <w:rsid w:val="00E2003F"/>
    <w:rsid w:val="00E20F95"/>
    <w:rsid w:val="00E217B9"/>
    <w:rsid w:val="00E23437"/>
    <w:rsid w:val="00E235BD"/>
    <w:rsid w:val="00E240B4"/>
    <w:rsid w:val="00E244EC"/>
    <w:rsid w:val="00E248D0"/>
    <w:rsid w:val="00E24FA3"/>
    <w:rsid w:val="00E2635F"/>
    <w:rsid w:val="00E26B28"/>
    <w:rsid w:val="00E26D7F"/>
    <w:rsid w:val="00E27638"/>
    <w:rsid w:val="00E27F5C"/>
    <w:rsid w:val="00E31465"/>
    <w:rsid w:val="00E31719"/>
    <w:rsid w:val="00E31BC1"/>
    <w:rsid w:val="00E31F16"/>
    <w:rsid w:val="00E32284"/>
    <w:rsid w:val="00E322F7"/>
    <w:rsid w:val="00E32683"/>
    <w:rsid w:val="00E328CD"/>
    <w:rsid w:val="00E32AD3"/>
    <w:rsid w:val="00E32DA0"/>
    <w:rsid w:val="00E33B99"/>
    <w:rsid w:val="00E34990"/>
    <w:rsid w:val="00E352F5"/>
    <w:rsid w:val="00E36142"/>
    <w:rsid w:val="00E36B95"/>
    <w:rsid w:val="00E36DB1"/>
    <w:rsid w:val="00E3700D"/>
    <w:rsid w:val="00E3714A"/>
    <w:rsid w:val="00E4003F"/>
    <w:rsid w:val="00E40D2C"/>
    <w:rsid w:val="00E41966"/>
    <w:rsid w:val="00E41A2F"/>
    <w:rsid w:val="00E41CDA"/>
    <w:rsid w:val="00E458F6"/>
    <w:rsid w:val="00E45954"/>
    <w:rsid w:val="00E47D7F"/>
    <w:rsid w:val="00E50286"/>
    <w:rsid w:val="00E5076E"/>
    <w:rsid w:val="00E51CCB"/>
    <w:rsid w:val="00E5331C"/>
    <w:rsid w:val="00E53AA2"/>
    <w:rsid w:val="00E53E13"/>
    <w:rsid w:val="00E53E28"/>
    <w:rsid w:val="00E54AB3"/>
    <w:rsid w:val="00E54C96"/>
    <w:rsid w:val="00E5555A"/>
    <w:rsid w:val="00E559E7"/>
    <w:rsid w:val="00E55C22"/>
    <w:rsid w:val="00E5621F"/>
    <w:rsid w:val="00E608CC"/>
    <w:rsid w:val="00E60E5D"/>
    <w:rsid w:val="00E60E86"/>
    <w:rsid w:val="00E60E9F"/>
    <w:rsid w:val="00E60F9E"/>
    <w:rsid w:val="00E6149C"/>
    <w:rsid w:val="00E61973"/>
    <w:rsid w:val="00E627AE"/>
    <w:rsid w:val="00E62E70"/>
    <w:rsid w:val="00E64ABB"/>
    <w:rsid w:val="00E64DC2"/>
    <w:rsid w:val="00E65088"/>
    <w:rsid w:val="00E65361"/>
    <w:rsid w:val="00E6578E"/>
    <w:rsid w:val="00E65CBE"/>
    <w:rsid w:val="00E66514"/>
    <w:rsid w:val="00E676C0"/>
    <w:rsid w:val="00E67D95"/>
    <w:rsid w:val="00E700A9"/>
    <w:rsid w:val="00E70A5C"/>
    <w:rsid w:val="00E70EAF"/>
    <w:rsid w:val="00E71DD1"/>
    <w:rsid w:val="00E72584"/>
    <w:rsid w:val="00E7278A"/>
    <w:rsid w:val="00E72A32"/>
    <w:rsid w:val="00E73C22"/>
    <w:rsid w:val="00E744AE"/>
    <w:rsid w:val="00E74986"/>
    <w:rsid w:val="00E7638B"/>
    <w:rsid w:val="00E769C7"/>
    <w:rsid w:val="00E76C9C"/>
    <w:rsid w:val="00E771DB"/>
    <w:rsid w:val="00E773BF"/>
    <w:rsid w:val="00E7777F"/>
    <w:rsid w:val="00E7778C"/>
    <w:rsid w:val="00E7797A"/>
    <w:rsid w:val="00E80859"/>
    <w:rsid w:val="00E83800"/>
    <w:rsid w:val="00E83824"/>
    <w:rsid w:val="00E83BC5"/>
    <w:rsid w:val="00E8420E"/>
    <w:rsid w:val="00E84C32"/>
    <w:rsid w:val="00E8513A"/>
    <w:rsid w:val="00E85180"/>
    <w:rsid w:val="00E85C32"/>
    <w:rsid w:val="00E85F0B"/>
    <w:rsid w:val="00E86063"/>
    <w:rsid w:val="00E861DB"/>
    <w:rsid w:val="00E86E71"/>
    <w:rsid w:val="00E86F29"/>
    <w:rsid w:val="00E87178"/>
    <w:rsid w:val="00E90B36"/>
    <w:rsid w:val="00E91862"/>
    <w:rsid w:val="00E92696"/>
    <w:rsid w:val="00E9336F"/>
    <w:rsid w:val="00E9340D"/>
    <w:rsid w:val="00E942B5"/>
    <w:rsid w:val="00E95410"/>
    <w:rsid w:val="00E975AB"/>
    <w:rsid w:val="00E9771A"/>
    <w:rsid w:val="00EA1FF4"/>
    <w:rsid w:val="00EA256B"/>
    <w:rsid w:val="00EA2FFF"/>
    <w:rsid w:val="00EA3C1D"/>
    <w:rsid w:val="00EA4363"/>
    <w:rsid w:val="00EA44D9"/>
    <w:rsid w:val="00EA52EB"/>
    <w:rsid w:val="00EA6436"/>
    <w:rsid w:val="00EA64F0"/>
    <w:rsid w:val="00EA6A20"/>
    <w:rsid w:val="00EA6E11"/>
    <w:rsid w:val="00EA6F89"/>
    <w:rsid w:val="00EA772C"/>
    <w:rsid w:val="00EA7BC7"/>
    <w:rsid w:val="00EB0743"/>
    <w:rsid w:val="00EB0B2F"/>
    <w:rsid w:val="00EB153D"/>
    <w:rsid w:val="00EB26AC"/>
    <w:rsid w:val="00EB360A"/>
    <w:rsid w:val="00EB4959"/>
    <w:rsid w:val="00EB5893"/>
    <w:rsid w:val="00EB6A76"/>
    <w:rsid w:val="00EB72A6"/>
    <w:rsid w:val="00EB74DD"/>
    <w:rsid w:val="00EB7666"/>
    <w:rsid w:val="00EC07B8"/>
    <w:rsid w:val="00EC0AE5"/>
    <w:rsid w:val="00EC1749"/>
    <w:rsid w:val="00EC1A28"/>
    <w:rsid w:val="00EC1DE1"/>
    <w:rsid w:val="00EC2541"/>
    <w:rsid w:val="00EC29F1"/>
    <w:rsid w:val="00EC312F"/>
    <w:rsid w:val="00ED13C5"/>
    <w:rsid w:val="00ED1DFC"/>
    <w:rsid w:val="00ED219F"/>
    <w:rsid w:val="00ED29B7"/>
    <w:rsid w:val="00ED2A61"/>
    <w:rsid w:val="00ED2AC1"/>
    <w:rsid w:val="00ED2B5F"/>
    <w:rsid w:val="00ED35AC"/>
    <w:rsid w:val="00ED3F88"/>
    <w:rsid w:val="00ED425A"/>
    <w:rsid w:val="00ED5827"/>
    <w:rsid w:val="00ED6380"/>
    <w:rsid w:val="00ED672D"/>
    <w:rsid w:val="00ED7576"/>
    <w:rsid w:val="00ED766B"/>
    <w:rsid w:val="00ED7B15"/>
    <w:rsid w:val="00EE01F6"/>
    <w:rsid w:val="00EE1039"/>
    <w:rsid w:val="00EE1214"/>
    <w:rsid w:val="00EE1E15"/>
    <w:rsid w:val="00EE22BF"/>
    <w:rsid w:val="00EE3054"/>
    <w:rsid w:val="00EE376C"/>
    <w:rsid w:val="00EE4D16"/>
    <w:rsid w:val="00EE5489"/>
    <w:rsid w:val="00EE76D4"/>
    <w:rsid w:val="00EF072E"/>
    <w:rsid w:val="00EF11BE"/>
    <w:rsid w:val="00EF154A"/>
    <w:rsid w:val="00EF15A3"/>
    <w:rsid w:val="00EF1686"/>
    <w:rsid w:val="00EF39B8"/>
    <w:rsid w:val="00EF3A45"/>
    <w:rsid w:val="00EF3DCF"/>
    <w:rsid w:val="00EF4245"/>
    <w:rsid w:val="00EF494F"/>
    <w:rsid w:val="00EF62DA"/>
    <w:rsid w:val="00EF633A"/>
    <w:rsid w:val="00EF6BA8"/>
    <w:rsid w:val="00EF6FD7"/>
    <w:rsid w:val="00EF7A15"/>
    <w:rsid w:val="00F00C8F"/>
    <w:rsid w:val="00F00D05"/>
    <w:rsid w:val="00F01C1A"/>
    <w:rsid w:val="00F01DA9"/>
    <w:rsid w:val="00F031DA"/>
    <w:rsid w:val="00F03E41"/>
    <w:rsid w:val="00F03F2D"/>
    <w:rsid w:val="00F042B7"/>
    <w:rsid w:val="00F05574"/>
    <w:rsid w:val="00F069D4"/>
    <w:rsid w:val="00F113F2"/>
    <w:rsid w:val="00F137E3"/>
    <w:rsid w:val="00F141C8"/>
    <w:rsid w:val="00F146EB"/>
    <w:rsid w:val="00F14949"/>
    <w:rsid w:val="00F14A59"/>
    <w:rsid w:val="00F14C6D"/>
    <w:rsid w:val="00F16278"/>
    <w:rsid w:val="00F1630A"/>
    <w:rsid w:val="00F1637E"/>
    <w:rsid w:val="00F1663C"/>
    <w:rsid w:val="00F16881"/>
    <w:rsid w:val="00F16D2F"/>
    <w:rsid w:val="00F16DA3"/>
    <w:rsid w:val="00F17913"/>
    <w:rsid w:val="00F20EB6"/>
    <w:rsid w:val="00F2141A"/>
    <w:rsid w:val="00F21A22"/>
    <w:rsid w:val="00F21EC8"/>
    <w:rsid w:val="00F222C3"/>
    <w:rsid w:val="00F22619"/>
    <w:rsid w:val="00F22B21"/>
    <w:rsid w:val="00F22CED"/>
    <w:rsid w:val="00F22E1E"/>
    <w:rsid w:val="00F235AC"/>
    <w:rsid w:val="00F23A13"/>
    <w:rsid w:val="00F23A88"/>
    <w:rsid w:val="00F26BEF"/>
    <w:rsid w:val="00F26C52"/>
    <w:rsid w:val="00F2754B"/>
    <w:rsid w:val="00F27DC8"/>
    <w:rsid w:val="00F30173"/>
    <w:rsid w:val="00F3152E"/>
    <w:rsid w:val="00F32A1D"/>
    <w:rsid w:val="00F32B9A"/>
    <w:rsid w:val="00F33F30"/>
    <w:rsid w:val="00F34BC9"/>
    <w:rsid w:val="00F3568A"/>
    <w:rsid w:val="00F35C72"/>
    <w:rsid w:val="00F363A2"/>
    <w:rsid w:val="00F400C5"/>
    <w:rsid w:val="00F40DA2"/>
    <w:rsid w:val="00F40E8B"/>
    <w:rsid w:val="00F40FCA"/>
    <w:rsid w:val="00F4283B"/>
    <w:rsid w:val="00F42CAB"/>
    <w:rsid w:val="00F4330A"/>
    <w:rsid w:val="00F433DA"/>
    <w:rsid w:val="00F4454E"/>
    <w:rsid w:val="00F44F12"/>
    <w:rsid w:val="00F451F2"/>
    <w:rsid w:val="00F452C5"/>
    <w:rsid w:val="00F4643B"/>
    <w:rsid w:val="00F469B9"/>
    <w:rsid w:val="00F46AAA"/>
    <w:rsid w:val="00F473F4"/>
    <w:rsid w:val="00F50F00"/>
    <w:rsid w:val="00F511DC"/>
    <w:rsid w:val="00F51C5C"/>
    <w:rsid w:val="00F52D5C"/>
    <w:rsid w:val="00F52F5E"/>
    <w:rsid w:val="00F54038"/>
    <w:rsid w:val="00F54F57"/>
    <w:rsid w:val="00F55313"/>
    <w:rsid w:val="00F55A7C"/>
    <w:rsid w:val="00F55BF9"/>
    <w:rsid w:val="00F56F5F"/>
    <w:rsid w:val="00F57178"/>
    <w:rsid w:val="00F57886"/>
    <w:rsid w:val="00F57A51"/>
    <w:rsid w:val="00F60280"/>
    <w:rsid w:val="00F61F15"/>
    <w:rsid w:val="00F64B1C"/>
    <w:rsid w:val="00F66048"/>
    <w:rsid w:val="00F66B2F"/>
    <w:rsid w:val="00F70CFA"/>
    <w:rsid w:val="00F70D2F"/>
    <w:rsid w:val="00F713F4"/>
    <w:rsid w:val="00F71443"/>
    <w:rsid w:val="00F72AF5"/>
    <w:rsid w:val="00F72EC5"/>
    <w:rsid w:val="00F7332F"/>
    <w:rsid w:val="00F75935"/>
    <w:rsid w:val="00F77448"/>
    <w:rsid w:val="00F77720"/>
    <w:rsid w:val="00F8000F"/>
    <w:rsid w:val="00F80526"/>
    <w:rsid w:val="00F8302E"/>
    <w:rsid w:val="00F83DC4"/>
    <w:rsid w:val="00F84B07"/>
    <w:rsid w:val="00F854AC"/>
    <w:rsid w:val="00F86B5F"/>
    <w:rsid w:val="00F87D33"/>
    <w:rsid w:val="00F90DFA"/>
    <w:rsid w:val="00F929B3"/>
    <w:rsid w:val="00F93410"/>
    <w:rsid w:val="00F93FE3"/>
    <w:rsid w:val="00F953CC"/>
    <w:rsid w:val="00F95D44"/>
    <w:rsid w:val="00F95F16"/>
    <w:rsid w:val="00F978F0"/>
    <w:rsid w:val="00F97CAC"/>
    <w:rsid w:val="00F97D4F"/>
    <w:rsid w:val="00FA1AC8"/>
    <w:rsid w:val="00FA2C18"/>
    <w:rsid w:val="00FA3D3B"/>
    <w:rsid w:val="00FA4916"/>
    <w:rsid w:val="00FA540D"/>
    <w:rsid w:val="00FA6378"/>
    <w:rsid w:val="00FA6869"/>
    <w:rsid w:val="00FA7036"/>
    <w:rsid w:val="00FA70AC"/>
    <w:rsid w:val="00FA73DB"/>
    <w:rsid w:val="00FB0685"/>
    <w:rsid w:val="00FB06C6"/>
    <w:rsid w:val="00FB06C7"/>
    <w:rsid w:val="00FB0741"/>
    <w:rsid w:val="00FB1E70"/>
    <w:rsid w:val="00FB2D79"/>
    <w:rsid w:val="00FB3212"/>
    <w:rsid w:val="00FB4404"/>
    <w:rsid w:val="00FB44E0"/>
    <w:rsid w:val="00FB5360"/>
    <w:rsid w:val="00FB57B8"/>
    <w:rsid w:val="00FB61AB"/>
    <w:rsid w:val="00FB6804"/>
    <w:rsid w:val="00FB745C"/>
    <w:rsid w:val="00FC0FBA"/>
    <w:rsid w:val="00FC123D"/>
    <w:rsid w:val="00FC2CDA"/>
    <w:rsid w:val="00FC30F8"/>
    <w:rsid w:val="00FC3573"/>
    <w:rsid w:val="00FC3798"/>
    <w:rsid w:val="00FC4F1C"/>
    <w:rsid w:val="00FC5C6B"/>
    <w:rsid w:val="00FC5E65"/>
    <w:rsid w:val="00FC6031"/>
    <w:rsid w:val="00FC64AF"/>
    <w:rsid w:val="00FC69B8"/>
    <w:rsid w:val="00FC6E73"/>
    <w:rsid w:val="00FC6F12"/>
    <w:rsid w:val="00FC72C9"/>
    <w:rsid w:val="00FD01B5"/>
    <w:rsid w:val="00FD0CC9"/>
    <w:rsid w:val="00FD1485"/>
    <w:rsid w:val="00FD507E"/>
    <w:rsid w:val="00FD50EA"/>
    <w:rsid w:val="00FD6F9F"/>
    <w:rsid w:val="00FD78DB"/>
    <w:rsid w:val="00FE0682"/>
    <w:rsid w:val="00FE0D6B"/>
    <w:rsid w:val="00FE19E0"/>
    <w:rsid w:val="00FE24E8"/>
    <w:rsid w:val="00FE2B9F"/>
    <w:rsid w:val="00FE2DBB"/>
    <w:rsid w:val="00FE3ADA"/>
    <w:rsid w:val="00FE4068"/>
    <w:rsid w:val="00FE4339"/>
    <w:rsid w:val="00FE47AA"/>
    <w:rsid w:val="00FE51C9"/>
    <w:rsid w:val="00FE541A"/>
    <w:rsid w:val="00FE6A89"/>
    <w:rsid w:val="00FE6B82"/>
    <w:rsid w:val="00FE74DA"/>
    <w:rsid w:val="00FE78F0"/>
    <w:rsid w:val="00FE7EA4"/>
    <w:rsid w:val="00FF00FC"/>
    <w:rsid w:val="00FF0560"/>
    <w:rsid w:val="00FF1310"/>
    <w:rsid w:val="00FF1B16"/>
    <w:rsid w:val="00FF1B5B"/>
    <w:rsid w:val="00FF2759"/>
    <w:rsid w:val="00FF2F06"/>
    <w:rsid w:val="00FF3034"/>
    <w:rsid w:val="00FF3C6D"/>
    <w:rsid w:val="00FF4949"/>
    <w:rsid w:val="00FF4F3E"/>
    <w:rsid w:val="00FF53EF"/>
    <w:rsid w:val="00FF54B2"/>
    <w:rsid w:val="00FF5BC5"/>
    <w:rsid w:val="00FF5C8E"/>
    <w:rsid w:val="00FF60E2"/>
    <w:rsid w:val="00FF6237"/>
    <w:rsid w:val="00FF71B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74342"/>
  <w15:docId w15:val="{B406EADC-4A1A-43B3-8A3A-2CC7AF54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67DDD"/>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E86063"/>
    <w:pPr>
      <w:tabs>
        <w:tab w:val="left" w:pos="1202"/>
        <w:tab w:val="right" w:leader="dot" w:pos="9060"/>
      </w:tabs>
      <w:spacing w:before="60" w:after="0"/>
      <w:ind w:left="1701" w:hanging="567"/>
    </w:pPr>
    <w:rPr>
      <w:rFonts w:cs="Arial"/>
      <w:noProof/>
      <w:sz w:val="20"/>
      <w:lang w:val="en-US"/>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1E17FC"/>
    <w:pPr>
      <w:tabs>
        <w:tab w:val="right" w:leader="dot" w:pos="9060"/>
      </w:tabs>
      <w:spacing w:after="0"/>
      <w:ind w:left="567" w:hanging="567"/>
    </w:pPr>
    <w:rPr>
      <w:b/>
      <w:noProof/>
      <w:sz w:val="22"/>
    </w:rPr>
  </w:style>
  <w:style w:type="paragraph" w:styleId="TOC2">
    <w:name w:val="toc 2"/>
    <w:basedOn w:val="Normal"/>
    <w:next w:val="Normal"/>
    <w:autoRedefine/>
    <w:uiPriority w:val="39"/>
    <w:qFormat/>
    <w:locked/>
    <w:rsid w:val="005841CE"/>
    <w:pPr>
      <w:numPr>
        <w:numId w:val="45"/>
      </w:numPr>
      <w:tabs>
        <w:tab w:val="right" w:leader="dot" w:pos="9060"/>
      </w:tabs>
      <w:spacing w:before="60" w:after="0"/>
    </w:pPr>
    <w:rPr>
      <w:b/>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N"/>
    <w:basedOn w:val="Normal"/>
    <w:link w:val="FootnoteTextChar"/>
    <w:qFormat/>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CopyrightText">
    <w:name w:val="Copyright Text"/>
    <w:basedOn w:val="Normal"/>
    <w:uiPriority w:val="99"/>
    <w:rsid w:val="003E7823"/>
    <w:pPr>
      <w:widowControl w:val="0"/>
      <w:tabs>
        <w:tab w:val="left" w:pos="567"/>
      </w:tabs>
      <w:suppressAutoHyphens/>
      <w:autoSpaceDE w:val="0"/>
      <w:autoSpaceDN w:val="0"/>
      <w:adjustRightInd w:val="0"/>
      <w:spacing w:before="0" w:after="57" w:line="288" w:lineRule="auto"/>
      <w:textAlignment w:val="center"/>
    </w:pPr>
    <w:rPr>
      <w:rFonts w:eastAsiaTheme="minorEastAsia" w:cs="HelveticaCYPlain"/>
      <w:color w:val="000000"/>
      <w:sz w:val="18"/>
      <w:szCs w:val="16"/>
      <w:u w:color="000000"/>
    </w:rPr>
  </w:style>
  <w:style w:type="paragraph" w:styleId="ListParagraph">
    <w:name w:val="List Paragraph"/>
    <w:basedOn w:val="Normal"/>
    <w:uiPriority w:val="34"/>
    <w:qFormat/>
    <w:rsid w:val="000F2436"/>
    <w:pPr>
      <w:ind w:left="720"/>
      <w:contextualSpacing/>
    </w:pPr>
  </w:style>
  <w:style w:type="paragraph" w:customStyle="1" w:styleId="ListParaMargin">
    <w:name w:val="List Para Margin"/>
    <w:next w:val="Normal"/>
    <w:uiPriority w:val="99"/>
    <w:rsid w:val="0089598C"/>
    <w:pPr>
      <w:keepLines/>
      <w:widowControl w:val="0"/>
      <w:numPr>
        <w:numId w:val="17"/>
      </w:numPr>
      <w:tabs>
        <w:tab w:val="left" w:pos="567"/>
        <w:tab w:val="left" w:pos="850"/>
      </w:tabs>
      <w:suppressAutoHyphens/>
      <w:autoSpaceDE w:val="0"/>
      <w:autoSpaceDN w:val="0"/>
      <w:adjustRightInd w:val="0"/>
      <w:spacing w:after="200" w:line="288" w:lineRule="auto"/>
      <w:textAlignment w:val="center"/>
    </w:pPr>
    <w:rPr>
      <w:rFonts w:ascii="Arial" w:eastAsiaTheme="minorEastAsia" w:hAnsi="Arial" w:cs="HelveticaNeue"/>
      <w:color w:val="000000"/>
      <w:sz w:val="24"/>
      <w:szCs w:val="17"/>
      <w:lang w:val="en-US"/>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
    <w:basedOn w:val="DefaultParagraphFont"/>
    <w:link w:val="FootnoteText"/>
    <w:locked/>
    <w:rsid w:val="00F978F0"/>
    <w:rPr>
      <w:rFonts w:ascii="Arial" w:eastAsia="MS Mincho" w:hAnsi="Arial"/>
    </w:rPr>
  </w:style>
  <w:style w:type="character" w:customStyle="1" w:styleId="listing31">
    <w:name w:val="listing31"/>
    <w:basedOn w:val="DefaultParagraphFont"/>
    <w:rsid w:val="00F978F0"/>
    <w:rPr>
      <w:rFonts w:ascii="Verdana" w:hAnsi="Verdana" w:hint="default"/>
      <w:b/>
      <w:bCs/>
      <w:sz w:val="20"/>
      <w:szCs w:val="20"/>
    </w:rPr>
  </w:style>
  <w:style w:type="paragraph" w:customStyle="1" w:styleId="acthead5">
    <w:name w:val="acthead5"/>
    <w:basedOn w:val="Normal"/>
    <w:rsid w:val="00CC69B1"/>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CC69B1"/>
  </w:style>
  <w:style w:type="paragraph" w:customStyle="1" w:styleId="subsection">
    <w:name w:val="subsection"/>
    <w:basedOn w:val="Normal"/>
    <w:rsid w:val="00CC69B1"/>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CC69B1"/>
    <w:pPr>
      <w:spacing w:before="100" w:beforeAutospacing="1" w:after="100" w:afterAutospacing="1"/>
    </w:pPr>
    <w:rPr>
      <w:rFonts w:ascii="Times New Roman" w:eastAsia="Times New Roman" w:hAnsi="Times New Roman"/>
    </w:rPr>
  </w:style>
  <w:style w:type="paragraph" w:customStyle="1" w:styleId="subsection2">
    <w:name w:val="subsection2"/>
    <w:basedOn w:val="Normal"/>
    <w:rsid w:val="00CC69B1"/>
    <w:pPr>
      <w:spacing w:before="100" w:beforeAutospacing="1" w:after="100" w:afterAutospacing="1"/>
    </w:pPr>
    <w:rPr>
      <w:rFonts w:ascii="Times New Roman" w:eastAsia="Times New Roman" w:hAnsi="Times New Roman"/>
    </w:rPr>
  </w:style>
  <w:style w:type="paragraph" w:customStyle="1" w:styleId="definition">
    <w:name w:val="definition"/>
    <w:basedOn w:val="Normal"/>
    <w:rsid w:val="00CC69B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6D0E45"/>
  </w:style>
  <w:style w:type="character" w:customStyle="1" w:styleId="bold">
    <w:name w:val="bold"/>
    <w:basedOn w:val="DefaultParagraphFont"/>
    <w:rsid w:val="00867DB7"/>
  </w:style>
  <w:style w:type="paragraph" w:customStyle="1" w:styleId="Pa20">
    <w:name w:val="Pa20"/>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paragraph" w:customStyle="1" w:styleId="Pa29">
    <w:name w:val="Pa29"/>
    <w:basedOn w:val="Normal"/>
    <w:next w:val="Normal"/>
    <w:uiPriority w:val="99"/>
    <w:rsid w:val="00867DB7"/>
    <w:pPr>
      <w:autoSpaceDE w:val="0"/>
      <w:autoSpaceDN w:val="0"/>
      <w:adjustRightInd w:val="0"/>
      <w:spacing w:before="0" w:after="0" w:line="201" w:lineRule="atLeast"/>
    </w:pPr>
    <w:rPr>
      <w:rFonts w:ascii="Archer Book" w:eastAsia="Times New Roman" w:hAnsi="Archer Book"/>
    </w:r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1"/>
    <w:uiPriority w:val="99"/>
    <w:locked/>
    <w:rsid w:val="00650586"/>
    <w:rPr>
      <w:rFonts w:ascii="Arial" w:hAnsi="Arial" w:cs="Arial"/>
      <w:sz w:val="18"/>
      <w:lang w:val="en-US" w:eastAsia="en-US"/>
    </w:rPr>
  </w:style>
  <w:style w:type="character" w:customStyle="1" w:styleId="FDLParagraphTextChar">
    <w:name w:val="FDL Paragraph Text Char"/>
    <w:link w:val="FDLParagraphText"/>
    <w:locked/>
    <w:rsid w:val="00650586"/>
    <w:rPr>
      <w:sz w:val="24"/>
      <w:szCs w:val="24"/>
    </w:rPr>
  </w:style>
  <w:style w:type="paragraph" w:customStyle="1" w:styleId="FDLParagraphText">
    <w:name w:val="FDL Paragraph Text"/>
    <w:basedOn w:val="Normal"/>
    <w:link w:val="FDLParagraphTextChar"/>
    <w:rsid w:val="00650586"/>
    <w:pPr>
      <w:spacing w:before="120" w:after="120"/>
      <w:jc w:val="both"/>
    </w:pPr>
    <w:rPr>
      <w:rFonts w:ascii="Times New Roman" w:eastAsia="Times New Roman" w:hAnsi="Times New Roman"/>
    </w:rPr>
  </w:style>
  <w:style w:type="character" w:customStyle="1" w:styleId="FDLQuotationTextChar">
    <w:name w:val="FDL Quotation Text Char"/>
    <w:link w:val="FDLQuotationText"/>
    <w:locked/>
    <w:rsid w:val="00F113F2"/>
    <w:rPr>
      <w:rFonts w:ascii="Arial" w:hAnsi="Arial" w:cs="Arial"/>
      <w:sz w:val="22"/>
      <w:szCs w:val="22"/>
    </w:rPr>
  </w:style>
  <w:style w:type="paragraph" w:customStyle="1" w:styleId="FDLQuotationText">
    <w:name w:val="FDL Quotation Text"/>
    <w:basedOn w:val="FDLParagraphText"/>
    <w:next w:val="FDLParagraphText"/>
    <w:link w:val="FDLQuotationTextChar"/>
    <w:autoRedefine/>
    <w:rsid w:val="00F113F2"/>
    <w:pPr>
      <w:spacing w:before="60" w:after="60"/>
      <w:ind w:left="571"/>
    </w:pPr>
    <w:rPr>
      <w:rFonts w:ascii="Arial" w:hAnsi="Arial" w:cs="Arial"/>
      <w:sz w:val="22"/>
      <w:szCs w:val="22"/>
    </w:rPr>
  </w:style>
  <w:style w:type="paragraph" w:customStyle="1" w:styleId="loose1">
    <w:name w:val="loose1"/>
    <w:basedOn w:val="Normal"/>
    <w:rsid w:val="00C1563D"/>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locked/>
    <w:rsid w:val="0041672C"/>
    <w:rPr>
      <w:sz w:val="16"/>
      <w:szCs w:val="16"/>
    </w:rPr>
  </w:style>
  <w:style w:type="paragraph" w:styleId="CommentText">
    <w:name w:val="annotation text"/>
    <w:basedOn w:val="Normal"/>
    <w:link w:val="CommentTextChar"/>
    <w:locked/>
    <w:rsid w:val="0041672C"/>
    <w:rPr>
      <w:rFonts w:eastAsia="Times New Roman"/>
      <w:sz w:val="20"/>
      <w:szCs w:val="20"/>
    </w:rPr>
  </w:style>
  <w:style w:type="character" w:customStyle="1" w:styleId="CommentTextChar">
    <w:name w:val="Comment Text Char"/>
    <w:basedOn w:val="DefaultParagraphFont"/>
    <w:link w:val="CommentText"/>
    <w:rsid w:val="0041672C"/>
    <w:rPr>
      <w:rFonts w:ascii="Arial" w:hAnsi="Arial"/>
    </w:rPr>
  </w:style>
  <w:style w:type="paragraph" w:styleId="CommentSubject">
    <w:name w:val="annotation subject"/>
    <w:basedOn w:val="CommentText"/>
    <w:next w:val="CommentText"/>
    <w:link w:val="CommentSubjectChar"/>
    <w:locked/>
    <w:rsid w:val="00FE2DBB"/>
    <w:rPr>
      <w:rFonts w:eastAsia="MS Mincho"/>
      <w:b/>
      <w:bCs/>
    </w:rPr>
  </w:style>
  <w:style w:type="character" w:customStyle="1" w:styleId="CommentSubjectChar">
    <w:name w:val="Comment Subject Char"/>
    <w:basedOn w:val="CommentTextChar"/>
    <w:link w:val="CommentSubject"/>
    <w:rsid w:val="00FE2DBB"/>
    <w:rPr>
      <w:rFonts w:ascii="Arial" w:eastAsia="MS Mincho" w:hAnsi="Arial"/>
      <w:b/>
      <w:bCs/>
    </w:rPr>
  </w:style>
  <w:style w:type="character" w:customStyle="1" w:styleId="hit">
    <w:name w:val="hit"/>
    <w:basedOn w:val="DefaultParagraphFont"/>
    <w:rsid w:val="00F70D2F"/>
  </w:style>
  <w:style w:type="paragraph" w:styleId="Revision">
    <w:name w:val="Revision"/>
    <w:hidden/>
    <w:uiPriority w:val="99"/>
    <w:semiHidden/>
    <w:rsid w:val="00E31F16"/>
    <w:rPr>
      <w:rFonts w:ascii="Arial" w:eastAsia="MS Mincho" w:hAnsi="Arial"/>
      <w:sz w:val="24"/>
      <w:szCs w:val="24"/>
    </w:rPr>
  </w:style>
  <w:style w:type="paragraph" w:customStyle="1" w:styleId="VEOHRCListBullet">
    <w:name w:val="VEOHRC List Bullet"/>
    <w:basedOn w:val="Normal"/>
    <w:link w:val="VEOHRCListBulletChar"/>
    <w:rsid w:val="0005171C"/>
    <w:pPr>
      <w:numPr>
        <w:numId w:val="26"/>
      </w:numPr>
      <w:spacing w:before="0" w:after="60" w:line="240" w:lineRule="atLeast"/>
    </w:pPr>
    <w:rPr>
      <w:rFonts w:eastAsia="Times New Roman"/>
    </w:rPr>
  </w:style>
  <w:style w:type="paragraph" w:customStyle="1" w:styleId="VEOHRCListBullet2ndlevel">
    <w:name w:val="VEOHRC List Bullet 2nd level"/>
    <w:basedOn w:val="VEOHRCListBullet"/>
    <w:rsid w:val="0005171C"/>
    <w:pPr>
      <w:numPr>
        <w:numId w:val="0"/>
      </w:numPr>
      <w:tabs>
        <w:tab w:val="num" w:pos="360"/>
      </w:tabs>
      <w:ind w:left="360" w:hanging="360"/>
    </w:pPr>
  </w:style>
  <w:style w:type="character" w:customStyle="1" w:styleId="VEOHRCListBulletChar">
    <w:name w:val="VEOHRC List Bullet Char"/>
    <w:basedOn w:val="DefaultParagraphFont"/>
    <w:link w:val="VEOHRCListBullet"/>
    <w:rsid w:val="0005171C"/>
    <w:rPr>
      <w:rFonts w:ascii="Arial" w:hAnsi="Arial"/>
      <w:sz w:val="24"/>
      <w:szCs w:val="24"/>
    </w:rPr>
  </w:style>
  <w:style w:type="paragraph" w:customStyle="1" w:styleId="paragraphsub">
    <w:name w:val="paragraphsub"/>
    <w:basedOn w:val="Normal"/>
    <w:rsid w:val="005C4901"/>
    <w:pPr>
      <w:spacing w:before="100" w:beforeAutospacing="1" w:after="100" w:afterAutospacing="1"/>
    </w:pPr>
    <w:rPr>
      <w:rFonts w:ascii="Times New Roman" w:eastAsia="Times New Roman" w:hAnsi="Times New Roman"/>
    </w:rPr>
  </w:style>
  <w:style w:type="paragraph" w:customStyle="1" w:styleId="Default">
    <w:name w:val="Default"/>
    <w:rsid w:val="00354A35"/>
    <w:pPr>
      <w:autoSpaceDE w:val="0"/>
      <w:autoSpaceDN w:val="0"/>
      <w:adjustRightInd w:val="0"/>
    </w:pPr>
    <w:rPr>
      <w:rFonts w:ascii="ELKZSS+HelveticaCYPlain" w:hAnsi="ELKZSS+HelveticaCYPlain" w:cs="ELKZSS+HelveticaCYPlain"/>
      <w:color w:val="000000"/>
      <w:sz w:val="24"/>
      <w:szCs w:val="24"/>
    </w:rPr>
  </w:style>
  <w:style w:type="paragraph" w:customStyle="1" w:styleId="Pa3">
    <w:name w:val="Pa3"/>
    <w:basedOn w:val="Default"/>
    <w:next w:val="Default"/>
    <w:uiPriority w:val="99"/>
    <w:rsid w:val="00354A35"/>
    <w:pPr>
      <w:spacing w:line="161" w:lineRule="atLeast"/>
    </w:pPr>
    <w:rPr>
      <w:rFonts w:cs="Times New Roman"/>
      <w:color w:val="auto"/>
    </w:rPr>
  </w:style>
  <w:style w:type="character" w:customStyle="1" w:styleId="A4">
    <w:name w:val="A4"/>
    <w:uiPriority w:val="99"/>
    <w:rsid w:val="00354A35"/>
    <w:rPr>
      <w:rFonts w:cs="ELKZSS+HelveticaCYPlain"/>
      <w:color w:val="000000"/>
      <w:sz w:val="16"/>
      <w:szCs w:val="16"/>
    </w:rPr>
  </w:style>
  <w:style w:type="paragraph" w:customStyle="1" w:styleId="Pa8">
    <w:name w:val="Pa8"/>
    <w:basedOn w:val="Default"/>
    <w:next w:val="Default"/>
    <w:uiPriority w:val="99"/>
    <w:rsid w:val="00354A35"/>
    <w:pPr>
      <w:spacing w:line="161" w:lineRule="atLeast"/>
    </w:pPr>
    <w:rPr>
      <w:rFonts w:cs="Times New Roman"/>
      <w:color w:val="auto"/>
    </w:rPr>
  </w:style>
  <w:style w:type="paragraph" w:customStyle="1" w:styleId="Pa9">
    <w:name w:val="Pa9"/>
    <w:basedOn w:val="Default"/>
    <w:next w:val="Default"/>
    <w:uiPriority w:val="99"/>
    <w:rsid w:val="00354A35"/>
    <w:pPr>
      <w:spacing w:line="161" w:lineRule="atLeast"/>
    </w:pPr>
    <w:rPr>
      <w:rFonts w:cs="Times New Roman"/>
      <w:color w:val="auto"/>
    </w:rPr>
  </w:style>
  <w:style w:type="paragraph" w:customStyle="1" w:styleId="Pa10">
    <w:name w:val="Pa10"/>
    <w:basedOn w:val="Default"/>
    <w:next w:val="Default"/>
    <w:uiPriority w:val="99"/>
    <w:rsid w:val="00354A35"/>
    <w:pPr>
      <w:spacing w:line="241" w:lineRule="atLeast"/>
    </w:pPr>
    <w:rPr>
      <w:rFonts w:cs="Times New Roman"/>
      <w:color w:val="auto"/>
    </w:rPr>
  </w:style>
  <w:style w:type="character" w:customStyle="1" w:styleId="profile-staff-orgarea">
    <w:name w:val="profile-staff-orgarea"/>
    <w:basedOn w:val="DefaultParagraphFont"/>
    <w:rsid w:val="00184A97"/>
    <w:rPr>
      <w:sz w:val="22"/>
      <w:szCs w:val="22"/>
    </w:rPr>
  </w:style>
  <w:style w:type="paragraph" w:customStyle="1" w:styleId="VEOHRCBodytext">
    <w:name w:val="VEOHRC Body text"/>
    <w:basedOn w:val="Normal"/>
    <w:link w:val="VEOHRCBodytextChar"/>
    <w:rsid w:val="00DE5CB6"/>
    <w:pPr>
      <w:spacing w:before="80" w:after="120"/>
    </w:pPr>
    <w:rPr>
      <w:rFonts w:eastAsia="Times New Roman"/>
    </w:rPr>
  </w:style>
  <w:style w:type="character" w:customStyle="1" w:styleId="VEOHRCBodytextChar">
    <w:name w:val="VEOHRC Body text Char"/>
    <w:link w:val="VEOHRCBodytext"/>
    <w:rsid w:val="00DE5CB6"/>
    <w:rPr>
      <w:rFonts w:ascii="Arial" w:hAnsi="Arial"/>
      <w:sz w:val="24"/>
      <w:szCs w:val="24"/>
    </w:rPr>
  </w:style>
  <w:style w:type="paragraph" w:customStyle="1" w:styleId="VEOHRCHeading2">
    <w:name w:val="VEOHRC Heading 2"/>
    <w:basedOn w:val="Heading2"/>
    <w:link w:val="VEOHRCHeading2Char"/>
    <w:rsid w:val="00DE5CB6"/>
    <w:pPr>
      <w:keepLines w:val="0"/>
      <w:numPr>
        <w:ilvl w:val="0"/>
        <w:numId w:val="0"/>
      </w:numPr>
      <w:spacing w:before="120" w:after="60" w:line="280" w:lineRule="atLeast"/>
    </w:pPr>
    <w:rPr>
      <w:rFonts w:ascii="Times New Roman" w:eastAsia="Times New Roman" w:hAnsi="Times New Roman"/>
      <w:bCs/>
      <w:i w:val="0"/>
      <w:iCs/>
      <w:color w:val="auto"/>
      <w:sz w:val="32"/>
      <w:szCs w:val="28"/>
    </w:rPr>
  </w:style>
  <w:style w:type="character" w:customStyle="1" w:styleId="VEOHRCHeading2Char">
    <w:name w:val="VEOHRC Heading 2 Char"/>
    <w:link w:val="VEOHRCHeading2"/>
    <w:rsid w:val="00DE5CB6"/>
    <w:rPr>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387">
      <w:bodyDiv w:val="1"/>
      <w:marLeft w:val="0"/>
      <w:marRight w:val="0"/>
      <w:marTop w:val="0"/>
      <w:marBottom w:val="0"/>
      <w:divBdr>
        <w:top w:val="none" w:sz="0" w:space="0" w:color="auto"/>
        <w:left w:val="none" w:sz="0" w:space="0" w:color="auto"/>
        <w:bottom w:val="none" w:sz="0" w:space="0" w:color="auto"/>
        <w:right w:val="none" w:sz="0" w:space="0" w:color="auto"/>
      </w:divBdr>
    </w:div>
    <w:div w:id="403113596">
      <w:bodyDiv w:val="1"/>
      <w:marLeft w:val="0"/>
      <w:marRight w:val="0"/>
      <w:marTop w:val="0"/>
      <w:marBottom w:val="0"/>
      <w:divBdr>
        <w:top w:val="none" w:sz="0" w:space="0" w:color="auto"/>
        <w:left w:val="none" w:sz="0" w:space="0" w:color="auto"/>
        <w:bottom w:val="none" w:sz="0" w:space="0" w:color="auto"/>
        <w:right w:val="none" w:sz="0" w:space="0" w:color="auto"/>
      </w:divBdr>
    </w:div>
    <w:div w:id="454953556">
      <w:bodyDiv w:val="1"/>
      <w:marLeft w:val="0"/>
      <w:marRight w:val="0"/>
      <w:marTop w:val="0"/>
      <w:marBottom w:val="0"/>
      <w:divBdr>
        <w:top w:val="none" w:sz="0" w:space="0" w:color="auto"/>
        <w:left w:val="none" w:sz="0" w:space="0" w:color="auto"/>
        <w:bottom w:val="none" w:sz="0" w:space="0" w:color="auto"/>
        <w:right w:val="none" w:sz="0" w:space="0" w:color="auto"/>
      </w:divBdr>
    </w:div>
    <w:div w:id="484709659">
      <w:bodyDiv w:val="1"/>
      <w:marLeft w:val="0"/>
      <w:marRight w:val="0"/>
      <w:marTop w:val="0"/>
      <w:marBottom w:val="0"/>
      <w:divBdr>
        <w:top w:val="none" w:sz="0" w:space="0" w:color="auto"/>
        <w:left w:val="none" w:sz="0" w:space="0" w:color="auto"/>
        <w:bottom w:val="none" w:sz="0" w:space="0" w:color="auto"/>
        <w:right w:val="none" w:sz="0" w:space="0" w:color="auto"/>
      </w:divBdr>
    </w:div>
    <w:div w:id="60053363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1121088">
      <w:bodyDiv w:val="1"/>
      <w:marLeft w:val="0"/>
      <w:marRight w:val="0"/>
      <w:marTop w:val="0"/>
      <w:marBottom w:val="0"/>
      <w:divBdr>
        <w:top w:val="none" w:sz="0" w:space="0" w:color="auto"/>
        <w:left w:val="none" w:sz="0" w:space="0" w:color="auto"/>
        <w:bottom w:val="none" w:sz="0" w:space="0" w:color="auto"/>
        <w:right w:val="none" w:sz="0" w:space="0" w:color="auto"/>
      </w:divBdr>
      <w:divsChild>
        <w:div w:id="306127050">
          <w:marLeft w:val="0"/>
          <w:marRight w:val="0"/>
          <w:marTop w:val="0"/>
          <w:marBottom w:val="0"/>
          <w:divBdr>
            <w:top w:val="none" w:sz="0" w:space="0" w:color="auto"/>
            <w:left w:val="none" w:sz="0" w:space="0" w:color="auto"/>
            <w:bottom w:val="none" w:sz="0" w:space="0" w:color="auto"/>
            <w:right w:val="none" w:sz="0" w:space="0" w:color="auto"/>
          </w:divBdr>
        </w:div>
        <w:div w:id="1970015488">
          <w:marLeft w:val="0"/>
          <w:marRight w:val="0"/>
          <w:marTop w:val="0"/>
          <w:marBottom w:val="0"/>
          <w:divBdr>
            <w:top w:val="none" w:sz="0" w:space="0" w:color="auto"/>
            <w:left w:val="none" w:sz="0" w:space="0" w:color="auto"/>
            <w:bottom w:val="none" w:sz="0" w:space="0" w:color="auto"/>
            <w:right w:val="none" w:sz="0" w:space="0" w:color="auto"/>
          </w:divBdr>
        </w:div>
        <w:div w:id="1441994761">
          <w:marLeft w:val="0"/>
          <w:marRight w:val="0"/>
          <w:marTop w:val="0"/>
          <w:marBottom w:val="0"/>
          <w:divBdr>
            <w:top w:val="none" w:sz="0" w:space="0" w:color="auto"/>
            <w:left w:val="none" w:sz="0" w:space="0" w:color="auto"/>
            <w:bottom w:val="none" w:sz="0" w:space="0" w:color="auto"/>
            <w:right w:val="none" w:sz="0" w:space="0" w:color="auto"/>
          </w:divBdr>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76210856">
      <w:bodyDiv w:val="1"/>
      <w:marLeft w:val="0"/>
      <w:marRight w:val="0"/>
      <w:marTop w:val="0"/>
      <w:marBottom w:val="0"/>
      <w:divBdr>
        <w:top w:val="none" w:sz="0" w:space="0" w:color="auto"/>
        <w:left w:val="none" w:sz="0" w:space="0" w:color="auto"/>
        <w:bottom w:val="none" w:sz="0" w:space="0" w:color="auto"/>
        <w:right w:val="none" w:sz="0" w:space="0" w:color="auto"/>
      </w:divBdr>
    </w:div>
    <w:div w:id="1412697603">
      <w:bodyDiv w:val="1"/>
      <w:marLeft w:val="0"/>
      <w:marRight w:val="0"/>
      <w:marTop w:val="0"/>
      <w:marBottom w:val="0"/>
      <w:divBdr>
        <w:top w:val="none" w:sz="0" w:space="0" w:color="auto"/>
        <w:left w:val="none" w:sz="0" w:space="0" w:color="auto"/>
        <w:bottom w:val="none" w:sz="0" w:space="0" w:color="auto"/>
        <w:right w:val="none" w:sz="0" w:space="0" w:color="auto"/>
      </w:divBdr>
    </w:div>
    <w:div w:id="1436748450">
      <w:bodyDiv w:val="1"/>
      <w:marLeft w:val="0"/>
      <w:marRight w:val="0"/>
      <w:marTop w:val="0"/>
      <w:marBottom w:val="0"/>
      <w:divBdr>
        <w:top w:val="none" w:sz="0" w:space="0" w:color="auto"/>
        <w:left w:val="none" w:sz="0" w:space="0" w:color="auto"/>
        <w:bottom w:val="none" w:sz="0" w:space="0" w:color="auto"/>
        <w:right w:val="none" w:sz="0" w:space="0" w:color="auto"/>
      </w:divBdr>
    </w:div>
    <w:div w:id="1671447802">
      <w:bodyDiv w:val="1"/>
      <w:marLeft w:val="0"/>
      <w:marRight w:val="0"/>
      <w:marTop w:val="0"/>
      <w:marBottom w:val="0"/>
      <w:divBdr>
        <w:top w:val="none" w:sz="0" w:space="0" w:color="auto"/>
        <w:left w:val="none" w:sz="0" w:space="0" w:color="auto"/>
        <w:bottom w:val="none" w:sz="0" w:space="0" w:color="auto"/>
        <w:right w:val="none" w:sz="0" w:space="0" w:color="auto"/>
      </w:divBdr>
    </w:div>
    <w:div w:id="1970622017">
      <w:bodyDiv w:val="1"/>
      <w:marLeft w:val="0"/>
      <w:marRight w:val="0"/>
      <w:marTop w:val="0"/>
      <w:marBottom w:val="0"/>
      <w:divBdr>
        <w:top w:val="none" w:sz="0" w:space="0" w:color="auto"/>
        <w:left w:val="none" w:sz="0" w:space="0" w:color="auto"/>
        <w:bottom w:val="none" w:sz="0" w:space="0" w:color="auto"/>
        <w:right w:val="none" w:sz="0" w:space="0" w:color="auto"/>
      </w:divBdr>
    </w:div>
    <w:div w:id="1981878334">
      <w:bodyDiv w:val="1"/>
      <w:marLeft w:val="0"/>
      <w:marRight w:val="0"/>
      <w:marTop w:val="0"/>
      <w:marBottom w:val="0"/>
      <w:divBdr>
        <w:top w:val="none" w:sz="0" w:space="0" w:color="auto"/>
        <w:left w:val="none" w:sz="0" w:space="0" w:color="auto"/>
        <w:bottom w:val="none" w:sz="0" w:space="0" w:color="auto"/>
        <w:right w:val="none" w:sz="0" w:space="0" w:color="auto"/>
      </w:divBdr>
    </w:div>
    <w:div w:id="2107192419">
      <w:bodyDiv w:val="1"/>
      <w:marLeft w:val="0"/>
      <w:marRight w:val="0"/>
      <w:marTop w:val="0"/>
      <w:marBottom w:val="0"/>
      <w:divBdr>
        <w:top w:val="none" w:sz="0" w:space="0" w:color="auto"/>
        <w:left w:val="none" w:sz="0" w:space="0" w:color="auto"/>
        <w:bottom w:val="none" w:sz="0" w:space="0" w:color="auto"/>
        <w:right w:val="none" w:sz="0" w:space="0" w:color="auto"/>
      </w:divBdr>
      <w:divsChild>
        <w:div w:id="1555458782">
          <w:marLeft w:val="0"/>
          <w:marRight w:val="0"/>
          <w:marTop w:val="0"/>
          <w:marBottom w:val="0"/>
          <w:divBdr>
            <w:top w:val="none" w:sz="0" w:space="0" w:color="auto"/>
            <w:left w:val="none" w:sz="0" w:space="0" w:color="auto"/>
            <w:bottom w:val="none" w:sz="0" w:space="0" w:color="auto"/>
            <w:right w:val="none" w:sz="0" w:space="0" w:color="auto"/>
          </w:divBdr>
          <w:divsChild>
            <w:div w:id="1703168411">
              <w:marLeft w:val="0"/>
              <w:marRight w:val="0"/>
              <w:marTop w:val="0"/>
              <w:marBottom w:val="0"/>
              <w:divBdr>
                <w:top w:val="none" w:sz="0" w:space="0" w:color="auto"/>
                <w:left w:val="single" w:sz="6" w:space="0" w:color="E4E4E4"/>
                <w:bottom w:val="none" w:sz="0" w:space="0" w:color="auto"/>
                <w:right w:val="none" w:sz="0" w:space="0" w:color="auto"/>
              </w:divBdr>
              <w:divsChild>
                <w:div w:id="1670597490">
                  <w:marLeft w:val="0"/>
                  <w:marRight w:val="0"/>
                  <w:marTop w:val="0"/>
                  <w:marBottom w:val="0"/>
                  <w:divBdr>
                    <w:top w:val="none" w:sz="0" w:space="0" w:color="auto"/>
                    <w:left w:val="none" w:sz="0" w:space="0" w:color="auto"/>
                    <w:bottom w:val="none" w:sz="0" w:space="0" w:color="auto"/>
                    <w:right w:val="none" w:sz="0" w:space="0" w:color="auto"/>
                  </w:divBdr>
                  <w:divsChild>
                    <w:div w:id="1694064606">
                      <w:marLeft w:val="0"/>
                      <w:marRight w:val="0"/>
                      <w:marTop w:val="0"/>
                      <w:marBottom w:val="0"/>
                      <w:divBdr>
                        <w:top w:val="none" w:sz="0" w:space="0" w:color="auto"/>
                        <w:left w:val="none" w:sz="0" w:space="0" w:color="auto"/>
                        <w:bottom w:val="none" w:sz="0" w:space="0" w:color="auto"/>
                        <w:right w:val="none" w:sz="0" w:space="0" w:color="auto"/>
                      </w:divBdr>
                      <w:divsChild>
                        <w:div w:id="1004741253">
                          <w:marLeft w:val="0"/>
                          <w:marRight w:val="0"/>
                          <w:marTop w:val="0"/>
                          <w:marBottom w:val="105"/>
                          <w:divBdr>
                            <w:top w:val="none" w:sz="0" w:space="0" w:color="auto"/>
                            <w:left w:val="none" w:sz="0" w:space="0" w:color="auto"/>
                            <w:bottom w:val="none" w:sz="0" w:space="0" w:color="auto"/>
                            <w:right w:val="none" w:sz="0" w:space="0" w:color="auto"/>
                          </w:divBdr>
                          <w:divsChild>
                            <w:div w:id="2128497707">
                              <w:marLeft w:val="0"/>
                              <w:marRight w:val="0"/>
                              <w:marTop w:val="105"/>
                              <w:marBottom w:val="0"/>
                              <w:divBdr>
                                <w:top w:val="none" w:sz="0" w:space="0" w:color="auto"/>
                                <w:left w:val="none" w:sz="0" w:space="0" w:color="auto"/>
                                <w:bottom w:val="none" w:sz="0" w:space="0" w:color="auto"/>
                                <w:right w:val="none" w:sz="0" w:space="0" w:color="auto"/>
                              </w:divBdr>
                              <w:divsChild>
                                <w:div w:id="1450272014">
                                  <w:marLeft w:val="0"/>
                                  <w:marRight w:val="0"/>
                                  <w:marTop w:val="0"/>
                                  <w:marBottom w:val="0"/>
                                  <w:divBdr>
                                    <w:top w:val="none" w:sz="0" w:space="0" w:color="auto"/>
                                    <w:left w:val="none" w:sz="0" w:space="0" w:color="auto"/>
                                    <w:bottom w:val="none" w:sz="0" w:space="0" w:color="auto"/>
                                    <w:right w:val="none" w:sz="0" w:space="0" w:color="auto"/>
                                  </w:divBdr>
                                  <w:divsChild>
                                    <w:div w:id="500196491">
                                      <w:marLeft w:val="0"/>
                                      <w:marRight w:val="0"/>
                                      <w:marTop w:val="0"/>
                                      <w:marBottom w:val="0"/>
                                      <w:divBdr>
                                        <w:top w:val="none" w:sz="0" w:space="0" w:color="auto"/>
                                        <w:left w:val="none" w:sz="0" w:space="0" w:color="auto"/>
                                        <w:bottom w:val="none" w:sz="0" w:space="0" w:color="auto"/>
                                        <w:right w:val="none" w:sz="0" w:space="0" w:color="auto"/>
                                      </w:divBdr>
                                      <w:divsChild>
                                        <w:div w:id="1858153502">
                                          <w:marLeft w:val="0"/>
                                          <w:marRight w:val="0"/>
                                          <w:marTop w:val="0"/>
                                          <w:marBottom w:val="0"/>
                                          <w:divBdr>
                                            <w:top w:val="none" w:sz="0" w:space="0" w:color="auto"/>
                                            <w:left w:val="none" w:sz="0" w:space="0" w:color="auto"/>
                                            <w:bottom w:val="none" w:sz="0" w:space="0" w:color="auto"/>
                                            <w:right w:val="none" w:sz="0" w:space="0" w:color="auto"/>
                                          </w:divBdr>
                                          <w:divsChild>
                                            <w:div w:id="367877076">
                                              <w:marLeft w:val="0"/>
                                              <w:marRight w:val="0"/>
                                              <w:marTop w:val="0"/>
                                              <w:marBottom w:val="0"/>
                                              <w:divBdr>
                                                <w:top w:val="none" w:sz="0" w:space="0" w:color="auto"/>
                                                <w:left w:val="none" w:sz="0" w:space="0" w:color="auto"/>
                                                <w:bottom w:val="none" w:sz="0" w:space="0" w:color="auto"/>
                                                <w:right w:val="none" w:sz="0" w:space="0" w:color="auto"/>
                                              </w:divBdr>
                                              <w:divsChild>
                                                <w:div w:id="829251217">
                                                  <w:marLeft w:val="0"/>
                                                  <w:marRight w:val="0"/>
                                                  <w:marTop w:val="0"/>
                                                  <w:marBottom w:val="0"/>
                                                  <w:divBdr>
                                                    <w:top w:val="none" w:sz="0" w:space="0" w:color="auto"/>
                                                    <w:left w:val="none" w:sz="0" w:space="0" w:color="auto"/>
                                                    <w:bottom w:val="none" w:sz="0" w:space="0" w:color="auto"/>
                                                    <w:right w:val="none" w:sz="0" w:space="0" w:color="auto"/>
                                                  </w:divBdr>
                                                  <w:divsChild>
                                                    <w:div w:id="110326570">
                                                      <w:marLeft w:val="105"/>
                                                      <w:marRight w:val="0"/>
                                                      <w:marTop w:val="0"/>
                                                      <w:marBottom w:val="0"/>
                                                      <w:divBdr>
                                                        <w:top w:val="none" w:sz="0" w:space="0" w:color="auto"/>
                                                        <w:left w:val="none" w:sz="0" w:space="0" w:color="auto"/>
                                                        <w:bottom w:val="none" w:sz="0" w:space="0" w:color="auto"/>
                                                        <w:right w:val="none" w:sz="0" w:space="0" w:color="auto"/>
                                                      </w:divBdr>
                                                      <w:divsChild>
                                                        <w:div w:id="14452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6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umanrights.gov.au" TargetMode="External"/><Relationship Id="rId21" Type="http://schemas.openxmlformats.org/officeDocument/2006/relationships/hyperlink" Target="http://www.fairwork.gov.au/" TargetMode="External"/><Relationship Id="rId22" Type="http://schemas.openxmlformats.org/officeDocument/2006/relationships/hyperlink" Target="http://www.hrc.act.gov.au/" TargetMode="External"/><Relationship Id="rId23" Type="http://schemas.openxmlformats.org/officeDocument/2006/relationships/hyperlink" Target="http://www.lawlink.nsw.gov.au/adb" TargetMode="External"/><Relationship Id="rId24" Type="http://schemas.openxmlformats.org/officeDocument/2006/relationships/hyperlink" Target="http://www.adcq.qld.gov.au" TargetMode="External"/><Relationship Id="rId25" Type="http://schemas.openxmlformats.org/officeDocument/2006/relationships/hyperlink" Target="http://www.eoc.sa.gov.au" TargetMode="External"/><Relationship Id="rId26" Type="http://schemas.openxmlformats.org/officeDocument/2006/relationships/hyperlink" Target="http://www.equalopportunity.wa.gov.au" TargetMode="External"/><Relationship Id="rId27" Type="http://schemas.openxmlformats.org/officeDocument/2006/relationships/hyperlink" Target="http://www.adc.nt.gov.au/" TargetMode="External"/><Relationship Id="rId28" Type="http://schemas.openxmlformats.org/officeDocument/2006/relationships/hyperlink" Target="http://www.antidiscrimination.tas.gov.au" TargetMode="External"/><Relationship Id="rId29" Type="http://schemas.openxmlformats.org/officeDocument/2006/relationships/hyperlink" Target="http://www.humanrightscommission.vic.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knowtheline.com.au" TargetMode="External"/><Relationship Id="rId31" Type="http://schemas.openxmlformats.org/officeDocument/2006/relationships/hyperlink" Target="http://www.humanrights.gov.au/information-people-making-complaints" TargetMode="External"/><Relationship Id="rId32" Type="http://schemas.openxmlformats.org/officeDocument/2006/relationships/hyperlink" Target="http://www.humanrights.gov.au/legal/FDL/index.html" TargetMode="External"/><Relationship Id="rId9" Type="http://schemas.openxmlformats.org/officeDocument/2006/relationships/hyperlink" Target="http://www.humanrights.gov.au/publications/ending-workplace-sexual-harassment-resource-small-medium-and-large-employer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humanrightscommission.vic.gov.au/index.php/our-resources-and-publications/eoa-practice-guidelines" TargetMode="External"/><Relationship Id="rId34" Type="http://schemas.openxmlformats.org/officeDocument/2006/relationships/hyperlink" Target="http://www.victorianhumanrightscommission.com/www/files/Employers%20Toolkits/Sexual%20harassment%20-%20Employers%20checklist.pdf" TargetMode="External"/><Relationship Id="rId35" Type="http://schemas.openxmlformats.org/officeDocument/2006/relationships/hyperlink" Target="http://www.womenslegalnsw.asn.au/wlsnsw/our-services/wwls/" TargetMode="External"/><Relationship Id="rId36" Type="http://schemas.openxmlformats.org/officeDocument/2006/relationships/hyperlink" Target="http://benchbooks.fwc.gov.au/unfai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austlii.edu.au/au/legis/cth/consol_act/sda1984209/s4.html" TargetMode="External"/><Relationship Id="rId13" Type="http://schemas.openxmlformats.org/officeDocument/2006/relationships/hyperlink" Target="http://www.knowtheline.com.au" TargetMode="External"/><Relationship Id="rId14" Type="http://schemas.openxmlformats.org/officeDocument/2006/relationships/hyperlink" Target="http://www.knowtheline.com.au" TargetMode="External"/><Relationship Id="rId15" Type="http://schemas.openxmlformats.org/officeDocument/2006/relationships/hyperlink" Target="http://www.knowtheline.com.au" TargetMode="External"/><Relationship Id="rId16" Type="http://schemas.openxmlformats.org/officeDocument/2006/relationships/hyperlink" Target="https://www.humanrights.gov.au/publications/ending-workplace-sexual-harassment-resource-small-medium-and-large-employers" TargetMode="External"/><Relationship Id="rId17" Type="http://schemas.openxmlformats.org/officeDocument/2006/relationships/hyperlink" Target="mailto:complaintsinfo@humanrights.gov.au" TargetMode="External"/><Relationship Id="rId18" Type="http://schemas.openxmlformats.org/officeDocument/2006/relationships/hyperlink" Target="http://www.humanrights.gov.au/links-human-rights-organisations-and-resources" TargetMode="External"/><Relationship Id="rId19" Type="http://schemas.openxmlformats.org/officeDocument/2006/relationships/hyperlink" Target="mailto:complaintsinfo@humanrights.gov.au" TargetMode="External"/><Relationship Id="rId37" Type="http://schemas.openxmlformats.org/officeDocument/2006/relationships/hyperlink" Target="http://www.fwc.gov.au/documents/legislation/download/dismissal_code.pdf" TargetMode="External"/><Relationship Id="rId38" Type="http://schemas.openxmlformats.org/officeDocument/2006/relationships/hyperlink" Target="http://www.fwc.gov.au/documents/legislation/download/dismissal_code.doc" TargetMode="External"/><Relationship Id="rId39" Type="http://schemas.openxmlformats.org/officeDocument/2006/relationships/hyperlink" Target="http://www.fairwork.gov.au/Templatesformschecklists/Small-Business-Fair-Dismissal-Code-2011.rtf" TargetMode="External"/><Relationship Id="rId40" Type="http://schemas.openxmlformats.org/officeDocument/2006/relationships/hyperlink" Target="http://www.fairwork.gov.au/complaints/someones-made-a-complaint-about-my-business/pages/default.aspx" TargetMode="External"/><Relationship Id="rId41" Type="http://schemas.openxmlformats.org/officeDocument/2006/relationships/hyperlink" Target="http://www.fwc.gov.au/documents/factsheets/GeneralProtectionsGuide.pdf" TargetMode="External"/><Relationship Id="rId42" Type="http://schemas.openxmlformats.org/officeDocument/2006/relationships/hyperlink" Target="http://www.safeworkaustralia.gov.au" TargetMode="External"/><Relationship Id="rId43" Type="http://schemas.openxmlformats.org/officeDocument/2006/relationships/hyperlink" Target="http://www.safeworkaustralia.gov.au/sites/SWA/about/Publications/Documents/719/Australian-WHS-Strategy-2012-2022.pdf" TargetMode="External"/><Relationship Id="rId44" Type="http://schemas.openxmlformats.org/officeDocument/2006/relationships/fontTable" Target="fontTable.xml"/><Relationship Id="rId4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humanrights.gov.au/working-without-fear-results-sexual-harassment-national-telephone-survey-2012" TargetMode="External"/><Relationship Id="rId2" Type="http://schemas.openxmlformats.org/officeDocument/2006/relationships/hyperlink" Target="https://www.humanrights.gov.au/working-without-fear-results-sexual-harassment-national-telephone-survey-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DFF2-2708-3F47-A751-EBBDD7B9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G:\Templates\Commission\Report.dot</Template>
  <TotalTime>1</TotalTime>
  <Pages>24</Pages>
  <Words>6671</Words>
  <Characters>38030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44612</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Simone Cusack</dc:creator>
  <cp:lastModifiedBy>Microsoft Office User</cp:lastModifiedBy>
  <cp:revision>2</cp:revision>
  <cp:lastPrinted>2014-09-02T23:21:00Z</cp:lastPrinted>
  <dcterms:created xsi:type="dcterms:W3CDTF">2016-10-26T23:37:00Z</dcterms:created>
  <dcterms:modified xsi:type="dcterms:W3CDTF">2016-10-26T23:37:00Z</dcterms:modified>
</cp:coreProperties>
</file>